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446" w:rsidRDefault="00F22446" w:rsidP="004D633F">
      <w:pPr>
        <w:pStyle w:val="BodyText"/>
        <w:jc w:val="center"/>
      </w:pPr>
      <w:r w:rsidRPr="004031A5">
        <w:t>Mindfulness</w:t>
      </w:r>
      <w:r>
        <w:t xml:space="preserve">-Based Therapy and </w:t>
      </w:r>
      <w:r w:rsidRPr="004031A5">
        <w:t>Behavioral Activation</w:t>
      </w:r>
      <w:r>
        <w:t>:</w:t>
      </w:r>
      <w:r w:rsidRPr="004031A5">
        <w:t xml:space="preserve"> </w:t>
      </w:r>
    </w:p>
    <w:p w:rsidR="00F22446" w:rsidRDefault="00F22446" w:rsidP="004D633F">
      <w:pPr>
        <w:pStyle w:val="BodyText"/>
        <w:jc w:val="center"/>
      </w:pPr>
      <w:r>
        <w:t>A Randomized Controlled Trial</w:t>
      </w:r>
      <w:r w:rsidRPr="004031A5">
        <w:t xml:space="preserve"> </w:t>
      </w:r>
      <w:r>
        <w:t>with Depressed College Students</w:t>
      </w: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4D633F" w:rsidRDefault="004D633F" w:rsidP="00364294">
      <w:pPr>
        <w:pStyle w:val="BodyText"/>
        <w:spacing w:line="480" w:lineRule="auto"/>
        <w:jc w:val="center"/>
      </w:pPr>
    </w:p>
    <w:p w:rsidR="00364294" w:rsidRDefault="00364294" w:rsidP="004D633F">
      <w:pPr>
        <w:pStyle w:val="BodyText"/>
        <w:jc w:val="center"/>
      </w:pPr>
      <w:r>
        <w:t>A Dissertation Presented for the</w:t>
      </w:r>
    </w:p>
    <w:p w:rsidR="00364294" w:rsidRDefault="00364294" w:rsidP="004D633F">
      <w:pPr>
        <w:pStyle w:val="BodyText"/>
        <w:jc w:val="center"/>
      </w:pPr>
      <w:r>
        <w:t>Doctor of Philosophy</w:t>
      </w:r>
    </w:p>
    <w:p w:rsidR="00364294" w:rsidRDefault="00364294" w:rsidP="004D633F">
      <w:pPr>
        <w:pStyle w:val="BodyText"/>
        <w:jc w:val="center"/>
      </w:pPr>
      <w:r>
        <w:t>Degree</w:t>
      </w:r>
    </w:p>
    <w:p w:rsidR="00F22446" w:rsidRDefault="00364294" w:rsidP="004D633F">
      <w:pPr>
        <w:pStyle w:val="BodyText"/>
        <w:jc w:val="center"/>
      </w:pPr>
      <w:r>
        <w:t>The University of Tennessee, Knoxville</w:t>
      </w:r>
    </w:p>
    <w:p w:rsidR="004D633F" w:rsidRDefault="004D633F" w:rsidP="004D633F">
      <w:pPr>
        <w:pStyle w:val="BodyText"/>
        <w:spacing w:line="480" w:lineRule="auto"/>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4D633F" w:rsidRDefault="004D633F" w:rsidP="0013554D">
      <w:pPr>
        <w:pStyle w:val="BodyText"/>
        <w:spacing w:line="480" w:lineRule="auto"/>
        <w:jc w:val="center"/>
      </w:pPr>
    </w:p>
    <w:p w:rsidR="00F22446" w:rsidRDefault="00364294" w:rsidP="004D633F">
      <w:pPr>
        <w:pStyle w:val="BodyText"/>
        <w:jc w:val="center"/>
      </w:pPr>
      <w:r>
        <w:t>Crystal Constance</w:t>
      </w:r>
      <w:r w:rsidR="00F22446">
        <w:t xml:space="preserve"> Mc</w:t>
      </w:r>
      <w:r w:rsidR="004D633F">
        <w:t>Indoo</w:t>
      </w:r>
    </w:p>
    <w:p w:rsidR="00F22446" w:rsidRDefault="00364294" w:rsidP="004D633F">
      <w:pPr>
        <w:pStyle w:val="BodyText"/>
        <w:jc w:val="center"/>
      </w:pPr>
      <w:r>
        <w:t>May 2015</w:t>
      </w: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pPr>
    </w:p>
    <w:p w:rsidR="00E1531F" w:rsidRPr="00E1531F" w:rsidRDefault="00E1531F" w:rsidP="00E1531F">
      <w:pPr>
        <w:tabs>
          <w:tab w:val="left" w:pos="7890"/>
        </w:tabs>
        <w:jc w:val="center"/>
      </w:pPr>
      <w:r>
        <w:t>Copyright 2014 by Crystal Constance</w:t>
      </w:r>
      <w:r w:rsidRPr="00E1531F">
        <w:t xml:space="preserve"> McIndoo</w:t>
      </w:r>
    </w:p>
    <w:p w:rsidR="00E1531F" w:rsidRDefault="00E1531F" w:rsidP="00E1531F">
      <w:pPr>
        <w:tabs>
          <w:tab w:val="left" w:pos="7890"/>
        </w:tabs>
        <w:jc w:val="center"/>
      </w:pPr>
      <w:r w:rsidRPr="00E1531F">
        <w:t>All rights reserved</w:t>
      </w: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jc w:val="center"/>
        <w:rPr>
          <w:b/>
          <w:caps/>
        </w:rPr>
      </w:pPr>
      <w:r w:rsidRPr="005131C9">
        <w:rPr>
          <w:b/>
          <w:caps/>
        </w:rPr>
        <w:lastRenderedPageBreak/>
        <w:t>Acknowledgement</w:t>
      </w:r>
      <w:r>
        <w:rPr>
          <w:b/>
          <w:caps/>
        </w:rPr>
        <w:t>S</w:t>
      </w:r>
    </w:p>
    <w:p w:rsidR="00E1531F" w:rsidRPr="005131C9" w:rsidRDefault="00E1531F" w:rsidP="00E1531F">
      <w:pPr>
        <w:jc w:val="center"/>
        <w:rPr>
          <w:b/>
          <w:caps/>
        </w:rPr>
      </w:pPr>
    </w:p>
    <w:p w:rsidR="00E1531F" w:rsidRDefault="00E1531F" w:rsidP="00E1531F">
      <w:pPr>
        <w:ind w:firstLine="720"/>
      </w:pPr>
      <w:r>
        <w:t xml:space="preserve">I want to express my deepest gratitude to Drs. Derek </w:t>
      </w:r>
      <w:r w:rsidR="00A15736">
        <w:t xml:space="preserve">R. </w:t>
      </w:r>
      <w:r>
        <w:t xml:space="preserve">Hopko, Todd </w:t>
      </w:r>
      <w:r w:rsidR="00A15736">
        <w:t xml:space="preserve">T. </w:t>
      </w:r>
      <w:r>
        <w:t xml:space="preserve">Moore, Gregory </w:t>
      </w:r>
      <w:r w:rsidR="00A15736">
        <w:t xml:space="preserve">L. </w:t>
      </w:r>
      <w:bookmarkStart w:id="0" w:name="_GoBack"/>
      <w:bookmarkEnd w:id="0"/>
      <w:r>
        <w:t>Stuart, and Jeanni</w:t>
      </w:r>
      <w:r w:rsidR="00D53FBA">
        <w:t>n</w:t>
      </w:r>
      <w:r>
        <w:t>e Studer for their support and dedication to my dissertation project and for making my time at UT a delightful experience. Thank you for the opportunity to learn and grow both intellectually and emotionally. I am forever thankful for the acceptance into UT’s doctoral program and for experiencing all that the program has to offer. I have thoroughly enjoyed my graduate years at UT and have so many good memories to reflect on. I thank each and every one of you who made this all possible for me, and a special appreciation to Derek for his unwavering guidance and mentorship.</w:t>
      </w:r>
    </w:p>
    <w:p w:rsidR="00E1531F" w:rsidRDefault="00E1531F" w:rsidP="00E1531F">
      <w:pPr>
        <w:tabs>
          <w:tab w:val="left" w:pos="7890"/>
        </w:tabs>
        <w:jc w:val="center"/>
      </w:pPr>
    </w:p>
    <w:p w:rsidR="00E1531F" w:rsidRDefault="00E1531F" w:rsidP="00E1531F">
      <w:pPr>
        <w:tabs>
          <w:tab w:val="left" w:pos="7890"/>
        </w:tabs>
        <w:jc w:val="center"/>
      </w:pPr>
    </w:p>
    <w:p w:rsidR="00E1531F" w:rsidRDefault="00E1531F" w:rsidP="00E1531F">
      <w:pPr>
        <w:tabs>
          <w:tab w:val="left" w:pos="7890"/>
        </w:tabs>
        <w:jc w:val="center"/>
      </w:pPr>
    </w:p>
    <w:p w:rsidR="00E1531F" w:rsidRPr="00E1531F" w:rsidRDefault="00E1531F" w:rsidP="00E1531F">
      <w:pPr>
        <w:tabs>
          <w:tab w:val="left" w:pos="7890"/>
        </w:tabs>
        <w:jc w:val="center"/>
      </w:pPr>
    </w:p>
    <w:p w:rsidR="00E1531F" w:rsidRPr="00E1531F" w:rsidRDefault="00E1531F" w:rsidP="0013554D">
      <w:pPr>
        <w:tabs>
          <w:tab w:val="left" w:pos="7890"/>
        </w:tabs>
        <w:jc w:val="cente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13554D">
      <w:pPr>
        <w:tabs>
          <w:tab w:val="left" w:pos="7890"/>
        </w:tabs>
        <w:jc w:val="center"/>
        <w:rPr>
          <w:b/>
        </w:rPr>
      </w:pPr>
    </w:p>
    <w:p w:rsidR="00E1531F" w:rsidRDefault="00E1531F" w:rsidP="00E1531F">
      <w:pPr>
        <w:tabs>
          <w:tab w:val="left" w:pos="7890"/>
        </w:tabs>
        <w:rPr>
          <w:b/>
        </w:rPr>
      </w:pPr>
    </w:p>
    <w:p w:rsidR="00E1531F" w:rsidRDefault="00E1531F"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1A104C" w:rsidRDefault="001A104C" w:rsidP="0013554D">
      <w:pPr>
        <w:tabs>
          <w:tab w:val="left" w:pos="7890"/>
        </w:tabs>
        <w:jc w:val="center"/>
        <w:rPr>
          <w:b/>
        </w:rPr>
      </w:pPr>
    </w:p>
    <w:p w:rsidR="00F22446" w:rsidRPr="001A104C" w:rsidRDefault="00F22446" w:rsidP="0013554D">
      <w:pPr>
        <w:tabs>
          <w:tab w:val="left" w:pos="7890"/>
        </w:tabs>
        <w:jc w:val="center"/>
        <w:rPr>
          <w:b/>
          <w:caps/>
        </w:rPr>
      </w:pPr>
      <w:r w:rsidRPr="001A104C">
        <w:rPr>
          <w:b/>
          <w:caps/>
        </w:rPr>
        <w:lastRenderedPageBreak/>
        <w:t>Abstract</w:t>
      </w:r>
    </w:p>
    <w:p w:rsidR="00F22446" w:rsidRDefault="00F22446" w:rsidP="0013554D">
      <w:pPr>
        <w:tabs>
          <w:tab w:val="left" w:pos="7890"/>
        </w:tabs>
      </w:pPr>
    </w:p>
    <w:p w:rsidR="00F22446" w:rsidRDefault="00F22446" w:rsidP="0013554D">
      <w:pPr>
        <w:tabs>
          <w:tab w:val="left" w:pos="7890"/>
        </w:tabs>
        <w:spacing w:line="480" w:lineRule="auto"/>
      </w:pPr>
      <w:r w:rsidRPr="0013554D">
        <w:t xml:space="preserve">Major Depressive Disorder (MDD) is found in about 20% of university students, with increasing incidence in the past two decades (American College Health Association, 2010). Depressed college students report significant academic problems, </w:t>
      </w:r>
      <w:r>
        <w:t xml:space="preserve">including </w:t>
      </w:r>
      <w:r w:rsidRPr="0013554D">
        <w:t xml:space="preserve">lower grade point average, inability to concentrate, </w:t>
      </w:r>
      <w:r>
        <w:t>absenteeism</w:t>
      </w:r>
      <w:r w:rsidRPr="0013554D">
        <w:t xml:space="preserve">, lower academic productivity, and interpersonal problems. Mindfulness-Based Stress Reduction (MBSR) </w:t>
      </w:r>
      <w:r>
        <w:t>and Behavioral Activation (BA) are two interventions that have</w:t>
      </w:r>
      <w:r w:rsidRPr="0013554D">
        <w:t xml:space="preserve"> sig</w:t>
      </w:r>
      <w:r>
        <w:t xml:space="preserve">nificant potential in meeting </w:t>
      </w:r>
      <w:r w:rsidRPr="0013554D">
        <w:t>demands of college counseling clinics in</w:t>
      </w:r>
      <w:r>
        <w:t>sofar as</w:t>
      </w:r>
      <w:r w:rsidRPr="0013554D">
        <w:t xml:space="preserve"> treating depress</w:t>
      </w:r>
      <w:r>
        <w:t>ed</w:t>
      </w:r>
      <w:r w:rsidRPr="0013554D">
        <w:t xml:space="preserve"> college students</w:t>
      </w:r>
      <w:r>
        <w:t>.</w:t>
      </w:r>
      <w:r w:rsidRPr="0013554D">
        <w:t xml:space="preserve"> This study utilized a randomized control</w:t>
      </w:r>
      <w:r>
        <w:t>led</w:t>
      </w:r>
      <w:r w:rsidRPr="0013554D">
        <w:t xml:space="preserve"> design (</w:t>
      </w:r>
      <w:r w:rsidRPr="006C71B7">
        <w:rPr>
          <w:i/>
        </w:rPr>
        <w:t>n</w:t>
      </w:r>
      <w:r w:rsidRPr="0013554D">
        <w:t xml:space="preserve"> = </w:t>
      </w:r>
      <w:r>
        <w:t>50</w:t>
      </w:r>
      <w:r w:rsidRPr="0013554D">
        <w:t xml:space="preserve">) </w:t>
      </w:r>
      <w:r>
        <w:t>to</w:t>
      </w:r>
      <w:r w:rsidRPr="0013554D">
        <w:t xml:space="preserve"> examin</w:t>
      </w:r>
      <w:r>
        <w:t>e</w:t>
      </w:r>
      <w:r w:rsidRPr="0013554D">
        <w:t xml:space="preserve"> the efficacy of fo</w:t>
      </w:r>
      <w:r>
        <w:t>ur-sessions of abbreviated MBSR</w:t>
      </w:r>
      <w:r w:rsidRPr="0013554D">
        <w:t xml:space="preserve"> and BA relative to a n</w:t>
      </w:r>
      <w:r>
        <w:t>o-treatment control condition with</w:t>
      </w:r>
      <w:r w:rsidRPr="0013554D">
        <w:t xml:space="preserve"> </w:t>
      </w:r>
      <w:r>
        <w:t>depressed college students</w:t>
      </w:r>
      <w:r w:rsidRPr="0013554D">
        <w:t>.</w:t>
      </w:r>
      <w:r>
        <w:t xml:space="preserve"> Results </w:t>
      </w:r>
      <w:r w:rsidRPr="0013554D">
        <w:t xml:space="preserve">suggested both treatments were efficacious compared to the wait-list control group, </w:t>
      </w:r>
      <w:r>
        <w:t xml:space="preserve">there was strong therapist competence and adherence to protocols, and there were </w:t>
      </w:r>
      <w:r w:rsidRPr="0013554D">
        <w:t xml:space="preserve">significant pre-post treatment gains across a breadth of outcome measures assessing depression, rumination, stress, and mindfulness. However, neither treatment effectively reduced self-reported somatic anxiety. Across both treatments, gains were associated with strong effect sizes, and based on </w:t>
      </w:r>
      <w:r w:rsidRPr="00114A50">
        <w:t>response and remission criteria, approximately 56-79% of patients exhibited clinically significant improvement. T</w:t>
      </w:r>
      <w:r w:rsidRPr="0013554D">
        <w:t xml:space="preserve">here were no significant differences in outcomes as a function of </w:t>
      </w:r>
      <w:r>
        <w:t xml:space="preserve">active </w:t>
      </w:r>
      <w:r w:rsidRPr="0013554D">
        <w:t xml:space="preserve">intervention at post-treatment, and treatment gains </w:t>
      </w:r>
      <w:r>
        <w:t xml:space="preserve">largely </w:t>
      </w:r>
      <w:r w:rsidRPr="0013554D">
        <w:t xml:space="preserve">were maintained at 1-month follow-up. Study </w:t>
      </w:r>
      <w:r>
        <w:t xml:space="preserve">limitations and </w:t>
      </w:r>
      <w:r w:rsidRPr="0013554D">
        <w:t xml:space="preserve">implications for the assessment and treatment of </w:t>
      </w:r>
      <w:r>
        <w:t xml:space="preserve">depressed </w:t>
      </w:r>
      <w:r w:rsidRPr="0013554D">
        <w:t>college students are discussed.</w:t>
      </w:r>
    </w:p>
    <w:p w:rsidR="009A6F76" w:rsidRDefault="009A6F76" w:rsidP="0013554D">
      <w:pPr>
        <w:tabs>
          <w:tab w:val="left" w:pos="7890"/>
        </w:tabs>
        <w:spacing w:line="480" w:lineRule="auto"/>
      </w:pPr>
    </w:p>
    <w:p w:rsidR="009A6F76" w:rsidRDefault="009A6F76" w:rsidP="0013554D">
      <w:pPr>
        <w:tabs>
          <w:tab w:val="left" w:pos="7890"/>
        </w:tabs>
        <w:spacing w:line="480" w:lineRule="auto"/>
      </w:pPr>
    </w:p>
    <w:p w:rsidR="009A6F76" w:rsidRDefault="009A6F76" w:rsidP="0013554D">
      <w:pPr>
        <w:tabs>
          <w:tab w:val="left" w:pos="7890"/>
        </w:tabs>
        <w:spacing w:line="480" w:lineRule="auto"/>
      </w:pPr>
    </w:p>
    <w:p w:rsidR="009A6F76" w:rsidRDefault="009A6F76" w:rsidP="0013554D">
      <w:pPr>
        <w:tabs>
          <w:tab w:val="left" w:pos="7890"/>
        </w:tabs>
        <w:spacing w:line="480" w:lineRule="auto"/>
      </w:pPr>
    </w:p>
    <w:p w:rsidR="00857BEA" w:rsidRPr="00857BEA" w:rsidRDefault="00857BEA" w:rsidP="00857BEA">
      <w:pPr>
        <w:tabs>
          <w:tab w:val="left" w:pos="4680"/>
          <w:tab w:val="center" w:pos="7380"/>
          <w:tab w:val="left" w:pos="8640"/>
        </w:tabs>
        <w:jc w:val="center"/>
        <w:rPr>
          <w:b/>
        </w:rPr>
      </w:pPr>
      <w:r w:rsidRPr="00857BEA">
        <w:rPr>
          <w:b/>
        </w:rPr>
        <w:lastRenderedPageBreak/>
        <w:t>TABLE OF CONTENTS</w:t>
      </w:r>
    </w:p>
    <w:p w:rsidR="00857BEA" w:rsidRPr="00857BEA" w:rsidRDefault="00857BEA" w:rsidP="00857BEA">
      <w:pPr>
        <w:tabs>
          <w:tab w:val="right" w:pos="288"/>
          <w:tab w:val="left" w:pos="547"/>
          <w:tab w:val="left" w:pos="965"/>
          <w:tab w:val="left" w:leader="dot" w:pos="8208"/>
          <w:tab w:val="right" w:pos="8640"/>
        </w:tabs>
      </w:pPr>
    </w:p>
    <w:p w:rsidR="0087081F" w:rsidRPr="00857BEA" w:rsidRDefault="0087081F" w:rsidP="0087081F">
      <w:pPr>
        <w:tabs>
          <w:tab w:val="right" w:pos="288"/>
          <w:tab w:val="left" w:pos="547"/>
          <w:tab w:val="left" w:pos="965"/>
          <w:tab w:val="left" w:leader="dot" w:pos="8208"/>
          <w:tab w:val="right" w:pos="8640"/>
        </w:tabs>
      </w:pPr>
      <w:r w:rsidRPr="00857BEA">
        <w:rPr>
          <w:caps/>
        </w:rPr>
        <w:t xml:space="preserve">Chapter 1: </w:t>
      </w:r>
      <w:r w:rsidRPr="00857BEA">
        <w:t>INTRODUCTION</w:t>
      </w:r>
      <w:r w:rsidRPr="00857BEA">
        <w:tab/>
      </w:r>
      <w:r w:rsidRPr="00857BEA">
        <w:tab/>
        <w:t>1</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Treatment Outcome Research with Depressed College Students</w:t>
      </w:r>
      <w:r w:rsidRPr="00857BEA">
        <w:tab/>
      </w:r>
      <w:r w:rsidRPr="00857BEA">
        <w:tab/>
        <w:t>3</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Behavioral Activation Treatments and Theory</w:t>
      </w:r>
      <w:r w:rsidRPr="00857BEA">
        <w:tab/>
      </w:r>
      <w:r w:rsidRPr="00857BEA">
        <w:tab/>
        <w:t>4</w:t>
      </w:r>
    </w:p>
    <w:p w:rsidR="0087081F" w:rsidRPr="00857BEA" w:rsidRDefault="0087081F" w:rsidP="0087081F">
      <w:pPr>
        <w:tabs>
          <w:tab w:val="right" w:pos="288"/>
          <w:tab w:val="left" w:pos="547"/>
          <w:tab w:val="left" w:pos="965"/>
          <w:tab w:val="left" w:leader="dot" w:pos="8208"/>
          <w:tab w:val="right" w:pos="8640"/>
        </w:tabs>
      </w:pPr>
      <w:r w:rsidRPr="00857BEA">
        <w:t xml:space="preserve">         Mindfulness-Based Stress Reduction</w:t>
      </w:r>
      <w:r w:rsidRPr="00857BEA">
        <w:tab/>
      </w:r>
      <w:r w:rsidRPr="00857BEA">
        <w:tab/>
        <w:t>6</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MBSR as a Treatment for Depression</w:t>
      </w:r>
      <w:r w:rsidRPr="00857BEA">
        <w:tab/>
      </w:r>
      <w:r w:rsidRPr="00857BEA">
        <w:tab/>
        <w:t>7</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MBSR as a Treatment for Anxiety and Stress</w:t>
      </w:r>
      <w:r w:rsidRPr="00857BEA">
        <w:tab/>
      </w:r>
      <w:r w:rsidRPr="00857BEA">
        <w:tab/>
        <w:t>9</w:t>
      </w:r>
    </w:p>
    <w:p w:rsidR="0087081F" w:rsidRPr="00857BEA" w:rsidRDefault="0087081F" w:rsidP="0087081F">
      <w:pPr>
        <w:tabs>
          <w:tab w:val="right" w:pos="288"/>
          <w:tab w:val="left" w:pos="547"/>
          <w:tab w:val="left" w:pos="965"/>
          <w:tab w:val="left" w:leader="dot" w:pos="8208"/>
          <w:tab w:val="right" w:pos="8640"/>
        </w:tabs>
      </w:pPr>
      <w:r w:rsidRPr="00857BEA">
        <w:t xml:space="preserve">         MBSR and BA Treatments for Depression</w:t>
      </w:r>
      <w:r w:rsidRPr="00857BEA">
        <w:tab/>
      </w:r>
      <w:r w:rsidRPr="00857BEA">
        <w:tab/>
        <w:t>10</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Current Study</w:t>
      </w:r>
      <w:r w:rsidRPr="00857BEA">
        <w:tab/>
      </w:r>
      <w:r w:rsidRPr="00857BEA">
        <w:tab/>
        <w:t>11</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Study Hypotheses</w:t>
      </w:r>
      <w:r w:rsidRPr="00857BEA">
        <w:tab/>
      </w:r>
      <w:r w:rsidRPr="00857BEA">
        <w:tab/>
        <w:t>11</w:t>
      </w:r>
    </w:p>
    <w:p w:rsidR="0087081F" w:rsidRPr="00857BEA" w:rsidRDefault="0087081F" w:rsidP="0087081F">
      <w:pPr>
        <w:tabs>
          <w:tab w:val="right" w:pos="288"/>
          <w:tab w:val="left" w:pos="547"/>
          <w:tab w:val="left" w:pos="965"/>
          <w:tab w:val="left" w:leader="dot" w:pos="8208"/>
          <w:tab w:val="right" w:pos="8640"/>
        </w:tabs>
      </w:pPr>
    </w:p>
    <w:p w:rsidR="0087081F" w:rsidRPr="00857BEA" w:rsidRDefault="0087081F" w:rsidP="0087081F">
      <w:pPr>
        <w:tabs>
          <w:tab w:val="right" w:pos="288"/>
          <w:tab w:val="left" w:pos="547"/>
          <w:tab w:val="left" w:pos="965"/>
          <w:tab w:val="left" w:leader="dot" w:pos="8208"/>
          <w:tab w:val="right" w:pos="8640"/>
        </w:tabs>
      </w:pPr>
      <w:r w:rsidRPr="00857BEA">
        <w:tab/>
      </w:r>
      <w:r w:rsidRPr="00857BEA">
        <w:rPr>
          <w:caps/>
        </w:rPr>
        <w:t>Chapter</w:t>
      </w:r>
      <w:r>
        <w:t xml:space="preserve"> 2: METHOD</w:t>
      </w:r>
      <w:r>
        <w:tab/>
      </w:r>
      <w:r>
        <w:tab/>
        <w:t>13</w:t>
      </w:r>
    </w:p>
    <w:p w:rsidR="0087081F" w:rsidRPr="00857BEA" w:rsidRDefault="0087081F" w:rsidP="0087081F">
      <w:pPr>
        <w:tabs>
          <w:tab w:val="right" w:pos="288"/>
          <w:tab w:val="left" w:pos="547"/>
          <w:tab w:val="left" w:pos="965"/>
          <w:tab w:val="left" w:leader="dot" w:pos="8208"/>
          <w:tab w:val="right" w:pos="8640"/>
        </w:tabs>
      </w:pPr>
      <w:r>
        <w:tab/>
      </w:r>
      <w:r>
        <w:tab/>
        <w:t>Participants</w:t>
      </w:r>
      <w:r>
        <w:tab/>
      </w:r>
      <w:r>
        <w:tab/>
        <w:t>13</w:t>
      </w:r>
    </w:p>
    <w:p w:rsidR="0087081F" w:rsidRPr="00857BEA" w:rsidRDefault="0087081F" w:rsidP="0087081F">
      <w:pPr>
        <w:tabs>
          <w:tab w:val="right" w:pos="288"/>
          <w:tab w:val="left" w:pos="547"/>
          <w:tab w:val="left" w:pos="965"/>
          <w:tab w:val="left" w:leader="dot" w:pos="8208"/>
          <w:tab w:val="right" w:pos="8640"/>
        </w:tabs>
      </w:pPr>
      <w:r>
        <w:tab/>
      </w:r>
      <w:r>
        <w:tab/>
        <w:t>Assessment Instruments</w:t>
      </w:r>
      <w:r>
        <w:tab/>
      </w:r>
      <w:r>
        <w:tab/>
        <w:t>14</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t>Anxiety Disorders I</w:t>
      </w:r>
      <w:r>
        <w:t>nterview Schedule for DSM-IV</w:t>
      </w:r>
      <w:r>
        <w:tab/>
      </w:r>
      <w:r>
        <w:tab/>
        <w:t>14</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t>Beck Depression Inven</w:t>
      </w:r>
      <w:r>
        <w:t>tory</w:t>
      </w:r>
      <w:r>
        <w:tab/>
      </w:r>
      <w:r>
        <w:tab/>
        <w:t>15</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t>Hamilton</w:t>
      </w:r>
      <w:r>
        <w:t xml:space="preserve"> Rating Scale for Depression</w:t>
      </w:r>
      <w:r>
        <w:tab/>
      </w:r>
      <w:r>
        <w:tab/>
        <w:t>15</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r>
      <w:r>
        <w:t>Beck Anxiety Inventory</w:t>
      </w:r>
      <w:r>
        <w:tab/>
      </w:r>
      <w:r>
        <w:tab/>
        <w:t>15</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t>Five-Fac</w:t>
      </w:r>
      <w:r>
        <w:t>et Mindfulness Questionnaire</w:t>
      </w:r>
      <w:r>
        <w:tab/>
      </w:r>
      <w:r>
        <w:tab/>
        <w:t>15</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r>
      <w:r>
        <w:t>Perceived Stress Scale</w:t>
      </w:r>
      <w:r>
        <w:tab/>
      </w:r>
      <w:r>
        <w:tab/>
        <w:t>16</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r>
      <w:r>
        <w:t>Ruminative Response Scale</w:t>
      </w:r>
      <w:r>
        <w:tab/>
      </w:r>
      <w:r>
        <w:tab/>
        <w:t>16</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t>Clien</w:t>
      </w:r>
      <w:r>
        <w:t>t Satisfaction Questionnaire</w:t>
      </w:r>
      <w:r>
        <w:tab/>
      </w:r>
      <w:r>
        <w:tab/>
        <w:t>17</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Therapy Interventions</w:t>
      </w:r>
      <w:r w:rsidRPr="00857BEA">
        <w:tab/>
      </w:r>
      <w:r w:rsidRPr="00857BEA">
        <w:tab/>
      </w:r>
      <w:r>
        <w:t>17</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r>
      <w:r>
        <w:t>Behavioral Activation</w:t>
      </w:r>
      <w:r>
        <w:tab/>
      </w:r>
      <w:r>
        <w:tab/>
        <w:t>17</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r>
      <w:r>
        <w:t>Mindfulness-Based Therapy</w:t>
      </w:r>
      <w:r>
        <w:tab/>
      </w:r>
      <w:r>
        <w:tab/>
        <w:t>18</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r>
      <w:r>
        <w:t>Wait-List Control Condition</w:t>
      </w:r>
      <w:r>
        <w:tab/>
      </w:r>
      <w:r>
        <w:tab/>
        <w:t>20</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t>Thera</w:t>
      </w:r>
      <w:r>
        <w:t>pists and Treatment Fidelity</w:t>
      </w:r>
      <w:r>
        <w:tab/>
      </w:r>
      <w:r>
        <w:tab/>
        <w:t>21</w:t>
      </w:r>
    </w:p>
    <w:p w:rsidR="0087081F" w:rsidRDefault="0087081F" w:rsidP="0087081F">
      <w:pPr>
        <w:tabs>
          <w:tab w:val="right" w:pos="288"/>
          <w:tab w:val="left" w:pos="547"/>
          <w:tab w:val="left" w:pos="965"/>
          <w:tab w:val="left" w:leader="dot" w:pos="8208"/>
          <w:tab w:val="right" w:pos="8640"/>
        </w:tabs>
      </w:pPr>
      <w:r w:rsidRPr="00857BEA">
        <w:tab/>
      </w:r>
      <w:r w:rsidRPr="00857BEA">
        <w:tab/>
      </w:r>
      <w:r w:rsidRPr="00857BEA">
        <w:tab/>
        <w:t>Res</w:t>
      </w:r>
      <w:r>
        <w:t>ponse and remission criteria</w:t>
      </w:r>
      <w:r>
        <w:tab/>
      </w:r>
      <w:r>
        <w:tab/>
        <w:t>21</w:t>
      </w:r>
    </w:p>
    <w:p w:rsidR="0087081F" w:rsidRPr="00857BEA" w:rsidRDefault="0087081F" w:rsidP="0087081F">
      <w:pPr>
        <w:tabs>
          <w:tab w:val="right" w:pos="288"/>
          <w:tab w:val="left" w:pos="547"/>
          <w:tab w:val="left" w:pos="965"/>
          <w:tab w:val="left" w:leader="dot" w:pos="8208"/>
          <w:tab w:val="right" w:pos="8640"/>
        </w:tabs>
      </w:pPr>
      <w:r>
        <w:tab/>
      </w:r>
      <w:r>
        <w:tab/>
        <w:t>Procedure</w:t>
      </w:r>
      <w:r>
        <w:tab/>
      </w:r>
      <w:r>
        <w:tab/>
        <w:t>22</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p>
    <w:p w:rsidR="0087081F" w:rsidRPr="00857BEA" w:rsidRDefault="0087081F" w:rsidP="0087081F">
      <w:pPr>
        <w:tabs>
          <w:tab w:val="right" w:pos="288"/>
          <w:tab w:val="left" w:pos="547"/>
          <w:tab w:val="left" w:pos="965"/>
          <w:tab w:val="left" w:leader="dot" w:pos="8208"/>
          <w:tab w:val="right" w:pos="8640"/>
        </w:tabs>
      </w:pPr>
      <w:r w:rsidRPr="00857BEA">
        <w:tab/>
      </w:r>
      <w:r w:rsidRPr="00857BEA">
        <w:rPr>
          <w:caps/>
        </w:rPr>
        <w:t>Chapter</w:t>
      </w:r>
      <w:r>
        <w:t xml:space="preserve"> 3: RESULTS</w:t>
      </w:r>
      <w:r>
        <w:tab/>
      </w:r>
      <w:r>
        <w:tab/>
        <w:t>23</w:t>
      </w:r>
    </w:p>
    <w:p w:rsidR="0087081F" w:rsidRPr="00857BEA" w:rsidRDefault="0087081F" w:rsidP="0087081F">
      <w:pPr>
        <w:tabs>
          <w:tab w:val="right" w:pos="288"/>
          <w:tab w:val="left" w:pos="547"/>
          <w:tab w:val="left" w:pos="965"/>
          <w:tab w:val="left" w:leader="dot" w:pos="8208"/>
          <w:tab w:val="right" w:pos="8640"/>
        </w:tabs>
      </w:pPr>
      <w:r>
        <w:tab/>
      </w:r>
      <w:r>
        <w:tab/>
        <w:t>Treatment Outcome Data</w:t>
      </w:r>
      <w:r>
        <w:tab/>
      </w:r>
      <w:r>
        <w:tab/>
        <w:t>23</w:t>
      </w:r>
    </w:p>
    <w:p w:rsidR="0087081F" w:rsidRPr="00857BEA" w:rsidRDefault="0087081F" w:rsidP="0087081F">
      <w:pPr>
        <w:tabs>
          <w:tab w:val="right" w:pos="288"/>
          <w:tab w:val="left" w:pos="547"/>
          <w:tab w:val="left" w:pos="965"/>
          <w:tab w:val="left" w:leader="dot" w:pos="8208"/>
          <w:tab w:val="right" w:pos="8640"/>
        </w:tabs>
      </w:pPr>
      <w:r w:rsidRPr="00857BEA">
        <w:tab/>
      </w:r>
      <w:r w:rsidRPr="00857BEA">
        <w:tab/>
      </w:r>
      <w:r w:rsidRPr="00857BEA">
        <w:tab/>
        <w:t>Treatment Response</w:t>
      </w:r>
      <w:r>
        <w:t xml:space="preserve"> and Remission</w:t>
      </w:r>
      <w:r>
        <w:tab/>
      </w:r>
      <w:r>
        <w:tab/>
        <w:t>24</w:t>
      </w:r>
    </w:p>
    <w:p w:rsidR="0087081F" w:rsidRPr="00857BEA" w:rsidRDefault="0087081F" w:rsidP="0087081F">
      <w:pPr>
        <w:tabs>
          <w:tab w:val="right" w:pos="288"/>
          <w:tab w:val="left" w:pos="547"/>
          <w:tab w:val="left" w:pos="965"/>
          <w:tab w:val="left" w:leader="dot" w:pos="8208"/>
          <w:tab w:val="right" w:pos="8640"/>
        </w:tabs>
      </w:pPr>
      <w:r>
        <w:tab/>
      </w:r>
      <w:r>
        <w:tab/>
      </w:r>
      <w:r>
        <w:tab/>
        <w:t>Diagnostic Assessment</w:t>
      </w:r>
      <w:r>
        <w:tab/>
      </w:r>
      <w:r>
        <w:tab/>
        <w:t>24</w:t>
      </w:r>
    </w:p>
    <w:p w:rsidR="0087081F" w:rsidRPr="00857BEA" w:rsidRDefault="0087081F" w:rsidP="0087081F">
      <w:pPr>
        <w:tabs>
          <w:tab w:val="right" w:pos="288"/>
          <w:tab w:val="left" w:pos="547"/>
          <w:tab w:val="left" w:pos="965"/>
          <w:tab w:val="left" w:leader="dot" w:pos="8208"/>
          <w:tab w:val="right" w:pos="8640"/>
        </w:tabs>
      </w:pPr>
    </w:p>
    <w:p w:rsidR="0087081F" w:rsidRPr="00857BEA" w:rsidRDefault="0087081F" w:rsidP="0087081F">
      <w:pPr>
        <w:tabs>
          <w:tab w:val="right" w:pos="288"/>
          <w:tab w:val="left" w:pos="547"/>
          <w:tab w:val="left" w:pos="965"/>
          <w:tab w:val="left" w:leader="dot" w:pos="8208"/>
          <w:tab w:val="right" w:pos="8640"/>
        </w:tabs>
      </w:pPr>
      <w:r w:rsidRPr="00857BEA">
        <w:rPr>
          <w:caps/>
        </w:rPr>
        <w:t>Chapter</w:t>
      </w:r>
      <w:r w:rsidRPr="00857BEA">
        <w:t xml:space="preserve"> 4: </w:t>
      </w:r>
      <w:r w:rsidRPr="00857BEA">
        <w:rPr>
          <w:caps/>
        </w:rPr>
        <w:t>Conclusion</w:t>
      </w:r>
      <w:r>
        <w:tab/>
      </w:r>
      <w:r>
        <w:tab/>
        <w:t>25</w:t>
      </w:r>
    </w:p>
    <w:p w:rsidR="0087081F" w:rsidRPr="00857BEA" w:rsidRDefault="0087081F" w:rsidP="0087081F">
      <w:pPr>
        <w:tabs>
          <w:tab w:val="right" w:pos="288"/>
          <w:tab w:val="left" w:pos="547"/>
          <w:tab w:val="left" w:pos="965"/>
          <w:tab w:val="left" w:leader="dot" w:pos="8208"/>
          <w:tab w:val="right" w:pos="8640"/>
        </w:tabs>
      </w:pPr>
      <w:r>
        <w:t>Discussion</w:t>
      </w:r>
      <w:r>
        <w:tab/>
      </w:r>
      <w:r>
        <w:tab/>
        <w:t>25</w:t>
      </w:r>
    </w:p>
    <w:p w:rsidR="0087081F" w:rsidRPr="00857BEA" w:rsidRDefault="0087081F" w:rsidP="0087081F">
      <w:pPr>
        <w:tabs>
          <w:tab w:val="right" w:pos="288"/>
          <w:tab w:val="left" w:pos="547"/>
          <w:tab w:val="left" w:pos="965"/>
          <w:tab w:val="left" w:leader="dot" w:pos="8208"/>
          <w:tab w:val="right" w:pos="8640"/>
        </w:tabs>
      </w:pPr>
    </w:p>
    <w:p w:rsidR="0087081F" w:rsidRDefault="0087081F" w:rsidP="0087081F">
      <w:pPr>
        <w:tabs>
          <w:tab w:val="right" w:pos="288"/>
          <w:tab w:val="left" w:pos="547"/>
          <w:tab w:val="left" w:pos="965"/>
          <w:tab w:val="left" w:leader="dot" w:pos="8208"/>
          <w:tab w:val="right" w:pos="8640"/>
        </w:tabs>
      </w:pPr>
      <w:r>
        <w:t>REFERENCES</w:t>
      </w:r>
      <w:r>
        <w:tab/>
      </w:r>
      <w:r>
        <w:tab/>
        <w:t>29</w:t>
      </w:r>
    </w:p>
    <w:p w:rsidR="0087081F" w:rsidRPr="006E4565" w:rsidRDefault="0087081F" w:rsidP="0087081F">
      <w:pPr>
        <w:tabs>
          <w:tab w:val="right" w:pos="288"/>
          <w:tab w:val="left" w:pos="547"/>
          <w:tab w:val="left" w:pos="965"/>
          <w:tab w:val="left" w:leader="dot" w:pos="8208"/>
          <w:tab w:val="right" w:pos="8640"/>
        </w:tabs>
        <w:rPr>
          <w:caps/>
        </w:rPr>
      </w:pPr>
      <w:r w:rsidRPr="006E4565">
        <w:rPr>
          <w:caps/>
        </w:rPr>
        <w:t>Appendi</w:t>
      </w:r>
      <w:r>
        <w:rPr>
          <w:caps/>
        </w:rPr>
        <w:t>X</w:t>
      </w:r>
      <w:r>
        <w:rPr>
          <w:caps/>
        </w:rPr>
        <w:tab/>
      </w:r>
      <w:r>
        <w:rPr>
          <w:caps/>
        </w:rPr>
        <w:tab/>
        <w:t>45</w:t>
      </w:r>
    </w:p>
    <w:p w:rsidR="009A6F76" w:rsidRPr="0087081F" w:rsidRDefault="0087081F" w:rsidP="009A6F76">
      <w:pPr>
        <w:tabs>
          <w:tab w:val="right" w:pos="288"/>
          <w:tab w:val="left" w:pos="547"/>
          <w:tab w:val="left" w:pos="965"/>
          <w:tab w:val="left" w:leader="dot" w:pos="8208"/>
          <w:tab w:val="right" w:pos="8640"/>
        </w:tabs>
        <w:rPr>
          <w:caps/>
        </w:rPr>
      </w:pPr>
      <w:r>
        <w:t>VITA</w:t>
      </w:r>
      <w:r w:rsidRPr="005F22E7">
        <w:rPr>
          <w:caps/>
        </w:rPr>
        <w:t xml:space="preserve"> </w:t>
      </w:r>
      <w:r>
        <w:rPr>
          <w:caps/>
        </w:rPr>
        <w:tab/>
      </w:r>
      <w:r>
        <w:rPr>
          <w:caps/>
        </w:rPr>
        <w:tab/>
        <w:t xml:space="preserve">   52</w:t>
      </w:r>
      <w:r w:rsidR="009A6F76" w:rsidRPr="00D348AA">
        <w:br w:type="page"/>
      </w:r>
    </w:p>
    <w:p w:rsidR="0083792C" w:rsidRPr="00B45C28" w:rsidRDefault="0083792C" w:rsidP="0083792C">
      <w:pPr>
        <w:tabs>
          <w:tab w:val="right" w:pos="288"/>
          <w:tab w:val="left" w:pos="547"/>
          <w:tab w:val="left" w:pos="965"/>
          <w:tab w:val="left" w:leader="dot" w:pos="8208"/>
          <w:tab w:val="right" w:pos="8640"/>
        </w:tabs>
        <w:jc w:val="center"/>
      </w:pPr>
      <w:r w:rsidRPr="00B45C28">
        <w:lastRenderedPageBreak/>
        <w:t>LIST OF TABLES</w:t>
      </w:r>
    </w:p>
    <w:p w:rsidR="0083792C" w:rsidRPr="00B45C28" w:rsidRDefault="0083792C" w:rsidP="0083792C">
      <w:pPr>
        <w:rPr>
          <w:u w:val="single"/>
        </w:rPr>
      </w:pPr>
    </w:p>
    <w:p w:rsidR="0083792C" w:rsidRPr="00B45C28" w:rsidRDefault="0083792C" w:rsidP="0083792C">
      <w:pPr>
        <w:tabs>
          <w:tab w:val="right" w:pos="288"/>
          <w:tab w:val="left" w:pos="547"/>
          <w:tab w:val="left" w:pos="965"/>
          <w:tab w:val="left" w:leader="dot" w:pos="7740"/>
          <w:tab w:val="right" w:pos="8280"/>
        </w:tabs>
        <w:spacing w:line="480" w:lineRule="auto"/>
      </w:pPr>
      <w:r w:rsidRPr="00B45C28">
        <w:t>Table1. Participant Characteristics</w:t>
      </w:r>
      <w:r w:rsidR="00BF48D4">
        <w:t xml:space="preserve"> Across Treatment Conditions</w:t>
      </w:r>
      <w:r w:rsidR="00BF48D4">
        <w:tab/>
      </w:r>
      <w:r w:rsidR="00BF48D4">
        <w:tab/>
        <w:t>47</w:t>
      </w:r>
    </w:p>
    <w:p w:rsidR="0083792C" w:rsidRPr="00B45C28" w:rsidRDefault="0083792C" w:rsidP="0083792C">
      <w:pPr>
        <w:tabs>
          <w:tab w:val="right" w:pos="288"/>
          <w:tab w:val="left" w:pos="547"/>
          <w:tab w:val="left" w:pos="965"/>
          <w:tab w:val="left" w:leader="dot" w:pos="7740"/>
          <w:tab w:val="right" w:pos="8280"/>
        </w:tabs>
        <w:spacing w:line="480" w:lineRule="auto"/>
      </w:pPr>
      <w:r w:rsidRPr="00B45C28">
        <w:t>Table 2. Pre-treatment Outcome Measures as a Function of Group</w:t>
      </w:r>
      <w:r w:rsidRPr="00B45C28">
        <w:tab/>
        <w:t xml:space="preserve">     </w:t>
      </w:r>
      <w:r w:rsidR="00BF48D4">
        <w:t>48</w:t>
      </w:r>
    </w:p>
    <w:p w:rsidR="0083792C" w:rsidRPr="00B45C28" w:rsidRDefault="0083792C" w:rsidP="0083792C">
      <w:pPr>
        <w:tabs>
          <w:tab w:val="right" w:pos="288"/>
          <w:tab w:val="left" w:pos="547"/>
          <w:tab w:val="left" w:pos="965"/>
          <w:tab w:val="left" w:leader="dot" w:pos="7740"/>
          <w:tab w:val="right" w:pos="8280"/>
        </w:tabs>
        <w:spacing w:line="480" w:lineRule="auto"/>
      </w:pPr>
      <w:r w:rsidRPr="00B45C28">
        <w:t>Table 3. Treatment Ou</w:t>
      </w:r>
      <w:r w:rsidR="00BF48D4">
        <w:t>tcome as a Function of Group</w:t>
      </w:r>
      <w:r w:rsidR="00BF48D4">
        <w:tab/>
      </w:r>
      <w:r w:rsidR="00BF48D4">
        <w:tab/>
        <w:t>49</w:t>
      </w:r>
    </w:p>
    <w:p w:rsidR="0083792C" w:rsidRPr="0013554D" w:rsidRDefault="0083792C" w:rsidP="0083792C">
      <w:pPr>
        <w:tabs>
          <w:tab w:val="left" w:pos="7890"/>
        </w:tabs>
        <w:spacing w:line="480" w:lineRule="auto"/>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83792C" w:rsidRDefault="0083792C" w:rsidP="00B45C28">
      <w:pPr>
        <w:tabs>
          <w:tab w:val="right" w:pos="288"/>
          <w:tab w:val="left" w:pos="547"/>
          <w:tab w:val="left" w:pos="965"/>
          <w:tab w:val="left" w:leader="dot" w:pos="8208"/>
          <w:tab w:val="right" w:pos="8640"/>
        </w:tabs>
        <w:jc w:val="center"/>
      </w:pPr>
    </w:p>
    <w:p w:rsidR="00B45C28" w:rsidRPr="00B45C28" w:rsidRDefault="00B45C28" w:rsidP="00B45C28">
      <w:pPr>
        <w:tabs>
          <w:tab w:val="right" w:pos="288"/>
          <w:tab w:val="left" w:pos="547"/>
          <w:tab w:val="left" w:pos="965"/>
          <w:tab w:val="left" w:leader="dot" w:pos="8208"/>
          <w:tab w:val="right" w:pos="8640"/>
        </w:tabs>
        <w:jc w:val="center"/>
      </w:pPr>
      <w:r w:rsidRPr="00B45C28">
        <w:lastRenderedPageBreak/>
        <w:t xml:space="preserve">LIST OF </w:t>
      </w:r>
      <w:r w:rsidRPr="00B45C28">
        <w:rPr>
          <w:caps/>
        </w:rPr>
        <w:t>Figures</w:t>
      </w:r>
    </w:p>
    <w:p w:rsidR="00B45C28" w:rsidRPr="00B45C28" w:rsidRDefault="00B45C28" w:rsidP="00B45C28">
      <w:pPr>
        <w:rPr>
          <w:u w:val="single"/>
        </w:rPr>
      </w:pPr>
    </w:p>
    <w:p w:rsidR="00B45C28" w:rsidRPr="00B45C28" w:rsidRDefault="00BF48D4" w:rsidP="00B45C28">
      <w:pPr>
        <w:tabs>
          <w:tab w:val="right" w:pos="288"/>
          <w:tab w:val="left" w:pos="547"/>
          <w:tab w:val="left" w:pos="965"/>
          <w:tab w:val="left" w:leader="dot" w:pos="7740"/>
          <w:tab w:val="right" w:pos="8280"/>
        </w:tabs>
      </w:pPr>
      <w:r>
        <w:t>Figure 1. Consort</w:t>
      </w:r>
      <w:r>
        <w:tab/>
      </w:r>
      <w:r>
        <w:tab/>
        <w:t>50</w:t>
      </w:r>
    </w:p>
    <w:p w:rsidR="00B45C28" w:rsidRPr="00B45C28" w:rsidRDefault="00B45C28" w:rsidP="00B45C28">
      <w:pPr>
        <w:tabs>
          <w:tab w:val="right" w:pos="288"/>
          <w:tab w:val="left" w:pos="547"/>
          <w:tab w:val="left" w:pos="965"/>
          <w:tab w:val="left" w:leader="dot" w:pos="7740"/>
          <w:tab w:val="right" w:pos="8280"/>
        </w:tabs>
      </w:pPr>
    </w:p>
    <w:p w:rsidR="00B45C28" w:rsidRPr="00B45C28" w:rsidRDefault="00B45C28" w:rsidP="00B45C28">
      <w:pPr>
        <w:tabs>
          <w:tab w:val="right" w:pos="288"/>
          <w:tab w:val="left" w:pos="547"/>
          <w:tab w:val="left" w:pos="965"/>
          <w:tab w:val="left" w:leader="dot" w:pos="7740"/>
          <w:tab w:val="right" w:pos="8280"/>
        </w:tabs>
      </w:pPr>
      <w:r w:rsidRPr="00B45C28">
        <w:t xml:space="preserve">Figure 2. BDI-II </w:t>
      </w:r>
      <w:r w:rsidR="00BF48D4">
        <w:t>Response and Remission Rates</w:t>
      </w:r>
      <w:r w:rsidR="00BF48D4">
        <w:tab/>
      </w:r>
      <w:r w:rsidR="00BF48D4">
        <w:tab/>
        <w:t>51</w:t>
      </w:r>
    </w:p>
    <w:p w:rsidR="00B45C28" w:rsidRPr="00B45C28" w:rsidRDefault="00B45C28" w:rsidP="00B45C28">
      <w:pPr>
        <w:tabs>
          <w:tab w:val="right" w:pos="288"/>
          <w:tab w:val="left" w:pos="547"/>
          <w:tab w:val="left" w:pos="965"/>
          <w:tab w:val="left" w:leader="dot" w:pos="7740"/>
          <w:tab w:val="right" w:pos="8280"/>
        </w:tabs>
      </w:pPr>
    </w:p>
    <w:p w:rsidR="00B45C28" w:rsidRPr="00B45C28" w:rsidRDefault="00B45C28" w:rsidP="00B45C28">
      <w:pPr>
        <w:tabs>
          <w:tab w:val="right" w:pos="288"/>
          <w:tab w:val="left" w:pos="547"/>
          <w:tab w:val="left" w:pos="965"/>
          <w:tab w:val="left" w:leader="dot" w:pos="7740"/>
          <w:tab w:val="right" w:pos="8280"/>
        </w:tabs>
      </w:pPr>
      <w:r w:rsidRPr="00B45C28">
        <w:t xml:space="preserve">Figure 3. HRSD </w:t>
      </w:r>
      <w:r w:rsidR="00BF48D4">
        <w:t>Response and Remission Rates</w:t>
      </w:r>
      <w:r w:rsidR="00BF48D4">
        <w:tab/>
      </w:r>
      <w:r w:rsidR="00BF48D4">
        <w:tab/>
        <w:t>52</w:t>
      </w:r>
    </w:p>
    <w:p w:rsidR="00B45C28" w:rsidRPr="00B45C28" w:rsidRDefault="00B45C28" w:rsidP="00B45C28">
      <w:pPr>
        <w:tabs>
          <w:tab w:val="left" w:pos="7890"/>
        </w:tabs>
        <w:spacing w:line="480" w:lineRule="auto"/>
      </w:pPr>
    </w:p>
    <w:p w:rsidR="009A6F76" w:rsidRPr="00D348AA" w:rsidRDefault="009A6F76" w:rsidP="009A6F76">
      <w:pPr>
        <w:tabs>
          <w:tab w:val="right" w:pos="288"/>
          <w:tab w:val="left" w:pos="547"/>
          <w:tab w:val="left" w:pos="965"/>
          <w:tab w:val="left" w:leader="dot" w:pos="8208"/>
          <w:tab w:val="right" w:pos="8640"/>
        </w:tabs>
      </w:pPr>
    </w:p>
    <w:p w:rsidR="009A6F76" w:rsidRDefault="009A6F76" w:rsidP="009A6F76">
      <w:pPr>
        <w:tabs>
          <w:tab w:val="right" w:pos="288"/>
          <w:tab w:val="left" w:pos="547"/>
          <w:tab w:val="left" w:pos="965"/>
          <w:tab w:val="left" w:leader="dot" w:pos="8208"/>
          <w:tab w:val="right" w:pos="8640"/>
        </w:tabs>
        <w:jc w:val="center"/>
      </w:pPr>
    </w:p>
    <w:p w:rsidR="009A6F76" w:rsidRDefault="009A6F76" w:rsidP="009A6F76">
      <w:pPr>
        <w:tabs>
          <w:tab w:val="right" w:pos="288"/>
          <w:tab w:val="left" w:pos="547"/>
          <w:tab w:val="left" w:pos="965"/>
          <w:tab w:val="left" w:leader="dot" w:pos="8208"/>
          <w:tab w:val="right" w:pos="8640"/>
        </w:tabs>
        <w:jc w:val="center"/>
      </w:pPr>
    </w:p>
    <w:p w:rsidR="009A6F76" w:rsidRDefault="009A6F76"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9A6F76" w:rsidRDefault="009A6F76"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45C28" w:rsidRDefault="00B45C28" w:rsidP="009A6F76">
      <w:pPr>
        <w:tabs>
          <w:tab w:val="right" w:pos="288"/>
          <w:tab w:val="left" w:pos="547"/>
          <w:tab w:val="left" w:pos="965"/>
          <w:tab w:val="left" w:leader="dot" w:pos="8208"/>
          <w:tab w:val="right" w:pos="8640"/>
        </w:tabs>
        <w:jc w:val="center"/>
      </w:pPr>
    </w:p>
    <w:p w:rsidR="00B27D80" w:rsidRDefault="00B27D80" w:rsidP="00C151BD">
      <w:pPr>
        <w:rPr>
          <w:b/>
        </w:rPr>
        <w:sectPr w:rsidR="00B27D80" w:rsidSect="00BC7DB7">
          <w:footerReference w:type="default" r:id="rId8"/>
          <w:pgSz w:w="12240" w:h="15840"/>
          <w:pgMar w:top="1440" w:right="1440" w:bottom="1440" w:left="1440" w:header="720" w:footer="720" w:gutter="0"/>
          <w:pgNumType w:fmt="lowerRoman" w:start="1"/>
          <w:cols w:space="720"/>
          <w:titlePg/>
          <w:docGrid w:linePitch="360"/>
        </w:sectPr>
      </w:pPr>
      <w:r>
        <w:rPr>
          <w:b/>
        </w:rPr>
        <w:t>|</w:t>
      </w:r>
    </w:p>
    <w:p w:rsidR="00F22446" w:rsidRPr="00B27D80" w:rsidRDefault="009A6F76" w:rsidP="00B27D80">
      <w:pPr>
        <w:jc w:val="center"/>
        <w:rPr>
          <w:b/>
        </w:rPr>
      </w:pPr>
      <w:r w:rsidRPr="00B27D80">
        <w:rPr>
          <w:b/>
        </w:rPr>
        <w:lastRenderedPageBreak/>
        <w:t>CHAPTER 1</w:t>
      </w:r>
      <w:r w:rsidR="00402AB2" w:rsidRPr="00B27D80">
        <w:rPr>
          <w:b/>
        </w:rPr>
        <w:t xml:space="preserve">: </w:t>
      </w:r>
      <w:r w:rsidR="00402AB2" w:rsidRPr="00E9622E">
        <w:rPr>
          <w:b/>
          <w:caps/>
        </w:rPr>
        <w:t>Introduction</w:t>
      </w:r>
    </w:p>
    <w:p w:rsidR="00F22446" w:rsidRDefault="00F22446"/>
    <w:p w:rsidR="00F22446" w:rsidRDefault="00F22446" w:rsidP="007C5791">
      <w:pPr>
        <w:spacing w:line="480" w:lineRule="auto"/>
        <w:ind w:firstLine="720"/>
      </w:pPr>
      <w:r>
        <w:t>Major depressive disorder (MDD) is a widespread problem among college students, and c</w:t>
      </w:r>
      <w:r w:rsidRPr="00402828">
        <w:t xml:space="preserve">onsistent with community samples, depression is </w:t>
      </w:r>
      <w:r>
        <w:t xml:space="preserve">found in 15-20% of </w:t>
      </w:r>
      <w:r w:rsidRPr="00402828">
        <w:t xml:space="preserve">university students, with increasing </w:t>
      </w:r>
      <w:r>
        <w:t xml:space="preserve">incidence in </w:t>
      </w:r>
      <w:r w:rsidRPr="00402828">
        <w:t xml:space="preserve">the past two decades (American </w:t>
      </w:r>
      <w:r>
        <w:t>College Health Association, 2010</w:t>
      </w:r>
      <w:r w:rsidRPr="00402828">
        <w:t>; Benton, Robertson, Tseng, Newton, &amp; Benton, 2003; Gallagher, 2007)</w:t>
      </w:r>
      <w:r>
        <w:t>. Depressed college students report significant academic problems, such as lower grade point average, inability to concentrate, missed classes, lower academic productivity, and interpersonal problems at school (Califano, 2003; Fazio &amp; Palm, 1998; Pritchard &amp; Wilson, 2003). The impact of depression extends beyond the academic setting, and has been linked to suicide, physical illness, risky sexual behavior, and poorer quality of life (Califano, 2003). In addition, relative to non-depressed college students, those with depression are more likely to engage in self-injurious behavior</w:t>
      </w:r>
      <w:r w:rsidRPr="0014791E">
        <w:t xml:space="preserve"> </w:t>
      </w:r>
      <w:r>
        <w:t>(</w:t>
      </w:r>
      <w:r w:rsidRPr="0014791E">
        <w:t>Serras, Saules, Cranford,</w:t>
      </w:r>
      <w:r>
        <w:t xml:space="preserve"> &amp;</w:t>
      </w:r>
      <w:r w:rsidRPr="0014791E">
        <w:t xml:space="preserve"> Eisenberg, 2010</w:t>
      </w:r>
      <w:r>
        <w:t>), smoke cigarettes (Califano, 2003; Lenz, 2004;</w:t>
      </w:r>
      <w:r w:rsidRPr="002961EA">
        <w:t xml:space="preserve"> </w:t>
      </w:r>
      <w:r>
        <w:t xml:space="preserve">Saules et al., 2004), have alcohol dependency, and abuse illicit drugs (Califano, 2003). Indeed, the </w:t>
      </w:r>
      <w:r w:rsidRPr="00801E17">
        <w:t>American College Health Association</w:t>
      </w:r>
      <w:r>
        <w:t xml:space="preserve">- </w:t>
      </w:r>
      <w:r w:rsidRPr="00FC4292">
        <w:t xml:space="preserve">National College Health Assessment </w:t>
      </w:r>
      <w:r>
        <w:t>(</w:t>
      </w:r>
      <w:r w:rsidRPr="00FC4292">
        <w:t>ACHA</w:t>
      </w:r>
      <w:r>
        <w:t xml:space="preserve">-NCHA) indicated that approximately </w:t>
      </w:r>
      <w:r w:rsidRPr="00801E17">
        <w:t xml:space="preserve">30 percent of </w:t>
      </w:r>
      <w:r>
        <w:t xml:space="preserve">college </w:t>
      </w:r>
      <w:r w:rsidRPr="00801E17">
        <w:t xml:space="preserve">students reported </w:t>
      </w:r>
      <w:r>
        <w:t>“</w:t>
      </w:r>
      <w:r w:rsidRPr="00801E17">
        <w:t>feeling so depressed it was difficult to function</w:t>
      </w:r>
      <w:r>
        <w:t xml:space="preserve">” (ACHA, 2010). Depression in college students is a significant problem and there is a pressing need to develop and assess efficient evidence-based interventions to address the prevalence and impact of the condition </w:t>
      </w:r>
      <w:r w:rsidRPr="00402828">
        <w:t>(</w:t>
      </w:r>
      <w:r>
        <w:t>Gawrysiak, Nicholas, &amp; Hopko, 2009; Lee, 2005</w:t>
      </w:r>
      <w:r w:rsidRPr="00402828">
        <w:t>)</w:t>
      </w:r>
      <w:r>
        <w:t xml:space="preserve">.  </w:t>
      </w:r>
    </w:p>
    <w:p w:rsidR="00F22446" w:rsidRDefault="00F22446" w:rsidP="00ED4B8E">
      <w:pPr>
        <w:spacing w:line="480" w:lineRule="auto"/>
        <w:ind w:firstLine="720"/>
      </w:pPr>
      <w:r>
        <w:t>Prevention research indicates that e</w:t>
      </w:r>
      <w:r w:rsidRPr="001855F0">
        <w:t xml:space="preserve">arly </w:t>
      </w:r>
      <w:r>
        <w:t xml:space="preserve">detection and </w:t>
      </w:r>
      <w:r w:rsidRPr="001855F0">
        <w:t xml:space="preserve">intervention </w:t>
      </w:r>
      <w:r>
        <w:t>of</w:t>
      </w:r>
      <w:r w:rsidRPr="001855F0">
        <w:t xml:space="preserve"> depression during college can reduce the incidence</w:t>
      </w:r>
      <w:r>
        <w:t>,</w:t>
      </w:r>
      <w:r w:rsidRPr="001855F0">
        <w:t xml:space="preserve"> severity</w:t>
      </w:r>
      <w:r>
        <w:t>, and duration</w:t>
      </w:r>
      <w:r w:rsidRPr="001855F0">
        <w:t xml:space="preserve"> of future mental health problems</w:t>
      </w:r>
      <w:r>
        <w:t>,</w:t>
      </w:r>
      <w:r w:rsidRPr="00A669BF">
        <w:t xml:space="preserve"> </w:t>
      </w:r>
      <w:r>
        <w:t xml:space="preserve">such as depressive and anxiety disorders as well as substance use disorders (Cuijpers </w:t>
      </w:r>
      <w:r w:rsidRPr="00F47DEF">
        <w:t>&amp; van Straten, 2007</w:t>
      </w:r>
      <w:r>
        <w:t xml:space="preserve">; </w:t>
      </w:r>
      <w:r w:rsidRPr="00F47DEF">
        <w:t xml:space="preserve">Cuijpers, van Straten, Smit, </w:t>
      </w:r>
      <w:r>
        <w:t>Mihalopoulos</w:t>
      </w:r>
      <w:r w:rsidRPr="00F47DEF">
        <w:t xml:space="preserve"> &amp; Beekman, 2008</w:t>
      </w:r>
      <w:r>
        <w:t xml:space="preserve">; Kupfer, Frank, &amp; Perel, </w:t>
      </w:r>
      <w:r w:rsidRPr="0005437C">
        <w:lastRenderedPageBreak/>
        <w:t>1989</w:t>
      </w:r>
      <w:r>
        <w:t>;</w:t>
      </w:r>
      <w:r w:rsidRPr="00F47DEF">
        <w:t xml:space="preserve"> </w:t>
      </w:r>
      <w:r>
        <w:t>Mrazek</w:t>
      </w:r>
      <w:r w:rsidRPr="001A3F6A">
        <w:t xml:space="preserve"> </w:t>
      </w:r>
      <w:r>
        <w:t xml:space="preserve">&amp; Haggerty, </w:t>
      </w:r>
      <w:r w:rsidRPr="001A3F6A">
        <w:t>1994</w:t>
      </w:r>
      <w:r>
        <w:t xml:space="preserve">). Moreover, among individuals with subclinical depressive symptoms at risk for developing MDD, early psychological interventions may prevent this trajectory (Cuijpers </w:t>
      </w:r>
      <w:r w:rsidRPr="00F47DEF">
        <w:t>&amp; van Straten, 2007</w:t>
      </w:r>
      <w:r>
        <w:t>).</w:t>
      </w:r>
      <w:r w:rsidRPr="001855F0">
        <w:t xml:space="preserve"> </w:t>
      </w:r>
      <w:r>
        <w:t xml:space="preserve">Access to treatment interventions for MDD during college can improve young adults’ quality of life (Eisenberg, Golberstein, &amp; Hunt, </w:t>
      </w:r>
      <w:r w:rsidRPr="00914756">
        <w:t>2009),</w:t>
      </w:r>
      <w:r>
        <w:t xml:space="preserve"> reduce stress and</w:t>
      </w:r>
      <w:r w:rsidRPr="007D38D2">
        <w:t xml:space="preserve"> anxiety</w:t>
      </w:r>
      <w:r w:rsidRPr="00ED4B8E">
        <w:t xml:space="preserve"> </w:t>
      </w:r>
      <w:r>
        <w:t xml:space="preserve">(Deckro et al., </w:t>
      </w:r>
      <w:r w:rsidRPr="00711025">
        <w:t>2002</w:t>
      </w:r>
      <w:r>
        <w:t>;</w:t>
      </w:r>
      <w:r w:rsidRPr="006233CB">
        <w:t xml:space="preserve"> </w:t>
      </w:r>
      <w:r>
        <w:t>Seligman,</w:t>
      </w:r>
      <w:r w:rsidRPr="006233CB">
        <w:t xml:space="preserve"> </w:t>
      </w:r>
      <w:r>
        <w:t xml:space="preserve">Schulman, DeRubeis, &amp; Hollon, 1999), increase health and fitness behaviors (Deckro et al., </w:t>
      </w:r>
      <w:r w:rsidRPr="00711025">
        <w:t>2002</w:t>
      </w:r>
      <w:r>
        <w:t>; Gawrysiak, Nicholas, &amp; Hopko, 2009</w:t>
      </w:r>
      <w:r w:rsidRPr="00711025">
        <w:t>)</w:t>
      </w:r>
      <w:r>
        <w:t>, reduce dysfunctional attitudes and increase optimism (Seligman et al., 1999), and</w:t>
      </w:r>
      <w:r w:rsidRPr="001855F0">
        <w:t xml:space="preserve"> positively impa</w:t>
      </w:r>
      <w:r>
        <w:t xml:space="preserve">ct academic performance (Eisenberg, Golberstein, &amp; Hunt, </w:t>
      </w:r>
      <w:r w:rsidRPr="00914756">
        <w:t>2009</w:t>
      </w:r>
      <w:r>
        <w:t xml:space="preserve">). </w:t>
      </w:r>
    </w:p>
    <w:p w:rsidR="00F22446" w:rsidRPr="00B31ADF" w:rsidRDefault="00F22446" w:rsidP="0050688A">
      <w:pPr>
        <w:spacing w:line="480" w:lineRule="auto"/>
        <w:ind w:firstLine="720"/>
      </w:pPr>
      <w:r>
        <w:t xml:space="preserve">In addition to the benefits of treating depressive symptoms early, </w:t>
      </w:r>
      <w:r w:rsidRPr="007D38D2">
        <w:t>it is also ideal to have time-limited effective treatments</w:t>
      </w:r>
      <w:r>
        <w:t xml:space="preserve"> for college populations</w:t>
      </w:r>
      <w:r w:rsidRPr="007D38D2">
        <w:t xml:space="preserve">. </w:t>
      </w:r>
      <w:r>
        <w:t xml:space="preserve">Counseling centers continue to experience increased student demands that are met with limited resources. The International Association of Counseling Services (IACS) recently reported a steady increase in the clinician to student ratio (Gallagher, 2010), and many counseling centers consequently have extensive wait lists (Gallagher, 2010; Kitzrow, 2003; </w:t>
      </w:r>
      <w:r w:rsidRPr="004B589B">
        <w:t>Voelker</w:t>
      </w:r>
      <w:r>
        <w:t>, 2003). Additionally, some data suggest students currently are presenting with more severe symptom presentations than in the past (Gallagher, 2010;</w:t>
      </w:r>
      <w:r w:rsidRPr="00ED55A2">
        <w:t xml:space="preserve"> </w:t>
      </w:r>
      <w:r>
        <w:t>Kitzrow, 2003). Collectively, when these issues are compounded by budget reductions and time constraints on allowable therapy sessions, parsimonious and effective treatment options</w:t>
      </w:r>
      <w:r w:rsidRPr="006E1DDB">
        <w:t xml:space="preserve"> </w:t>
      </w:r>
      <w:r>
        <w:t xml:space="preserve">in academic settings is essential (Gallagher, 2010; Gawrysiak, Nicholas, &amp; Hopko, 2009; </w:t>
      </w:r>
      <w:r w:rsidRPr="00402828">
        <w:t>Mowbray et al., 2006; Stone, Vespia, &amp; Kanz, 2000</w:t>
      </w:r>
      <w:r>
        <w:t>; Suicide Prevention Resource Center, 2004,</w:t>
      </w:r>
      <w:r w:rsidRPr="006C1A7A">
        <w:t xml:space="preserve"> </w:t>
      </w:r>
      <w:r w:rsidRPr="004B589B">
        <w:t>Voelker</w:t>
      </w:r>
      <w:r>
        <w:t xml:space="preserve">, 2003). School based psychological clinics are designed to provide short-term services, </w:t>
      </w:r>
      <w:r w:rsidRPr="00B31ADF">
        <w:t xml:space="preserve">such that </w:t>
      </w:r>
      <w:r>
        <w:t>71%</w:t>
      </w:r>
      <w:r w:rsidRPr="00B31ADF">
        <w:t xml:space="preserve"> </w:t>
      </w:r>
      <w:r>
        <w:t xml:space="preserve">of </w:t>
      </w:r>
      <w:r w:rsidRPr="00B31ADF">
        <w:t>counseling centers set limits on the number of sessions allowed (Gallagher, 2010)</w:t>
      </w:r>
      <w:r>
        <w:t xml:space="preserve">. </w:t>
      </w:r>
      <w:r w:rsidRPr="00B31ADF">
        <w:t xml:space="preserve">In addition, briefer psychotherapy is a more cost-effective intervention strategy </w:t>
      </w:r>
      <w:r>
        <w:t>that</w:t>
      </w:r>
      <w:r w:rsidRPr="00B31ADF">
        <w:t xml:space="preserve"> is needed at a </w:t>
      </w:r>
      <w:r w:rsidRPr="00B31ADF">
        <w:lastRenderedPageBreak/>
        <w:t xml:space="preserve">time when funding is low. Therefore, it is important to identify and implement time-limited effective treatments in academic settings. </w:t>
      </w:r>
    </w:p>
    <w:p w:rsidR="00F22446" w:rsidRDefault="00F22446" w:rsidP="004C41F6">
      <w:pPr>
        <w:spacing w:line="480" w:lineRule="auto"/>
        <w:jc w:val="both"/>
        <w:rPr>
          <w:i/>
          <w:iCs/>
          <w:color w:val="000000"/>
        </w:rPr>
      </w:pPr>
      <w:r w:rsidRPr="004C41F6">
        <w:rPr>
          <w:b/>
          <w:iCs/>
          <w:color w:val="000000"/>
        </w:rPr>
        <w:t>Treatment Outcome Research with Depressed College Students</w:t>
      </w:r>
      <w:r>
        <w:rPr>
          <w:i/>
          <w:iCs/>
          <w:color w:val="000000"/>
        </w:rPr>
        <w:t xml:space="preserve"> </w:t>
      </w:r>
    </w:p>
    <w:p w:rsidR="00F22446" w:rsidRPr="00B31ADF" w:rsidRDefault="00F22446" w:rsidP="00977EA7">
      <w:pPr>
        <w:spacing w:line="480" w:lineRule="auto"/>
        <w:ind w:firstLine="720"/>
      </w:pPr>
      <w:r>
        <w:rPr>
          <w:color w:val="000000"/>
        </w:rPr>
        <w:t>S</w:t>
      </w:r>
      <w:r w:rsidRPr="00B31ADF">
        <w:rPr>
          <w:color w:val="000000"/>
        </w:rPr>
        <w:t>ignificant research support</w:t>
      </w:r>
      <w:r>
        <w:rPr>
          <w:color w:val="000000"/>
        </w:rPr>
        <w:t>s</w:t>
      </w:r>
      <w:r w:rsidRPr="00B31ADF">
        <w:rPr>
          <w:color w:val="000000"/>
        </w:rPr>
        <w:t xml:space="preserve"> the efficacy of psychosocial interventions for depression </w:t>
      </w:r>
      <w:r w:rsidRPr="00B31ADF">
        <w:t xml:space="preserve">(Chambless &amp; Hollon, 1998; DeRubeis &amp; Crits-Christoph, 1998; Hollon &amp; Ponniah, 2010; Hollon, Thase, &amp; Markowitz, 2002; </w:t>
      </w:r>
      <w:r>
        <w:t xml:space="preserve">Sturmey, 2009; </w:t>
      </w:r>
      <w:r w:rsidRPr="00B31ADF">
        <w:t>Westen &amp; Morrison, 2001</w:t>
      </w:r>
      <w:r>
        <w:t xml:space="preserve">; </w:t>
      </w:r>
      <w:r w:rsidRPr="00B31ADF">
        <w:t>Wo</w:t>
      </w:r>
      <w:r>
        <w:t>lf &amp; Hopko, 2008</w:t>
      </w:r>
      <w:r w:rsidRPr="00B31ADF">
        <w:t xml:space="preserve">). Quite problematically, however, </w:t>
      </w:r>
      <w:r w:rsidRPr="00B31ADF">
        <w:rPr>
          <w:color w:val="000000"/>
        </w:rPr>
        <w:t xml:space="preserve">there </w:t>
      </w:r>
      <w:r w:rsidRPr="008C0549">
        <w:rPr>
          <w:color w:val="000000"/>
        </w:rPr>
        <w:t>is a paucity of empirical</w:t>
      </w:r>
      <w:r w:rsidRPr="00B31ADF">
        <w:rPr>
          <w:color w:val="000000"/>
        </w:rPr>
        <w:t xml:space="preserve"> support for psychotherapeutic interventions for depressed college students in the context of university settings (Gawrysiak, Nicholas, &amp; Hopko, 2009; Lee, 2005). In one of few studies exploring this issue, Shaw (1977) compared the relative efficacy of group administered cognitive and behavioral treatments for depression. Both interventions were more effective than the wait-list control condition, and cognitive therapy appeared more effective than behavioral therapy in reducing depression. Resulting in somewhat divergent findings, Hodgson (1981) compared behavioral and cognitive interventions among groups of depressed university students and demonstrated that both treatments were more effective than no treatment, with some evidence supporting behavioral therapy as most effective. Hogg and Deffenbacher (1988) compared cognitive and interpersonal-process group therapies among moderately depressed university students and found both treatments equally effective in reducing depression. All three of these studies examined the efficacy of standardized treatments of depression in university students using a group therapy format. To assess the efficacy of individualized psychotherapy for moderately depressed university students, Pace and </w:t>
      </w:r>
      <w:smartTag w:uri="urn:schemas-microsoft-com:office:smarttags" w:element="place">
        <w:smartTag w:uri="urn:schemas-microsoft-com:office:smarttags" w:element="City">
          <w:r w:rsidRPr="00B31ADF">
            <w:rPr>
              <w:color w:val="000000"/>
            </w:rPr>
            <w:t>Dixon</w:t>
          </w:r>
        </w:smartTag>
      </w:smartTag>
      <w:r w:rsidRPr="00B31ADF">
        <w:rPr>
          <w:color w:val="000000"/>
        </w:rPr>
        <w:t xml:space="preserve"> (1993) compared cognitive therapy and a wait-list control group. Cognitive therapy was not only more effective in reducing depressive symptoms, but also reduced the frequency and intensity of negative cognitions </w:t>
      </w:r>
      <w:r w:rsidRPr="00B31ADF">
        <w:rPr>
          <w:color w:val="000000"/>
        </w:rPr>
        <w:lastRenderedPageBreak/>
        <w:t xml:space="preserve">associated with depressive schemas. Reagin (1982) also conducted a series of case studies at a counseling center and found some support for time-limited cognitive behavioral psychotherapy in treating depressed university students. Finally, </w:t>
      </w:r>
      <w:r>
        <w:rPr>
          <w:color w:val="000000"/>
        </w:rPr>
        <w:t>research</w:t>
      </w:r>
      <w:r w:rsidRPr="00B31ADF">
        <w:rPr>
          <w:color w:val="000000"/>
        </w:rPr>
        <w:t xml:space="preserve"> demonstrated </w:t>
      </w:r>
      <w:r>
        <w:rPr>
          <w:color w:val="000000"/>
        </w:rPr>
        <w:t xml:space="preserve">that </w:t>
      </w:r>
      <w:r w:rsidRPr="00B31ADF">
        <w:rPr>
          <w:color w:val="000000"/>
        </w:rPr>
        <w:t xml:space="preserve">brief behavioral activation treatments (2-3 sessions) for moderately depressed college students </w:t>
      </w:r>
      <w:r>
        <w:rPr>
          <w:color w:val="000000"/>
        </w:rPr>
        <w:t>was superior</w:t>
      </w:r>
      <w:r w:rsidRPr="00B31ADF">
        <w:rPr>
          <w:color w:val="000000"/>
        </w:rPr>
        <w:t xml:space="preserve"> to a wait-list control group (Gawrysiak, Nicholas, &amp; Hopko, 2009) and </w:t>
      </w:r>
      <w:r>
        <w:rPr>
          <w:color w:val="000000"/>
        </w:rPr>
        <w:t>s</w:t>
      </w:r>
      <w:r w:rsidRPr="00B31ADF">
        <w:rPr>
          <w:color w:val="000000"/>
        </w:rPr>
        <w:t>upportive psychotherapy (Armento</w:t>
      </w:r>
      <w:r>
        <w:rPr>
          <w:color w:val="000000"/>
        </w:rPr>
        <w:t>, McNulty, &amp; Hopko, 2012</w:t>
      </w:r>
      <w:r w:rsidRPr="00B31ADF">
        <w:rPr>
          <w:color w:val="000000"/>
        </w:rPr>
        <w:t xml:space="preserve">).    </w:t>
      </w:r>
    </w:p>
    <w:p w:rsidR="00F22446" w:rsidRDefault="00F22446" w:rsidP="004C41F6">
      <w:pPr>
        <w:spacing w:line="480" w:lineRule="auto"/>
        <w:rPr>
          <w:b/>
          <w:iCs/>
        </w:rPr>
      </w:pPr>
      <w:r w:rsidRPr="004C41F6">
        <w:rPr>
          <w:b/>
          <w:iCs/>
        </w:rPr>
        <w:t>Behavioral Activation Treatments and Theory</w:t>
      </w:r>
    </w:p>
    <w:p w:rsidR="00F22446" w:rsidRPr="00D91022" w:rsidRDefault="00F22446" w:rsidP="004C41F6">
      <w:pPr>
        <w:spacing w:line="480" w:lineRule="auto"/>
        <w:ind w:firstLine="720"/>
      </w:pPr>
      <w:r w:rsidRPr="00B31ADF">
        <w:t>Behavioral Activation (BA) is a time-efficient and effective treatment for depression that has significant potential in meeting the demands of college counseling clinics. The efficacy and effectiveness of BA has been increasingly researched and BA is</w:t>
      </w:r>
      <w:r>
        <w:t xml:space="preserve"> now considered an empirically validated treatment for depression (Cuijpers, Van Straten, &amp; Warmerdam, </w:t>
      </w:r>
      <w:r w:rsidRPr="006D674D">
        <w:t>2007</w:t>
      </w:r>
      <w:r>
        <w:t xml:space="preserve">; Ekers, Richards, &amp; Gilbody, 2008; Sturmey, 2009). There currently are two derivations of BA, </w:t>
      </w:r>
      <w:r>
        <w:rPr>
          <w:i/>
          <w:iCs/>
        </w:rPr>
        <w:t>B</w:t>
      </w:r>
      <w:r w:rsidRPr="00B01DCF">
        <w:rPr>
          <w:i/>
          <w:iCs/>
        </w:rPr>
        <w:t>ehavior</w:t>
      </w:r>
      <w:r>
        <w:rPr>
          <w:i/>
          <w:iCs/>
        </w:rPr>
        <w:t>al</w:t>
      </w:r>
      <w:r w:rsidRPr="00B01DCF">
        <w:rPr>
          <w:i/>
          <w:iCs/>
        </w:rPr>
        <w:t xml:space="preserve"> </w:t>
      </w:r>
      <w:r>
        <w:rPr>
          <w:i/>
          <w:iCs/>
        </w:rPr>
        <w:t>A</w:t>
      </w:r>
      <w:r w:rsidRPr="00B01DCF">
        <w:rPr>
          <w:i/>
          <w:iCs/>
        </w:rPr>
        <w:t>ctivation</w:t>
      </w:r>
      <w:r>
        <w:t xml:space="preserve"> (</w:t>
      </w:r>
      <w:r w:rsidRPr="00B01DCF">
        <w:t>Martell, Addis, and</w:t>
      </w:r>
      <w:r>
        <w:t xml:space="preserve"> Jacobson, 2001) and the </w:t>
      </w:r>
      <w:r w:rsidRPr="00A1508C">
        <w:rPr>
          <w:i/>
          <w:iCs/>
        </w:rPr>
        <w:t>Brief Behavioral Activation Treatment for Depression</w:t>
      </w:r>
      <w:r>
        <w:t xml:space="preserve"> (BATD; Lejuez, Hopko, &amp; Hopko, 2001), the latter recently revised to clarify treatment procedures (BATD-R, </w:t>
      </w:r>
      <w:r w:rsidRPr="00F11732">
        <w:t>Lejuez, Hopko, Acierno, Daughters, &amp; Pagoto, 2011).</w:t>
      </w:r>
      <w:r>
        <w:t xml:space="preserve"> These protocols are based on behavioral theory and the premise that depression is alleviated by increasing response-contingent positive reinforcement (RCPR; Lewinsohn, 1974). According to Lewinsohn’s behavioral model of depression, a </w:t>
      </w:r>
      <w:r w:rsidRPr="00402828">
        <w:t xml:space="preserve">reduction </w:t>
      </w:r>
      <w:r>
        <w:t xml:space="preserve">in RCPR </w:t>
      </w:r>
      <w:r w:rsidRPr="00402828">
        <w:t>is attributable to a decrease in the number and range of reinforcing stimuli available to</w:t>
      </w:r>
      <w:r>
        <w:t xml:space="preserve"> an individual,</w:t>
      </w:r>
      <w:r w:rsidRPr="00402828">
        <w:t xml:space="preserve"> lack of skill in obtaining reinforcement</w:t>
      </w:r>
      <w:r>
        <w:t>, and/or an increase in the frequency of distressing or unpleasant life events</w:t>
      </w:r>
      <w:r w:rsidRPr="00402828">
        <w:t xml:space="preserve"> (Lewinsohn, 1974). Based on this model, conventional b</w:t>
      </w:r>
      <w:r>
        <w:t>ehavioral therapy</w:t>
      </w:r>
      <w:r w:rsidRPr="00402828">
        <w:t xml:space="preserve"> </w:t>
      </w:r>
      <w:r>
        <w:t>successfully decreased symptoms of depression by increasing</w:t>
      </w:r>
      <w:r w:rsidRPr="00402828">
        <w:t xml:space="preserve"> access </w:t>
      </w:r>
      <w:r>
        <w:t>to pleasant events and decreasing</w:t>
      </w:r>
      <w:r w:rsidRPr="00402828">
        <w:t xml:space="preserve"> the frequency of aversive events and consequences (Lewinsohn &amp; Graf, 1973; Lewinsohn, Sullivan, &amp; Grosscup, </w:t>
      </w:r>
      <w:r w:rsidRPr="00402828">
        <w:lastRenderedPageBreak/>
        <w:t xml:space="preserve">1980). </w:t>
      </w:r>
      <w:r>
        <w:t xml:space="preserve">Also supporting this model of depression, it is </w:t>
      </w:r>
      <w:r w:rsidRPr="00F34E7D">
        <w:t>well established that</w:t>
      </w:r>
      <w:r>
        <w:t xml:space="preserve"> there is a strong relationship between mood and overt behaviors, such that an increase in positive or pleasurable activities is associated with more positive affect (Gallagher, 1981; Hopko, Armento, Cantu, Chambers, &amp;</w:t>
      </w:r>
      <w:r w:rsidRPr="00FF46E4">
        <w:t xml:space="preserve"> </w:t>
      </w:r>
      <w:r>
        <w:t>Lejuez, 2003; Lewinsohn &amp; Graf, 1973; Lewinsohn &amp; Libet, 1972). People who are depressed also report fewer pleasurable activities and engage in fewer social interactions</w:t>
      </w:r>
      <w:r w:rsidRPr="00814BE0">
        <w:t xml:space="preserve"> </w:t>
      </w:r>
      <w:r w:rsidRPr="00F34E7D">
        <w:t>(</w:t>
      </w:r>
      <w:r>
        <w:t xml:space="preserve">Libet &amp; Lewinsohn, 1973; </w:t>
      </w:r>
      <w:r w:rsidRPr="00F34E7D">
        <w:t>MacPhillamy &amp; Lewinsohn, 1974</w:t>
      </w:r>
      <w:r>
        <w:t>). Another study showed that mildly depressed college students</w:t>
      </w:r>
      <w:r w:rsidRPr="00D91022">
        <w:t xml:space="preserve"> engaged less frequently in social</w:t>
      </w:r>
      <w:r>
        <w:t>, physical, and educational behaviors</w:t>
      </w:r>
      <w:r w:rsidRPr="00D91022">
        <w:t xml:space="preserve"> </w:t>
      </w:r>
      <w:r>
        <w:t xml:space="preserve">compared to </w:t>
      </w:r>
      <w:r w:rsidRPr="00D91022">
        <w:t xml:space="preserve">non-depressed </w:t>
      </w:r>
      <w:r>
        <w:t xml:space="preserve">students (Hopko &amp; Mullane, </w:t>
      </w:r>
      <w:r w:rsidRPr="00D91022">
        <w:t>2008</w:t>
      </w:r>
      <w:r>
        <w:t>)</w:t>
      </w:r>
      <w:r w:rsidRPr="00D91022">
        <w:t>.</w:t>
      </w:r>
      <w:r>
        <w:t xml:space="preserve"> </w:t>
      </w:r>
    </w:p>
    <w:p w:rsidR="00F22446" w:rsidRDefault="00F22446" w:rsidP="00E23218">
      <w:pPr>
        <w:spacing w:line="480" w:lineRule="auto"/>
        <w:ind w:firstLine="720"/>
      </w:pPr>
      <w:r w:rsidRPr="004F2AEA">
        <w:t>B</w:t>
      </w:r>
      <w:r>
        <w:t>ehavioral therapy has been shown</w:t>
      </w:r>
      <w:r w:rsidRPr="004F2AEA">
        <w:t xml:space="preserve"> to be </w:t>
      </w:r>
      <w:r w:rsidRPr="00400095">
        <w:t>effective in treating depression with a</w:t>
      </w:r>
      <w:r w:rsidRPr="004F2AEA">
        <w:t xml:space="preserve"> wide range of </w:t>
      </w:r>
      <w:r>
        <w:t>samples</w:t>
      </w:r>
      <w:r w:rsidRPr="004F2AEA">
        <w:t xml:space="preserve">. </w:t>
      </w:r>
      <w:r>
        <w:t>Cuijpers, Van Straten, and Warmerdam (</w:t>
      </w:r>
      <w:r w:rsidRPr="006D674D">
        <w:t>2007</w:t>
      </w:r>
      <w:r>
        <w:t>) conducted a meta-analysis on BA treatments compared to other psychological treatments and antidepressant medication. This study revealed that BA was highly effective in reducing depression in adults and had a large effect size (</w:t>
      </w:r>
      <w:r w:rsidRPr="006C71B7">
        <w:rPr>
          <w:i/>
        </w:rPr>
        <w:t>d</w:t>
      </w:r>
      <w:r>
        <w:t xml:space="preserve"> =.87; Cuijpers, Van Straten, &amp; Warmerdam, </w:t>
      </w:r>
      <w:r w:rsidRPr="006D674D">
        <w:t>2007</w:t>
      </w:r>
      <w:r>
        <w:t xml:space="preserve">). </w:t>
      </w:r>
      <w:r w:rsidRPr="007E1D30">
        <w:t xml:space="preserve">In one of the more compelling studies, </w:t>
      </w:r>
      <w:r>
        <w:t>BA</w:t>
      </w:r>
      <w:r w:rsidRPr="007E1D30">
        <w:t xml:space="preserve"> was comparable to antidepressant medication and superior to cognitive therapy in treating severe depression (Dimidjian et al. 2006), results that were maintained at 2-year follow-up (Dobson et al., 2008). </w:t>
      </w:r>
      <w:r>
        <w:t>BA</w:t>
      </w:r>
      <w:r w:rsidRPr="007E1D30">
        <w:t xml:space="preserve"> also has been effectively used with depressed patients in </w:t>
      </w:r>
      <w:r>
        <w:t xml:space="preserve">a variety of settings and among samples with divergent medical and psychiatric problems </w:t>
      </w:r>
      <w:r w:rsidRPr="007E1D30">
        <w:t>(</w:t>
      </w:r>
      <w:r>
        <w:t xml:space="preserve">Daughters et al., 2008; Ekers, 2011; Gawrysiak, Nicholas, &amp; Hopko, 2009; Hopko, </w:t>
      </w:r>
      <w:r w:rsidRPr="007E1D30">
        <w:t>Lejuez, LePage, Hopko, &amp; McNeil, 20</w:t>
      </w:r>
      <w:r>
        <w:t xml:space="preserve">03; Jacobson et al., 1996; Jakupcak et al., 2006; MacPherson et al., 2010; </w:t>
      </w:r>
      <w:r w:rsidRPr="007E1D30">
        <w:t>Pagoto</w:t>
      </w:r>
      <w:r>
        <w:t>,</w:t>
      </w:r>
      <w:r w:rsidRPr="007E1D30">
        <w:t xml:space="preserve"> </w:t>
      </w:r>
      <w:r>
        <w:t>Bodenlos, Schneider, &amp; Spates</w:t>
      </w:r>
      <w:r w:rsidRPr="007E1D30">
        <w:t>, 2008)</w:t>
      </w:r>
      <w:r>
        <w:t xml:space="preserve">. BA also appears to be effective among difficult to treat samples, including </w:t>
      </w:r>
      <w:r w:rsidRPr="00D91022">
        <w:t xml:space="preserve">psychiatric </w:t>
      </w:r>
      <w:r>
        <w:t>in</w:t>
      </w:r>
      <w:r w:rsidRPr="00D91022">
        <w:t>pa</w:t>
      </w:r>
      <w:r>
        <w:t xml:space="preserve">tients (Hopko, Lejuez, LePage, Hopko, &amp; McNeil, 2003), people with depression and Alzheimer’s disease (Teri, Logsdon, Uomoto, &amp; McCurry, 1997), cancer patients with depression </w:t>
      </w:r>
      <w:r w:rsidRPr="0079591F">
        <w:t>(Hopko et al., 2005, 2008, 2011),</w:t>
      </w:r>
      <w:r>
        <w:t xml:space="preserve"> individuals with co-existent </w:t>
      </w:r>
      <w:r>
        <w:lastRenderedPageBreak/>
        <w:t>anxiety problems (Hopko, Robertson, &amp; Lejuez, 2006), and college students with depression (Gawrysiak, Nicholas, &amp; Hopko, 2009) and problem drinking behavior (Reynolds et al., 2011). BA also appears effective when delivered by</w:t>
      </w:r>
      <w:r w:rsidRPr="003042B5">
        <w:t xml:space="preserve"> smartphone </w:t>
      </w:r>
      <w:r>
        <w:t>(Ly et al.</w:t>
      </w:r>
      <w:r w:rsidRPr="003042B5">
        <w:t>, 2014)</w:t>
      </w:r>
      <w:r>
        <w:t xml:space="preserve"> and when applied in group as opposed to individual therapy (Porter, Spates, &amp; Smitham, 2004)</w:t>
      </w:r>
      <w:r w:rsidRPr="003042B5">
        <w:t>.</w:t>
      </w:r>
      <w:r>
        <w:t xml:space="preserve"> In summary, BA is supported as an </w:t>
      </w:r>
      <w:r w:rsidRPr="00400095">
        <w:t xml:space="preserve">effective </w:t>
      </w:r>
      <w:r>
        <w:t>treatment for</w:t>
      </w:r>
      <w:r w:rsidRPr="00400095">
        <w:t xml:space="preserve"> depression with a</w:t>
      </w:r>
      <w:r w:rsidRPr="004F2AEA">
        <w:t xml:space="preserve"> variety of</w:t>
      </w:r>
      <w:r>
        <w:t xml:space="preserve"> patient samples</w:t>
      </w:r>
      <w:r w:rsidRPr="004F2AEA">
        <w:t>.</w:t>
      </w:r>
      <w:r>
        <w:t xml:space="preserve"> </w:t>
      </w:r>
    </w:p>
    <w:p w:rsidR="00F22446" w:rsidRPr="004C41F6" w:rsidRDefault="00F22446" w:rsidP="004C41F6">
      <w:pPr>
        <w:spacing w:line="480" w:lineRule="auto"/>
        <w:rPr>
          <w:iCs/>
        </w:rPr>
      </w:pPr>
      <w:r w:rsidRPr="004C41F6">
        <w:rPr>
          <w:b/>
          <w:iCs/>
        </w:rPr>
        <w:t>Mindfulness-Based Stress Reduction</w:t>
      </w:r>
    </w:p>
    <w:p w:rsidR="00F22446" w:rsidRDefault="00F22446" w:rsidP="006B57DE">
      <w:pPr>
        <w:spacing w:line="480" w:lineRule="auto"/>
        <w:ind w:firstLine="720"/>
      </w:pPr>
      <w:r>
        <w:t>Another promising</w:t>
      </w:r>
      <w:r w:rsidRPr="00555F62">
        <w:t xml:space="preserve"> </w:t>
      </w:r>
      <w:r>
        <w:t>psychotherapy approach in treating depression is</w:t>
      </w:r>
      <w:r w:rsidRPr="00412D00">
        <w:t xml:space="preserve"> </w:t>
      </w:r>
      <w:r w:rsidRPr="00555F62">
        <w:t xml:space="preserve">Mindfulness-Based Stress Reduction </w:t>
      </w:r>
      <w:r>
        <w:t>(</w:t>
      </w:r>
      <w:r w:rsidRPr="00412D00">
        <w:t>MBSR</w:t>
      </w:r>
      <w:r>
        <w:t>). MBSR is defined as a “self-regulatory approach to stress reduction and emotion management” (Bishop, 2002). One of the main goals of MBSR is to gain the ability to regulate attention and experience life as present-focused, and includes strategies designed to increase awareness of thoughts, emotions, and other sensations. In other words, the premise of MBSR is to be open to present experience, such as being curious and accepting of the “here-and-now” (Bishop, 2002). MBSR also is a practice that involves development of acceptance and</w:t>
      </w:r>
      <w:r w:rsidRPr="00BF3ACB">
        <w:t xml:space="preserve"> non-judgmental</w:t>
      </w:r>
      <w:r>
        <w:t xml:space="preserve"> experiencing of the environment (Bishop, 2002).</w:t>
      </w:r>
      <w:r w:rsidRPr="00BF3ACB">
        <w:t xml:space="preserve"> </w:t>
      </w:r>
      <w:r>
        <w:t xml:space="preserve">Rumination appears to play a central role in exacerbating depression (Nolen-Hoeksema &amp; Hilt, 2009; Nolen-Hoeksema, Parker, &amp; Larson, 1994). As MBSR has been shown to reduce rumination, MBSR should theoretically be helpful in treating depression (Bishop et al., 2004). </w:t>
      </w:r>
      <w:r w:rsidRPr="00ED319C">
        <w:t>MBSR focuses on training the client in mindfulness medi</w:t>
      </w:r>
      <w:r>
        <w:t>t</w:t>
      </w:r>
      <w:r w:rsidRPr="00ED319C">
        <w:t xml:space="preserve">ation and bringing awareness to the present moment (Kabat-Zinn, 1982). The idea is to instill self-regulatory strategies to reduce stress and depressive symptoms. Depression </w:t>
      </w:r>
      <w:r>
        <w:t xml:space="preserve">theoretically </w:t>
      </w:r>
      <w:r w:rsidRPr="00ED319C">
        <w:t>is alleviated because life stressors become more manageable and meaningful (Dobkin, 2008), concentration is enhanced (Kabat-Zinn et al., 1992), and rumination is reduced (</w:t>
      </w:r>
      <w:r w:rsidRPr="001B4276">
        <w:t>Jain, Shapiro, Swanick, Ro</w:t>
      </w:r>
      <w:r>
        <w:t xml:space="preserve">esch, Mills, Bell, et al. 2007; </w:t>
      </w:r>
      <w:r w:rsidRPr="00ED319C">
        <w:t>Ramel, Go</w:t>
      </w:r>
      <w:r>
        <w:t>ldin, Carmona, &amp; McQuaid, 2004).</w:t>
      </w:r>
    </w:p>
    <w:p w:rsidR="00F22446" w:rsidRDefault="00F22446" w:rsidP="004C41F6">
      <w:pPr>
        <w:spacing w:line="480" w:lineRule="auto"/>
        <w:rPr>
          <w:b/>
          <w:iCs/>
        </w:rPr>
      </w:pPr>
      <w:r>
        <w:rPr>
          <w:b/>
          <w:iCs/>
        </w:rPr>
        <w:lastRenderedPageBreak/>
        <w:t>MBSR as a Treatment for</w:t>
      </w:r>
      <w:r w:rsidRPr="004C41F6">
        <w:rPr>
          <w:b/>
          <w:iCs/>
        </w:rPr>
        <w:t xml:space="preserve"> Depression</w:t>
      </w:r>
    </w:p>
    <w:p w:rsidR="00F22446" w:rsidRPr="000D2CF5" w:rsidRDefault="00F22446" w:rsidP="00EB4A3A">
      <w:pPr>
        <w:spacing w:line="480" w:lineRule="auto"/>
        <w:ind w:firstLine="720"/>
      </w:pPr>
      <w:r w:rsidRPr="000D2CF5">
        <w:t xml:space="preserve">Several meta-analyses have investigated the effectiveness of MBSR </w:t>
      </w:r>
      <w:r>
        <w:t>with encouraging findings</w:t>
      </w:r>
      <w:r w:rsidRPr="000D2CF5">
        <w:t xml:space="preserve">. Hofmann and colleagues (2010) conducted a meta-analysis on mindfulness-based therapies, including MBSR and mindfulness-based cognitive therapy (MBCT) applied to clinical samples (i.e., </w:t>
      </w:r>
      <w:r>
        <w:t xml:space="preserve">those </w:t>
      </w:r>
      <w:r w:rsidRPr="000D2CF5">
        <w:t>diagnos</w:t>
      </w:r>
      <w:r>
        <w:t>ed with</w:t>
      </w:r>
      <w:r w:rsidRPr="000D2CF5">
        <w:t xml:space="preserve"> psychological or medical condition</w:t>
      </w:r>
      <w:r>
        <w:t>s</w:t>
      </w:r>
      <w:r w:rsidRPr="000D2CF5">
        <w:t>). Results indicate</w:t>
      </w:r>
      <w:r>
        <w:t>d</w:t>
      </w:r>
      <w:r w:rsidRPr="000D2CF5">
        <w:t xml:space="preserve"> that both MBSR and MBCT significantly reduced depressive and anxiety symptoms. </w:t>
      </w:r>
      <w:r>
        <w:t>In</w:t>
      </w:r>
      <w:r w:rsidRPr="000D2CF5">
        <w:t xml:space="preserve"> a meta-analysis </w:t>
      </w:r>
      <w:r>
        <w:t>including</w:t>
      </w:r>
      <w:r w:rsidRPr="000D2CF5">
        <w:t xml:space="preserve"> controlled studies investigat</w:t>
      </w:r>
      <w:r>
        <w:t>ing</w:t>
      </w:r>
      <w:r w:rsidRPr="000D2CF5">
        <w:t xml:space="preserve"> the effects of MBSR on depression, anxiety, and psychological distress</w:t>
      </w:r>
      <w:r>
        <w:t xml:space="preserve"> among</w:t>
      </w:r>
      <w:r w:rsidRPr="000D2CF5">
        <w:t xml:space="preserve"> people w</w:t>
      </w:r>
      <w:r>
        <w:t>ith</w:t>
      </w:r>
      <w:r w:rsidRPr="000D2CF5">
        <w:t xml:space="preserve"> chronic medical diseases (Bohlmeijer, Prenger, Taal, &amp; Cuijpers, 2010)</w:t>
      </w:r>
      <w:r>
        <w:t xml:space="preserve">, </w:t>
      </w:r>
      <w:r w:rsidRPr="000D2CF5">
        <w:t xml:space="preserve">MBSR </w:t>
      </w:r>
      <w:r>
        <w:t>reduced</w:t>
      </w:r>
      <w:r w:rsidRPr="000D2CF5">
        <w:t xml:space="preserve"> depression, anxiety, and psychological distress (Bohlmeijer, Prenger, Taal, &amp; Cuijpers, 2010). Moreover, Baer’s (2003) meta-analysis on mindfulness training</w:t>
      </w:r>
      <w:r>
        <w:t xml:space="preserve"> in </w:t>
      </w:r>
      <w:r w:rsidRPr="000D2CF5">
        <w:t>clinical and non-clinical samples revealed a large effect size for depression (</w:t>
      </w:r>
      <w:r w:rsidRPr="006C71B7">
        <w:rPr>
          <w:i/>
        </w:rPr>
        <w:t>d</w:t>
      </w:r>
      <w:r>
        <w:t xml:space="preserve"> = </w:t>
      </w:r>
      <w:r w:rsidRPr="000D2CF5">
        <w:t>.84) and anxiety (</w:t>
      </w:r>
      <w:r w:rsidRPr="006C71B7">
        <w:rPr>
          <w:i/>
        </w:rPr>
        <w:t>d</w:t>
      </w:r>
      <w:r>
        <w:t xml:space="preserve"> = </w:t>
      </w:r>
      <w:r w:rsidRPr="000D2CF5">
        <w:t xml:space="preserve">.70). Baer’s (2003) review revealed a larger effect size </w:t>
      </w:r>
      <w:r>
        <w:t>relative</w:t>
      </w:r>
      <w:r w:rsidRPr="000D2CF5">
        <w:t xml:space="preserve"> to Bohlmeijer and colleagues’ (2010) meta-analysis</w:t>
      </w:r>
      <w:r>
        <w:t xml:space="preserve">, which may be attributable </w:t>
      </w:r>
      <w:r w:rsidRPr="000D2CF5">
        <w:t>to Baer’s inclusion of non-controlled studies</w:t>
      </w:r>
      <w:r>
        <w:t>,</w:t>
      </w:r>
      <w:r w:rsidRPr="000D2CF5">
        <w:t xml:space="preserve"> a wider range of samples, </w:t>
      </w:r>
      <w:r>
        <w:t>and</w:t>
      </w:r>
      <w:r w:rsidRPr="000D2CF5">
        <w:t xml:space="preserve"> inclu</w:t>
      </w:r>
      <w:r>
        <w:t>sion of</w:t>
      </w:r>
      <w:r w:rsidRPr="000D2CF5">
        <w:t xml:space="preserve"> two studies that used MBCT</w:t>
      </w:r>
      <w:r>
        <w:t xml:space="preserve"> rather than </w:t>
      </w:r>
      <w:r w:rsidRPr="000D2CF5">
        <w:t>MBSR to treat depression</w:t>
      </w:r>
      <w:r>
        <w:t>,</w:t>
      </w:r>
      <w:r w:rsidRPr="000D2CF5">
        <w:t xml:space="preserve"> which could have inflated </w:t>
      </w:r>
      <w:r>
        <w:t>effect sizes</w:t>
      </w:r>
      <w:r w:rsidRPr="000D2CF5">
        <w:t xml:space="preserve">. </w:t>
      </w:r>
    </w:p>
    <w:p w:rsidR="00F22446" w:rsidRDefault="00F22446" w:rsidP="00F37A30">
      <w:pPr>
        <w:spacing w:line="480" w:lineRule="auto"/>
        <w:ind w:firstLine="720"/>
      </w:pPr>
      <w:r w:rsidRPr="000D2CF5">
        <w:t xml:space="preserve">Another systematic review of MBSR and MBCT with clinical and non-clinical samples </w:t>
      </w:r>
      <w:r>
        <w:t>indicated that</w:t>
      </w:r>
      <w:r w:rsidRPr="000D2CF5">
        <w:t xml:space="preserve"> MBSR </w:t>
      </w:r>
      <w:r>
        <w:t>reduced</w:t>
      </w:r>
      <w:r w:rsidRPr="000D2CF5">
        <w:t xml:space="preserve"> psychological distress and </w:t>
      </w:r>
      <w:r>
        <w:t xml:space="preserve">improved overall </w:t>
      </w:r>
      <w:r w:rsidRPr="000D2CF5">
        <w:t xml:space="preserve">well-being </w:t>
      </w:r>
      <w:r>
        <w:t>among</w:t>
      </w:r>
      <w:r w:rsidRPr="000D2CF5">
        <w:t xml:space="preserve"> </w:t>
      </w:r>
      <w:r>
        <w:t>individuals</w:t>
      </w:r>
      <w:r w:rsidRPr="000D2CF5">
        <w:t xml:space="preserve"> with physical illness</w:t>
      </w:r>
      <w:r w:rsidRPr="009E6720">
        <w:t xml:space="preserve"> </w:t>
      </w:r>
      <w:r>
        <w:t>(</w:t>
      </w:r>
      <w:r w:rsidRPr="000D2CF5">
        <w:t>Fjorback, Arendt, Fink, &amp; Walach, 2011)</w:t>
      </w:r>
      <w:r>
        <w:t>.</w:t>
      </w:r>
      <w:r w:rsidRPr="000D2CF5">
        <w:t xml:space="preserve"> </w:t>
      </w:r>
      <w:r>
        <w:t>Also, this review demonstrated that</w:t>
      </w:r>
      <w:r w:rsidRPr="000D2CF5">
        <w:t xml:space="preserve"> symptoms of depression, distress, and anxiety were reduced for </w:t>
      </w:r>
      <w:r>
        <w:t>individuals</w:t>
      </w:r>
      <w:r w:rsidRPr="000D2CF5">
        <w:t xml:space="preserve"> with p</w:t>
      </w:r>
      <w:r>
        <w:t>sychiatric disorders (Fjorback et al.</w:t>
      </w:r>
      <w:r w:rsidRPr="000D2CF5">
        <w:t xml:space="preserve">, 2011). </w:t>
      </w:r>
      <w:r>
        <w:t>R</w:t>
      </w:r>
      <w:r w:rsidRPr="000D2CF5">
        <w:t xml:space="preserve">esults were </w:t>
      </w:r>
      <w:r>
        <w:t xml:space="preserve">less </w:t>
      </w:r>
      <w:r w:rsidRPr="000D2CF5">
        <w:t>conclusive for the effectiveness of MBSR to</w:t>
      </w:r>
      <w:r>
        <w:t>ward</w:t>
      </w:r>
      <w:r w:rsidRPr="000D2CF5">
        <w:t xml:space="preserve"> improv</w:t>
      </w:r>
      <w:r>
        <w:t>ing</w:t>
      </w:r>
      <w:r w:rsidRPr="000D2CF5">
        <w:t xml:space="preserve"> physical health. </w:t>
      </w:r>
      <w:r>
        <w:t>T</w:t>
      </w:r>
      <w:r w:rsidRPr="000D2CF5">
        <w:t>he effect</w:t>
      </w:r>
      <w:r>
        <w:t>iveness</w:t>
      </w:r>
      <w:r w:rsidRPr="000D2CF5">
        <w:t xml:space="preserve"> of mindfulness-based interventions, including MBSR, MBCT, brief mindfulness training, one-on-one mindfulness meditation, and psychoeducation with mindfulness components with cancer patients </w:t>
      </w:r>
      <w:r>
        <w:lastRenderedPageBreak/>
        <w:t xml:space="preserve">also has been explored </w:t>
      </w:r>
      <w:r w:rsidRPr="000D2CF5">
        <w:t xml:space="preserve">(Shennan, Payne, </w:t>
      </w:r>
      <w:r>
        <w:t xml:space="preserve">&amp; </w:t>
      </w:r>
      <w:r w:rsidRPr="000D2CF5">
        <w:t xml:space="preserve">Fenlon, 2011). MBSR </w:t>
      </w:r>
      <w:r>
        <w:t xml:space="preserve">in particular </w:t>
      </w:r>
      <w:r w:rsidRPr="000D2CF5">
        <w:t xml:space="preserve">was shown to </w:t>
      </w:r>
      <w:r>
        <w:t>attenuate symptoms of</w:t>
      </w:r>
      <w:r w:rsidRPr="000D2CF5">
        <w:t xml:space="preserve"> depression, anxiety, and stress </w:t>
      </w:r>
      <w:r>
        <w:t xml:space="preserve">in cancer patients </w:t>
      </w:r>
      <w:r w:rsidRPr="000D2CF5">
        <w:t>(Carlson, Ursuliak, Goodey, Angen, &amp; Speca, 2001</w:t>
      </w:r>
      <w:r>
        <w:t xml:space="preserve">; </w:t>
      </w:r>
      <w:r w:rsidRPr="000D2CF5">
        <w:t xml:space="preserve">Shennan, Payne, </w:t>
      </w:r>
      <w:r>
        <w:t xml:space="preserve">&amp; </w:t>
      </w:r>
      <w:r w:rsidRPr="000D2CF5">
        <w:t>Fenlon, 2011</w:t>
      </w:r>
      <w:r>
        <w:t xml:space="preserve">; </w:t>
      </w:r>
      <w:r w:rsidRPr="000D2CF5">
        <w:t xml:space="preserve">Speca, Carlson, Goodey, &amp; Angen, 2000). </w:t>
      </w:r>
      <w:r>
        <w:t xml:space="preserve">A recent meta-analysis examined stress-reducing interventions for college students and revealed that MBSR was effective </w:t>
      </w:r>
      <w:r w:rsidRPr="000D2CF5">
        <w:t>in reducing depression and anxiety</w:t>
      </w:r>
      <w:r>
        <w:t xml:space="preserve"> </w:t>
      </w:r>
      <w:r w:rsidRPr="002800F8">
        <w:t>(Regehr,</w:t>
      </w:r>
      <w:r>
        <w:t xml:space="preserve"> Glancy,</w:t>
      </w:r>
      <w:r w:rsidRPr="002800F8">
        <w:t xml:space="preserve"> &amp; Pitts</w:t>
      </w:r>
      <w:r>
        <w:t>,</w:t>
      </w:r>
      <w:r w:rsidRPr="002800F8">
        <w:t xml:space="preserve"> 2013)</w:t>
      </w:r>
      <w:r>
        <w:t>.</w:t>
      </w:r>
      <w:r w:rsidRPr="000D2CF5">
        <w:t xml:space="preserve"> Contrary to results discussed thus far, Toneatto and Nguyen (2007) conducted a meta-analysis on the ef</w:t>
      </w:r>
      <w:r>
        <w:t>ficacy</w:t>
      </w:r>
      <w:r w:rsidRPr="000D2CF5">
        <w:t xml:space="preserve"> of MBSR for depression and anxiety with medical and community samples</w:t>
      </w:r>
      <w:r>
        <w:t xml:space="preserve">, </w:t>
      </w:r>
      <w:r w:rsidRPr="000D2CF5">
        <w:t>report</w:t>
      </w:r>
      <w:r>
        <w:t>ing</w:t>
      </w:r>
      <w:r w:rsidRPr="000D2CF5">
        <w:t xml:space="preserve"> that MBSR d</w:t>
      </w:r>
      <w:r>
        <w:t>id</w:t>
      </w:r>
      <w:r w:rsidRPr="000D2CF5">
        <w:t xml:space="preserve"> not have a reliable effect on depression and anxiety. However, this review excluded a substantial </w:t>
      </w:r>
      <w:r>
        <w:t>number</w:t>
      </w:r>
      <w:r w:rsidRPr="000D2CF5">
        <w:t xml:space="preserve"> of MBSR studies, effect sizes were not </w:t>
      </w:r>
      <w:r>
        <w:t>reported</w:t>
      </w:r>
      <w:r w:rsidRPr="000D2CF5">
        <w:t xml:space="preserve">, </w:t>
      </w:r>
      <w:r>
        <w:t>inclusion and</w:t>
      </w:r>
      <w:r w:rsidRPr="000D2CF5">
        <w:t xml:space="preserve"> exclusion criteria</w:t>
      </w:r>
      <w:r>
        <w:t xml:space="preserve"> were not clearly articulated</w:t>
      </w:r>
      <w:r w:rsidRPr="000D2CF5">
        <w:t xml:space="preserve">, and most of the studies </w:t>
      </w:r>
      <w:r>
        <w:t>were</w:t>
      </w:r>
      <w:r w:rsidRPr="000D2CF5">
        <w:t xml:space="preserve"> community samples </w:t>
      </w:r>
      <w:r>
        <w:t>that</w:t>
      </w:r>
      <w:r w:rsidRPr="000D2CF5">
        <w:t xml:space="preserve"> may have reduced baseline </w:t>
      </w:r>
      <w:r>
        <w:t xml:space="preserve">symptom </w:t>
      </w:r>
      <w:r w:rsidRPr="000D2CF5">
        <w:t>level</w:t>
      </w:r>
      <w:r>
        <w:t>s and created a floor effect.</w:t>
      </w:r>
      <w:r w:rsidRPr="000D2CF5">
        <w:t xml:space="preserve"> In addition, this review included other forms of “meditation”, such as a stress reduction</w:t>
      </w:r>
      <w:r>
        <w:t>,</w:t>
      </w:r>
      <w:r w:rsidRPr="000D2CF5">
        <w:t xml:space="preserve"> relaxation</w:t>
      </w:r>
      <w:r>
        <w:t>,</w:t>
      </w:r>
      <w:r w:rsidRPr="000D2CF5">
        <w:t xml:space="preserve"> and attentional control training</w:t>
      </w:r>
      <w:r>
        <w:t>,</w:t>
      </w:r>
      <w:r w:rsidRPr="000D2CF5">
        <w:t xml:space="preserve"> which may </w:t>
      </w:r>
      <w:r>
        <w:t>differ substantially</w:t>
      </w:r>
      <w:r w:rsidRPr="000D2CF5">
        <w:t xml:space="preserve"> </w:t>
      </w:r>
      <w:r>
        <w:t xml:space="preserve">from traditional </w:t>
      </w:r>
      <w:r w:rsidRPr="000D2CF5">
        <w:t>MBSR</w:t>
      </w:r>
      <w:r>
        <w:t xml:space="preserve">. Taken together, </w:t>
      </w:r>
      <w:r w:rsidRPr="000D2CF5">
        <w:t>meta-analys</w:t>
      </w:r>
      <w:r>
        <w:t>es provide encouraging preliminary</w:t>
      </w:r>
      <w:r w:rsidRPr="000D2CF5">
        <w:t xml:space="preserve"> support</w:t>
      </w:r>
      <w:r>
        <w:t xml:space="preserve"> for</w:t>
      </w:r>
      <w:r w:rsidRPr="000D2CF5">
        <w:t xml:space="preserve"> MBSR as an effective treatment for depression and anxiety</w:t>
      </w:r>
      <w:r>
        <w:t>, and there are data to suggest treatment gains may be maintained at 3-year follow-up</w:t>
      </w:r>
      <w:r w:rsidRPr="00DC306E">
        <w:t xml:space="preserve"> </w:t>
      </w:r>
      <w:r>
        <w:t>(</w:t>
      </w:r>
      <w:r w:rsidRPr="000D2CF5">
        <w:t>Miller, Fletcher, &amp; Kabat-Zinn, 1995).</w:t>
      </w:r>
      <w:r>
        <w:t xml:space="preserve"> Particularly relevant to the current study, preliminary data suggests </w:t>
      </w:r>
      <w:r w:rsidRPr="000D2CF5">
        <w:t xml:space="preserve">MBSR </w:t>
      </w:r>
      <w:r>
        <w:t>can</w:t>
      </w:r>
      <w:r w:rsidRPr="000D2CF5">
        <w:t xml:space="preserve"> be effective in reducing depression and anxiety with undergraduate student</w:t>
      </w:r>
      <w:r>
        <w:t>s</w:t>
      </w:r>
      <w:r w:rsidRPr="000D2CF5">
        <w:t xml:space="preserve"> (Astin, 1997</w:t>
      </w:r>
      <w:r>
        <w:t xml:space="preserve">) and </w:t>
      </w:r>
      <w:r w:rsidRPr="006D674D">
        <w:t>medical and premedical students</w:t>
      </w:r>
      <w:r w:rsidRPr="000D2CF5">
        <w:t xml:space="preserve"> </w:t>
      </w:r>
      <w:r>
        <w:t>(</w:t>
      </w:r>
      <w:r w:rsidRPr="000D2CF5">
        <w:t>Shapiro, Schwartz, &amp; Bonner, 1998).</w:t>
      </w:r>
      <w:r>
        <w:t xml:space="preserve"> Astin conducted a study that included 28 behavioral medicine undergraduate volunteers who were randomly selected to be in a MBSR group or a non-intervention group, and results suggested that anxiety and depression were decreased in the treatment group compared to the control group. </w:t>
      </w:r>
    </w:p>
    <w:p w:rsidR="00F22446" w:rsidRDefault="00F22446" w:rsidP="004C41F6">
      <w:pPr>
        <w:spacing w:line="480" w:lineRule="auto"/>
        <w:rPr>
          <w:b/>
          <w:iCs/>
        </w:rPr>
      </w:pPr>
    </w:p>
    <w:p w:rsidR="00F22446" w:rsidRDefault="00F22446" w:rsidP="004C41F6">
      <w:pPr>
        <w:spacing w:line="480" w:lineRule="auto"/>
        <w:rPr>
          <w:b/>
          <w:iCs/>
        </w:rPr>
      </w:pPr>
      <w:r w:rsidRPr="004C41F6">
        <w:rPr>
          <w:b/>
          <w:iCs/>
        </w:rPr>
        <w:lastRenderedPageBreak/>
        <w:t xml:space="preserve">MBSR </w:t>
      </w:r>
      <w:r>
        <w:rPr>
          <w:b/>
          <w:iCs/>
        </w:rPr>
        <w:t>as a Treatment for Anxiety and</w:t>
      </w:r>
      <w:r w:rsidRPr="004C41F6">
        <w:rPr>
          <w:b/>
          <w:iCs/>
        </w:rPr>
        <w:t xml:space="preserve"> Stress</w:t>
      </w:r>
    </w:p>
    <w:p w:rsidR="00F22446" w:rsidRDefault="00F22446" w:rsidP="004C41F6">
      <w:pPr>
        <w:spacing w:line="480" w:lineRule="auto"/>
        <w:ind w:firstLine="720"/>
      </w:pPr>
      <w:r w:rsidRPr="000D2CF5">
        <w:t xml:space="preserve">MBSR also </w:t>
      </w:r>
      <w:r>
        <w:t xml:space="preserve">has </w:t>
      </w:r>
      <w:r w:rsidRPr="000D2CF5">
        <w:t xml:space="preserve">been effective in reducing anxiety, </w:t>
      </w:r>
      <w:r>
        <w:t xml:space="preserve">stress, </w:t>
      </w:r>
      <w:r w:rsidRPr="000D2CF5">
        <w:t>fatigue, and sleep disturbances, as well as enhancing quality of life</w:t>
      </w:r>
      <w:r>
        <w:t xml:space="preserve"> in cancer patients (</w:t>
      </w:r>
      <w:r w:rsidRPr="000D2CF5">
        <w:t>Bränström, Kvillemo, Brandberg, &amp; Moskowitz, 2010</w:t>
      </w:r>
      <w:r>
        <w:t xml:space="preserve">; </w:t>
      </w:r>
      <w:r w:rsidRPr="000D2CF5">
        <w:t>Carlson, Speca, Patel, &amp; Goodey, 2004</w:t>
      </w:r>
      <w:r>
        <w:t xml:space="preserve">; </w:t>
      </w:r>
      <w:r w:rsidRPr="000D2CF5">
        <w:t xml:space="preserve">Ledesma </w:t>
      </w:r>
      <w:r>
        <w:t>&amp;</w:t>
      </w:r>
      <w:r w:rsidRPr="000D2CF5">
        <w:t xml:space="preserve"> Kumano</w:t>
      </w:r>
      <w:r>
        <w:t xml:space="preserve">, </w:t>
      </w:r>
      <w:r w:rsidRPr="000D2CF5">
        <w:t>2009</w:t>
      </w:r>
      <w:r>
        <w:t xml:space="preserve">; </w:t>
      </w:r>
      <w:r w:rsidRPr="000D2CF5">
        <w:t>Matchim &amp; Armer, 2007). A meta-analysis investigat</w:t>
      </w:r>
      <w:r>
        <w:t>ing</w:t>
      </w:r>
      <w:r w:rsidRPr="000D2CF5">
        <w:t xml:space="preserve"> MBSR with clinical and stressed non-clinical samples found that MBSR improved quality of life</w:t>
      </w:r>
      <w:r>
        <w:t>,</w:t>
      </w:r>
      <w:r w:rsidRPr="000D2CF5">
        <w:t xml:space="preserve"> anxiety</w:t>
      </w:r>
      <w:r>
        <w:t>,</w:t>
      </w:r>
      <w:r w:rsidRPr="000D2CF5">
        <w:t xml:space="preserve"> and physical well-being (e.g., sensory pain and medical symptoms; Grossman, Niemann, Schmidt, &amp; Walach, 2004). Praissman (2008) reported that </w:t>
      </w:r>
      <w:r>
        <w:t>MBSR was</w:t>
      </w:r>
      <w:r w:rsidRPr="000D2CF5">
        <w:t xml:space="preserve"> effective in reducing stress and anxiety </w:t>
      </w:r>
      <w:r>
        <w:t>elicited by</w:t>
      </w:r>
      <w:r w:rsidRPr="000D2CF5">
        <w:t xml:space="preserve"> daily </w:t>
      </w:r>
      <w:r>
        <w:t>hassles</w:t>
      </w:r>
      <w:r w:rsidRPr="000D2CF5">
        <w:t xml:space="preserve"> and </w:t>
      </w:r>
      <w:r>
        <w:t xml:space="preserve">more significant stressors, such as </w:t>
      </w:r>
      <w:r w:rsidRPr="000D2CF5">
        <w:t xml:space="preserve">chronic illness. </w:t>
      </w:r>
      <w:r>
        <w:t>Another study demonstrated that MBSR was effective for reducing perceived stress, improving psychological well-being, and increasing mindfulness among adults; additionally, mindfulness was found to mediate the relationship between meditation practice and reductions in psychological distress</w:t>
      </w:r>
      <w:r w:rsidRPr="002B609B">
        <w:t xml:space="preserve"> </w:t>
      </w:r>
      <w:r>
        <w:t>(</w:t>
      </w:r>
      <w:r w:rsidRPr="002B609B">
        <w:t>Carmody &amp; Baer,</w:t>
      </w:r>
      <w:r>
        <w:t xml:space="preserve"> </w:t>
      </w:r>
      <w:r w:rsidRPr="002B609B">
        <w:t>2008</w:t>
      </w:r>
      <w:r>
        <w:t xml:space="preserve">). </w:t>
      </w:r>
      <w:r w:rsidRPr="000D2CF5">
        <w:t xml:space="preserve">Moreover, a meta-analysis found that MBSR reduced ruminative thinking and trait anxiety, and increased empathy and self-compassion </w:t>
      </w:r>
      <w:r>
        <w:t>among</w:t>
      </w:r>
      <w:r w:rsidRPr="000D2CF5">
        <w:t xml:space="preserve"> undergraduates, medical students, </w:t>
      </w:r>
      <w:r>
        <w:t xml:space="preserve">medical and mental </w:t>
      </w:r>
      <w:r w:rsidRPr="000D2CF5">
        <w:t xml:space="preserve">health care professionals, and </w:t>
      </w:r>
      <w:r>
        <w:t xml:space="preserve">university </w:t>
      </w:r>
      <w:r w:rsidRPr="000D2CF5">
        <w:t xml:space="preserve">faculty and staff (Chiesa &amp; Serretti, 2009). MBSR </w:t>
      </w:r>
      <w:r>
        <w:t xml:space="preserve">was also </w:t>
      </w:r>
      <w:r w:rsidRPr="000D2CF5">
        <w:t>effective</w:t>
      </w:r>
      <w:r>
        <w:t xml:space="preserve"> in</w:t>
      </w:r>
      <w:r w:rsidRPr="000D2CF5">
        <w:t xml:space="preserve"> reduc</w:t>
      </w:r>
      <w:r>
        <w:t xml:space="preserve">ing </w:t>
      </w:r>
      <w:r w:rsidRPr="000D2CF5">
        <w:t xml:space="preserve">anxiety, confusion, </w:t>
      </w:r>
      <w:r>
        <w:t xml:space="preserve">and </w:t>
      </w:r>
      <w:r w:rsidRPr="000D2CF5">
        <w:t xml:space="preserve">fatigue, and </w:t>
      </w:r>
      <w:r>
        <w:t xml:space="preserve">increased overt </w:t>
      </w:r>
      <w:r w:rsidRPr="000D2CF5">
        <w:t xml:space="preserve">activity among medical students (Rosenzweig, Reibel, Greeson, Brainard, &amp; Hojat, 2003). </w:t>
      </w:r>
      <w:r>
        <w:t xml:space="preserve">In another sample of undergraduate students, </w:t>
      </w:r>
      <w:r w:rsidRPr="000D2CF5">
        <w:t>MBSR increased mindfulness, subjective well-being, and empathy</w:t>
      </w:r>
      <w:r>
        <w:t>, with gains maintained at one-year follow-up</w:t>
      </w:r>
      <w:r w:rsidRPr="000D2CF5">
        <w:t xml:space="preserve"> (Shapiro, Brown, Thoresen, &amp; Plante, 2011). MBSR participants </w:t>
      </w:r>
      <w:r>
        <w:t>with</w:t>
      </w:r>
      <w:r w:rsidRPr="000D2CF5">
        <w:t xml:space="preserve"> higher levels of pretreatment mindfulness displayed larger increase</w:t>
      </w:r>
      <w:r>
        <w:t>s</w:t>
      </w:r>
      <w:r w:rsidRPr="000D2CF5">
        <w:t xml:space="preserve"> in mindfulness, subjective well-being, empathy, and hope, as well as larger reductions in perceived stress </w:t>
      </w:r>
      <w:r>
        <w:t>at one-</w:t>
      </w:r>
      <w:r w:rsidRPr="000D2CF5">
        <w:t xml:space="preserve">year </w:t>
      </w:r>
      <w:r>
        <w:t xml:space="preserve">follow-up relative to </w:t>
      </w:r>
      <w:r w:rsidRPr="000D2CF5">
        <w:t xml:space="preserve">a wait-list control group (Shapiro, Brown, Thoresen, &amp; Plante, 2011). </w:t>
      </w:r>
      <w:r>
        <w:t xml:space="preserve">In addition, Oman and colleagues (2008) found that MBSR reduced </w:t>
      </w:r>
      <w:r>
        <w:lastRenderedPageBreak/>
        <w:t xml:space="preserve">perceived stress and to a lesser extent rumination, and increased forgiveness with college students. </w:t>
      </w:r>
      <w:r w:rsidRPr="000D2CF5">
        <w:t xml:space="preserve">MBSR has also been extensively researched with medical patients and documented as useful in the self-regulation of chronic pain (Kabat-Zinn et al., 1985). </w:t>
      </w:r>
    </w:p>
    <w:p w:rsidR="00F22446" w:rsidRPr="000D2CF5" w:rsidRDefault="00F22446" w:rsidP="001D722F">
      <w:pPr>
        <w:spacing w:line="480" w:lineRule="auto"/>
        <w:ind w:firstLine="720"/>
      </w:pPr>
      <w:r w:rsidRPr="000D2CF5">
        <w:t>MBSR has also been researched in abbreviated form</w:t>
      </w:r>
      <w:r>
        <w:t>ats</w:t>
      </w:r>
      <w:r w:rsidRPr="000D2CF5">
        <w:t xml:space="preserve"> modeled after the full 8-week MBSR treatment. A six-week MBSR intervention significantly reduce</w:t>
      </w:r>
      <w:r>
        <w:t>d</w:t>
      </w:r>
      <w:r w:rsidRPr="000D2CF5">
        <w:t xml:space="preserve"> perceived stress and improve</w:t>
      </w:r>
      <w:r>
        <w:t>d</w:t>
      </w:r>
      <w:r w:rsidRPr="000D2CF5">
        <w:t xml:space="preserve"> </w:t>
      </w:r>
      <w:r>
        <w:t xml:space="preserve">mindfulness and sleep </w:t>
      </w:r>
      <w:r w:rsidRPr="000D2CF5">
        <w:t xml:space="preserve">quality (Klatt, Buckworth, &amp; Malarkey, 2009). Another research team found that six-weeks of interpersonal mindfulness training modeled after MBSR reduced anxiety and perceived stress, and enhanced interpersonal well-being (Cohen &amp; Miller, 2009). </w:t>
      </w:r>
      <w:r>
        <w:t>Finally</w:t>
      </w:r>
      <w:r w:rsidRPr="000D2CF5">
        <w:t>, four-weeks of brief training in mindful meditation modeled after the full MBSR pr</w:t>
      </w:r>
      <w:r>
        <w:t>otocol</w:t>
      </w:r>
      <w:r w:rsidRPr="000D2CF5">
        <w:t xml:space="preserve"> gained </w:t>
      </w:r>
      <w:r>
        <w:t xml:space="preserve">preliminary </w:t>
      </w:r>
      <w:r w:rsidRPr="000D2CF5">
        <w:t>empirical support in red</w:t>
      </w:r>
      <w:r>
        <w:t xml:space="preserve">ucing emotional distress (Jain </w:t>
      </w:r>
      <w:r w:rsidRPr="000D2CF5">
        <w:t xml:space="preserve">et al., 2007). </w:t>
      </w:r>
    </w:p>
    <w:p w:rsidR="00F22446" w:rsidRDefault="00F22446" w:rsidP="004C41F6">
      <w:pPr>
        <w:spacing w:line="480" w:lineRule="auto"/>
      </w:pPr>
      <w:r w:rsidRPr="004C41F6">
        <w:rPr>
          <w:b/>
          <w:iCs/>
        </w:rPr>
        <w:t>MBSR and BA Treatments for Depression</w:t>
      </w:r>
      <w:r w:rsidRPr="00C60BA1">
        <w:t xml:space="preserve"> </w:t>
      </w:r>
    </w:p>
    <w:p w:rsidR="00F22446" w:rsidRPr="000D2CF5" w:rsidRDefault="00F22446" w:rsidP="00B122AC">
      <w:pPr>
        <w:spacing w:line="480" w:lineRule="auto"/>
        <w:ind w:firstLine="720"/>
      </w:pPr>
      <w:r w:rsidRPr="00C60BA1">
        <w:t>Based on existing research, MBSR shows effectiveness in reducing depressive symptoms</w:t>
      </w:r>
      <w:r>
        <w:t xml:space="preserve"> and preliminary data indicates these techniques may be effective in a brief format</w:t>
      </w:r>
      <w:r w:rsidRPr="00C60BA1">
        <w:t xml:space="preserve">. It seems feasible that </w:t>
      </w:r>
      <w:r>
        <w:t xml:space="preserve">abbreviated </w:t>
      </w:r>
      <w:r w:rsidRPr="00C60BA1">
        <w:t>MBSR could provide a time-limited and effective therapeutic approach for treat</w:t>
      </w:r>
      <w:r>
        <w:t>ing MDD</w:t>
      </w:r>
      <w:r w:rsidRPr="00C60BA1">
        <w:t>. Indeed, mindfulness is positively related to mood regulation, positive emotions, and self-acceptance, outcomes that have been inversely related to depressive symptoms (Jimenez, Niles, &amp; Park, 2010</w:t>
      </w:r>
      <w:r>
        <w:t>). BA is an</w:t>
      </w:r>
      <w:r w:rsidRPr="00B122AC">
        <w:t xml:space="preserve"> established treatment for depression (Cuijpers</w:t>
      </w:r>
      <w:r>
        <w:t xml:space="preserve">, Van Straten, &amp; Warmerdam, </w:t>
      </w:r>
      <w:r w:rsidRPr="006D674D">
        <w:t>2007</w:t>
      </w:r>
      <w:r>
        <w:t xml:space="preserve">; Ekers, Richards, &amp; Gilbody, 2008; Hopko, Lejuez, Lepage, Hopko, &amp; McNeil, </w:t>
      </w:r>
      <w:r w:rsidRPr="00846FAC">
        <w:t>2003</w:t>
      </w:r>
      <w:r>
        <w:t xml:space="preserve">; Sturmey, 2009) </w:t>
      </w:r>
      <w:r w:rsidRPr="00B122AC">
        <w:t xml:space="preserve">and </w:t>
      </w:r>
      <w:r>
        <w:t xml:space="preserve">abbreviated BA may effectively reduce depression among college students (Armento et al., 2012; Gawrysiak et al., </w:t>
      </w:r>
      <w:r w:rsidRPr="006D674D">
        <w:t>2009</w:t>
      </w:r>
      <w:r>
        <w:t xml:space="preserve">). </w:t>
      </w:r>
    </w:p>
    <w:p w:rsidR="00F22446" w:rsidRDefault="00F22446" w:rsidP="004C41F6">
      <w:pPr>
        <w:spacing w:line="480" w:lineRule="auto"/>
        <w:rPr>
          <w:iCs/>
        </w:rPr>
      </w:pPr>
      <w:r w:rsidRPr="004C41F6">
        <w:rPr>
          <w:b/>
          <w:iCs/>
        </w:rPr>
        <w:t>Current Study</w:t>
      </w:r>
      <w:r w:rsidRPr="000D2CF5">
        <w:rPr>
          <w:i/>
          <w:iCs/>
        </w:rPr>
        <w:t xml:space="preserve"> </w:t>
      </w:r>
    </w:p>
    <w:p w:rsidR="00F22446" w:rsidRPr="00DA015B" w:rsidRDefault="00F22446" w:rsidP="004C41F6">
      <w:pPr>
        <w:spacing w:line="480" w:lineRule="auto"/>
        <w:ind w:firstLine="720"/>
      </w:pPr>
      <w:r>
        <w:t xml:space="preserve">The researchers </w:t>
      </w:r>
      <w:r w:rsidRPr="000D2CF5">
        <w:t>assess</w:t>
      </w:r>
      <w:r>
        <w:t>ed</w:t>
      </w:r>
      <w:r w:rsidRPr="000D2CF5">
        <w:t xml:space="preserve"> the </w:t>
      </w:r>
      <w:r>
        <w:t>efficacy</w:t>
      </w:r>
      <w:r w:rsidRPr="000D2CF5">
        <w:t xml:space="preserve"> of MBSR</w:t>
      </w:r>
      <w:r>
        <w:t xml:space="preserve"> and BA</w:t>
      </w:r>
      <w:r w:rsidRPr="000D2CF5">
        <w:t xml:space="preserve"> in the treatment of depressed college students</w:t>
      </w:r>
      <w:r>
        <w:t xml:space="preserve"> as compared to a wait-list control (WLC) group</w:t>
      </w:r>
      <w:r w:rsidRPr="000D2CF5">
        <w:t xml:space="preserve">. </w:t>
      </w:r>
      <w:r>
        <w:t xml:space="preserve">Specifically, the study was </w:t>
      </w:r>
      <w:r>
        <w:lastRenderedPageBreak/>
        <w:t>designed to</w:t>
      </w:r>
      <w:r w:rsidRPr="000D2CF5">
        <w:t xml:space="preserve"> </w:t>
      </w:r>
      <w:r>
        <w:t>examine</w:t>
      </w:r>
      <w:r w:rsidRPr="000D2CF5">
        <w:t xml:space="preserve"> the </w:t>
      </w:r>
      <w:r>
        <w:t>efficacy</w:t>
      </w:r>
      <w:r w:rsidRPr="000D2CF5">
        <w:t xml:space="preserve"> of </w:t>
      </w:r>
      <w:r>
        <w:t>MBSR and BA for depressed college students by</w:t>
      </w:r>
      <w:r w:rsidRPr="000D2CF5">
        <w:t xml:space="preserve"> utiliz</w:t>
      </w:r>
      <w:r>
        <w:t>ing</w:t>
      </w:r>
      <w:r w:rsidRPr="000D2CF5">
        <w:t xml:space="preserve"> brief (4-week)</w:t>
      </w:r>
      <w:r>
        <w:t xml:space="preserve"> mindfulness-based therapy (MBT) and BA protocols</w:t>
      </w:r>
      <w:r w:rsidRPr="000D2CF5">
        <w:t xml:space="preserve">, </w:t>
      </w:r>
      <w:r>
        <w:t>potentially</w:t>
      </w:r>
      <w:r w:rsidRPr="000D2CF5">
        <w:t xml:space="preserve"> more </w:t>
      </w:r>
      <w:r>
        <w:t>feasible</w:t>
      </w:r>
      <w:r w:rsidRPr="000D2CF5">
        <w:t xml:space="preserve"> for college counseling centers compared to the </w:t>
      </w:r>
      <w:r>
        <w:t>more traditional (</w:t>
      </w:r>
      <w:r w:rsidRPr="000D2CF5">
        <w:t>8-week</w:t>
      </w:r>
      <w:r>
        <w:t>)</w:t>
      </w:r>
      <w:r w:rsidRPr="000D2CF5">
        <w:t xml:space="preserve"> MBSR </w:t>
      </w:r>
      <w:r>
        <w:t>and BA therapies</w:t>
      </w:r>
      <w:r w:rsidRPr="000D2CF5">
        <w:t>.</w:t>
      </w:r>
      <w:r w:rsidRPr="00EE0B78">
        <w:t xml:space="preserve"> </w:t>
      </w:r>
      <w:r w:rsidRPr="00A73D26">
        <w:t>MBSR is a promising and viable treatment for depression</w:t>
      </w:r>
      <w:r>
        <w:t xml:space="preserve"> and</w:t>
      </w:r>
      <w:r w:rsidRPr="00A73D26">
        <w:t xml:space="preserve"> it is important to further establish</w:t>
      </w:r>
      <w:r w:rsidRPr="000D2CF5">
        <w:t xml:space="preserve"> the effectiveness of MBSR </w:t>
      </w:r>
      <w:r>
        <w:t>in treating depression</w:t>
      </w:r>
      <w:r w:rsidRPr="000D2CF5">
        <w:t>, since</w:t>
      </w:r>
      <w:r>
        <w:t xml:space="preserve"> direct research in this area is limited. </w:t>
      </w:r>
      <w:r w:rsidRPr="000D2CF5">
        <w:t xml:space="preserve"> In addition, MBSR has only been empirically researched in group </w:t>
      </w:r>
      <w:r>
        <w:t>formats</w:t>
      </w:r>
      <w:r w:rsidRPr="000D2CF5">
        <w:t>, so this study will ex</w:t>
      </w:r>
      <w:r>
        <w:t>pand MBSR research in administering treatment in</w:t>
      </w:r>
      <w:r w:rsidRPr="009361AC">
        <w:t xml:space="preserve"> an individualized format. Further research is needed to systematically assess BA </w:t>
      </w:r>
      <w:r>
        <w:t xml:space="preserve">for the treatment of depressed </w:t>
      </w:r>
      <w:r w:rsidRPr="009361AC">
        <w:t xml:space="preserve">college </w:t>
      </w:r>
      <w:r>
        <w:t>students</w:t>
      </w:r>
      <w:r w:rsidRPr="009361AC">
        <w:t xml:space="preserve"> and examine whether treatment gains are maintained for abbreviated BA. </w:t>
      </w:r>
      <w:r>
        <w:t>This study had four primary aims: 1) investigate whether MBT and BA alleviate depression in college students relative to a WLC group at post-treatment; 2) examine whether MBT and BA reduce self-reported stress, somatic anxiety, and rumination relative to a WLC group; 3) examine whether treatment gains are maintained at 1-month follow-up; and 4) examine</w:t>
      </w:r>
      <w:r w:rsidRPr="00432A60">
        <w:t xml:space="preserve"> </w:t>
      </w:r>
      <w:r>
        <w:t>whether MBT increases mindfulness</w:t>
      </w:r>
      <w:r w:rsidRPr="00432A60">
        <w:t xml:space="preserve"> </w:t>
      </w:r>
      <w:r>
        <w:t xml:space="preserve">compared to BA and the WLC group at post-treatment and 1-month follow-up (i.e., experimental manipulation check). </w:t>
      </w:r>
    </w:p>
    <w:p w:rsidR="00F22446" w:rsidRPr="004C41F6" w:rsidRDefault="00F22446" w:rsidP="00432A60">
      <w:pPr>
        <w:spacing w:line="480" w:lineRule="auto"/>
        <w:rPr>
          <w:b/>
        </w:rPr>
      </w:pPr>
      <w:r w:rsidRPr="004C41F6">
        <w:rPr>
          <w:b/>
          <w:iCs/>
        </w:rPr>
        <w:t>S</w:t>
      </w:r>
      <w:r>
        <w:rPr>
          <w:b/>
          <w:iCs/>
        </w:rPr>
        <w:t xml:space="preserve">tudy </w:t>
      </w:r>
      <w:r w:rsidRPr="004C41F6">
        <w:rPr>
          <w:b/>
          <w:iCs/>
        </w:rPr>
        <w:t xml:space="preserve">Hypotheses </w:t>
      </w:r>
    </w:p>
    <w:p w:rsidR="00F22446" w:rsidRDefault="00F22446" w:rsidP="006E5088">
      <w:pPr>
        <w:numPr>
          <w:ilvl w:val="0"/>
          <w:numId w:val="1"/>
        </w:numPr>
        <w:spacing w:line="480" w:lineRule="auto"/>
      </w:pPr>
      <w:r>
        <w:t>Compared to the WLC condition, participants in MBT and BA would report significantly lower depression at post-treatment.</w:t>
      </w:r>
    </w:p>
    <w:p w:rsidR="00F22446" w:rsidRDefault="00F22446" w:rsidP="003450D1">
      <w:pPr>
        <w:numPr>
          <w:ilvl w:val="0"/>
          <w:numId w:val="1"/>
        </w:numPr>
        <w:spacing w:line="480" w:lineRule="auto"/>
      </w:pPr>
      <w:r>
        <w:t>Compared to the WLC condition, participants in MBT and BA would report significantly lower stress, somatic anxiety, and rumination at post-treatment.</w:t>
      </w:r>
    </w:p>
    <w:p w:rsidR="00F22446" w:rsidRPr="00BF3ADE" w:rsidRDefault="00F22446" w:rsidP="00A7278B">
      <w:pPr>
        <w:numPr>
          <w:ilvl w:val="0"/>
          <w:numId w:val="1"/>
        </w:numPr>
        <w:spacing w:line="480" w:lineRule="auto"/>
        <w:rPr>
          <w:b/>
        </w:rPr>
      </w:pPr>
      <w:r>
        <w:t>Compared to the BA and WLC conditions, participants in MBT would have significant increases in mindfulness at post-treatment and 1-month follow-up.</w:t>
      </w:r>
    </w:p>
    <w:p w:rsidR="00F22446" w:rsidRDefault="00F22446" w:rsidP="005E1369">
      <w:pPr>
        <w:numPr>
          <w:ilvl w:val="0"/>
          <w:numId w:val="1"/>
        </w:numPr>
        <w:spacing w:line="480" w:lineRule="auto"/>
      </w:pPr>
      <w:r>
        <w:lastRenderedPageBreak/>
        <w:t>Participants in MBT and BA would report high and comparable treatment satisfaction at post-treatment.</w:t>
      </w:r>
    </w:p>
    <w:p w:rsidR="00F22446" w:rsidRDefault="00F22446" w:rsidP="003450D1">
      <w:pPr>
        <w:numPr>
          <w:ilvl w:val="0"/>
          <w:numId w:val="1"/>
        </w:numPr>
        <w:spacing w:line="480" w:lineRule="auto"/>
      </w:pPr>
      <w:r>
        <w:t>Treatment gains would be maintained at 1-month follow-up.</w:t>
      </w: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783ADC" w:rsidRDefault="00783ADC" w:rsidP="003450D1">
      <w:pPr>
        <w:spacing w:line="480" w:lineRule="auto"/>
        <w:ind w:left="720"/>
        <w:jc w:val="center"/>
        <w:rPr>
          <w:b/>
          <w:caps/>
        </w:rPr>
      </w:pPr>
    </w:p>
    <w:p w:rsidR="00F22446" w:rsidRPr="00DC3A26" w:rsidRDefault="00DC3A26" w:rsidP="003450D1">
      <w:pPr>
        <w:spacing w:line="480" w:lineRule="auto"/>
        <w:ind w:left="720"/>
        <w:jc w:val="center"/>
        <w:rPr>
          <w:b/>
          <w:caps/>
        </w:rPr>
      </w:pPr>
      <w:r w:rsidRPr="00DC3A26">
        <w:rPr>
          <w:b/>
          <w:caps/>
        </w:rPr>
        <w:lastRenderedPageBreak/>
        <w:t xml:space="preserve">Chapter 2: </w:t>
      </w:r>
      <w:r w:rsidR="00F22446" w:rsidRPr="00DC3A26">
        <w:rPr>
          <w:b/>
          <w:caps/>
        </w:rPr>
        <w:t>Method</w:t>
      </w:r>
    </w:p>
    <w:p w:rsidR="00F22446" w:rsidRPr="006C71B7" w:rsidRDefault="00F22446" w:rsidP="009B2DE5">
      <w:pPr>
        <w:spacing w:line="480" w:lineRule="auto"/>
        <w:rPr>
          <w:i/>
        </w:rPr>
      </w:pPr>
      <w:r w:rsidRPr="006C71B7">
        <w:rPr>
          <w:b/>
          <w:i/>
          <w:iCs/>
        </w:rPr>
        <w:t>Participants</w:t>
      </w:r>
    </w:p>
    <w:p w:rsidR="00F22446" w:rsidRPr="00EF0C3A" w:rsidRDefault="00F22446" w:rsidP="00062B0E">
      <w:pPr>
        <w:spacing w:line="480" w:lineRule="auto"/>
        <w:ind w:firstLine="720"/>
      </w:pPr>
      <w:r>
        <w:t>Fifty</w:t>
      </w:r>
      <w:r w:rsidRPr="00612AF0">
        <w:t xml:space="preserve"> </w:t>
      </w:r>
      <w:r>
        <w:t>college students</w:t>
      </w:r>
      <w:r w:rsidRPr="00612AF0">
        <w:t xml:space="preserve"> </w:t>
      </w:r>
      <w:r>
        <w:t xml:space="preserve">with mild to severe depression were </w:t>
      </w:r>
      <w:r w:rsidRPr="00612AF0">
        <w:t xml:space="preserve">recruited through </w:t>
      </w:r>
      <w:r>
        <w:t>general psychology courses at a Southeastern university and fliers posted around campus. Participants were</w:t>
      </w:r>
      <w:r w:rsidRPr="00612AF0">
        <w:t xml:space="preserve"> </w:t>
      </w:r>
      <w:r>
        <w:t>provided</w:t>
      </w:r>
      <w:r w:rsidRPr="00612AF0">
        <w:t xml:space="preserve"> </w:t>
      </w:r>
      <w:r>
        <w:t xml:space="preserve">research credit for each meeting and </w:t>
      </w:r>
      <w:r w:rsidRPr="00612AF0">
        <w:t>fin</w:t>
      </w:r>
      <w:r>
        <w:t>an</w:t>
      </w:r>
      <w:r w:rsidRPr="00612AF0">
        <w:t>cial</w:t>
      </w:r>
      <w:r>
        <w:t xml:space="preserve"> compensation ($25</w:t>
      </w:r>
      <w:r w:rsidRPr="00612AF0">
        <w:t xml:space="preserve"> per person</w:t>
      </w:r>
      <w:r>
        <w:t>) after completing the 1-month follow-up</w:t>
      </w:r>
      <w:r w:rsidRPr="00612AF0">
        <w:t>.</w:t>
      </w:r>
      <w:r>
        <w:t xml:space="preserve"> Using a research participation website and study description emphasizing current feelings of depression as an inclusion variable, participants were initially screened for depression using the Beck Depression Inventory (BDI-II; Beck, Steer, &amp; Brown, 1996; </w:t>
      </w:r>
      <w:r>
        <w:rPr>
          <w:i/>
        </w:rPr>
        <w:t xml:space="preserve">M = </w:t>
      </w:r>
      <w:r>
        <w:t xml:space="preserve">31.4, </w:t>
      </w:r>
      <w:r w:rsidRPr="006C71B7">
        <w:rPr>
          <w:i/>
        </w:rPr>
        <w:t>SD</w:t>
      </w:r>
      <w:r>
        <w:t xml:space="preserve"> = 9.7). Those who experienced at least mild symptoms of depression (BDI-II </w:t>
      </w:r>
      <w:r w:rsidRPr="00020FAC">
        <w:rPr>
          <w:u w:val="single"/>
        </w:rPr>
        <w:t>&gt;</w:t>
      </w:r>
      <w:r>
        <w:t xml:space="preserve"> 14) were invited to attend a more comprehensive (and individual) diagnostic assessment that included a second administration of the BDI-II as well as modules from the Anxiety Disorders Interview Schedule (ADIS-IV; Brown et al., 1994) that included the depression module, as well as screeners for current alcohol and substance dependence and psychosis. To be included in the study, participants had to have mild depression (BDI-II </w:t>
      </w:r>
      <w:r w:rsidRPr="00020FAC">
        <w:rPr>
          <w:u w:val="single"/>
        </w:rPr>
        <w:t>&gt;</w:t>
      </w:r>
      <w:r>
        <w:t xml:space="preserve"> 14) and/or be diagnosed with current MDD without psychosis and current substance dependence. As part of the demographic form, participants also were assessed for current engagement in mindfulness practices, such as yoga, progressive muscle relaxation, and meditation. Participants who practiced such activities (see Table 1) were asked if they were willing to refrain from these practices during the study. No participants declined this request. To be included, participants also were required to either be non-medicated (</w:t>
      </w:r>
      <w:r w:rsidRPr="006C71B7">
        <w:rPr>
          <w:i/>
        </w:rPr>
        <w:t>n</w:t>
      </w:r>
      <w:r>
        <w:t xml:space="preserve"> = 44; 88%) or stabilized [i.e., same dosage for a minimum of 8 weeks (</w:t>
      </w:r>
      <w:r>
        <w:rPr>
          <w:i/>
        </w:rPr>
        <w:t>n</w:t>
      </w:r>
      <w:r>
        <w:t xml:space="preserve"> = 6; 12%)] on antidepressant and antianxiety medication, and could not be receiving any current psychotherapy or counseling. Therapists recorded </w:t>
      </w:r>
      <w:r w:rsidRPr="00746A9F">
        <w:t>antidepressant or antianxiety medication</w:t>
      </w:r>
      <w:r>
        <w:t xml:space="preserve"> use at each session as well </w:t>
      </w:r>
      <w:r w:rsidRPr="00DA015B">
        <w:t xml:space="preserve">as </w:t>
      </w:r>
      <w:r>
        <w:t xml:space="preserve">at </w:t>
      </w:r>
      <w:r w:rsidRPr="00DA015B">
        <w:t>the 1-month</w:t>
      </w:r>
      <w:r>
        <w:t xml:space="preserve"> follow-up meeting. Data </w:t>
      </w:r>
      <w:r>
        <w:lastRenderedPageBreak/>
        <w:t xml:space="preserve">indicated that all six participants continued on the same medication and dosage throughout treatment and follow-up, and there were no participants who were initially non-medicated and began pharmacotherapy during the study. Medication use did not differ as a function of treatment </w:t>
      </w:r>
      <w:r w:rsidRPr="00EF0C3A">
        <w:t xml:space="preserve">condition [χ² (2) = 2.77, </w:t>
      </w:r>
      <w:r w:rsidRPr="00EF0C3A">
        <w:rPr>
          <w:i/>
        </w:rPr>
        <w:t xml:space="preserve">p </w:t>
      </w:r>
      <w:r w:rsidRPr="00EF0C3A">
        <w:t>= 0.25].</w:t>
      </w:r>
    </w:p>
    <w:p w:rsidR="00F22446" w:rsidRPr="007F0099" w:rsidRDefault="00F22446" w:rsidP="00281EBF">
      <w:pPr>
        <w:spacing w:line="480" w:lineRule="auto"/>
        <w:ind w:firstLine="720"/>
        <w:rPr>
          <w:color w:val="FF0000"/>
        </w:rPr>
      </w:pPr>
      <w:r w:rsidRPr="00A03716">
        <w:t>The final sample included 19 males (38%) and 31 females (62%), with a mean age of 19.2 years (</w:t>
      </w:r>
      <w:r w:rsidRPr="006C71B7">
        <w:rPr>
          <w:i/>
        </w:rPr>
        <w:t>SD</w:t>
      </w:r>
      <w:r w:rsidRPr="00A03716">
        <w:t xml:space="preserve"> = 1.67). The majority of participants identified as White/Caucasian (76%) </w:t>
      </w:r>
      <w:r>
        <w:t>followed by</w:t>
      </w:r>
      <w:r w:rsidRPr="00A03716">
        <w:t xml:space="preserve"> Mixed Race/Ethnicity (10%), Black/African American (4%), Asian American (4%), Indian/Middle Eastern (4%), and Hispanic or Latino/a (2%). Most participants were </w:t>
      </w:r>
      <w:r>
        <w:t>s</w:t>
      </w:r>
      <w:r w:rsidRPr="00A03716">
        <w:t xml:space="preserve">ingle (60%), </w:t>
      </w:r>
      <w:r>
        <w:t xml:space="preserve">and </w:t>
      </w:r>
      <w:r w:rsidRPr="00A03716">
        <w:t xml:space="preserve">others were </w:t>
      </w:r>
      <w:r>
        <w:t>d</w:t>
      </w:r>
      <w:r w:rsidRPr="00A03716">
        <w:t xml:space="preserve">ating (34%), </w:t>
      </w:r>
      <w:r>
        <w:t>m</w:t>
      </w:r>
      <w:r w:rsidRPr="00A03716">
        <w:t xml:space="preserve">arried (4%), or </w:t>
      </w:r>
      <w:r>
        <w:t>w</w:t>
      </w:r>
      <w:r w:rsidRPr="00A03716">
        <w:t xml:space="preserve">idowed (2%). </w:t>
      </w:r>
      <w:r>
        <w:t xml:space="preserve">The sample could be categorized as moderately depressed (BDI-II: </w:t>
      </w:r>
      <w:r>
        <w:rPr>
          <w:i/>
        </w:rPr>
        <w:t xml:space="preserve">M = </w:t>
      </w:r>
      <w:r>
        <w:t xml:space="preserve">29.2, </w:t>
      </w:r>
      <w:r w:rsidRPr="001636CE">
        <w:rPr>
          <w:i/>
        </w:rPr>
        <w:t>SD</w:t>
      </w:r>
      <w:r>
        <w:t xml:space="preserve"> = 10.1), </w:t>
      </w:r>
      <w:r w:rsidRPr="00462940">
        <w:t>and 66% (</w:t>
      </w:r>
      <w:r w:rsidRPr="006C71B7">
        <w:rPr>
          <w:i/>
        </w:rPr>
        <w:t>n</w:t>
      </w:r>
      <w:r w:rsidRPr="00462940">
        <w:t xml:space="preserve"> = 33) of the sample was </w:t>
      </w:r>
      <w:r>
        <w:t>diagnosed with MDD</w:t>
      </w:r>
      <w:r w:rsidRPr="00462940">
        <w:t xml:space="preserve"> as assessed by the ADIS-IV</w:t>
      </w:r>
      <w:r>
        <w:t xml:space="preserve"> m</w:t>
      </w:r>
      <w:r w:rsidRPr="00462940">
        <w:t xml:space="preserve">ajor </w:t>
      </w:r>
      <w:r>
        <w:t>d</w:t>
      </w:r>
      <w:r w:rsidRPr="00462940">
        <w:t>epression module</w:t>
      </w:r>
      <w:r>
        <w:t xml:space="preserve"> (</w:t>
      </w:r>
      <w:r w:rsidRPr="00462940">
        <w:t>Brown et al., 1994)</w:t>
      </w:r>
      <w:r>
        <w:t>.</w:t>
      </w:r>
      <w:r w:rsidRPr="00462940">
        <w:t xml:space="preserve"> </w:t>
      </w:r>
      <w:r>
        <w:t>Although there was a trend toward more patients in the MBT group being diagnosed with depression, the proportion of depressed patients within groups did not statistically differ [χ² (2) = 5.50</w:t>
      </w:r>
      <w:r w:rsidRPr="00EF0C3A">
        <w:t xml:space="preserve">, </w:t>
      </w:r>
      <w:r w:rsidRPr="00EF0C3A">
        <w:rPr>
          <w:i/>
        </w:rPr>
        <w:t xml:space="preserve">p </w:t>
      </w:r>
      <w:r>
        <w:t>= 0.07</w:t>
      </w:r>
      <w:r w:rsidRPr="00EF0C3A">
        <w:t>].</w:t>
      </w:r>
      <w:r>
        <w:t xml:space="preserve"> </w:t>
      </w:r>
      <w:r w:rsidRPr="00462940">
        <w:t>Participant</w:t>
      </w:r>
      <w:r w:rsidRPr="00A03716">
        <w:t xml:space="preserve"> </w:t>
      </w:r>
      <w:r>
        <w:t>demographic characteristics</w:t>
      </w:r>
      <w:r w:rsidRPr="00A03716">
        <w:t xml:space="preserve"> </w:t>
      </w:r>
      <w:r>
        <w:t xml:space="preserve">(Table 1) and pre-treatment severity on outcome variables (Table 2) did not differ as a function of </w:t>
      </w:r>
      <w:r w:rsidRPr="00A03716">
        <w:t xml:space="preserve">treatment condition </w:t>
      </w:r>
      <w:r>
        <w:t xml:space="preserve">as assessed via ANOVAs for </w:t>
      </w:r>
      <w:r w:rsidRPr="00A03716">
        <w:t xml:space="preserve">continuous variables </w:t>
      </w:r>
      <w:r>
        <w:t xml:space="preserve">and </w:t>
      </w:r>
      <w:r w:rsidRPr="00A03716">
        <w:t>chi-square analyses</w:t>
      </w:r>
      <w:r>
        <w:t xml:space="preserve"> for categorical variables. </w:t>
      </w:r>
    </w:p>
    <w:p w:rsidR="00F22446" w:rsidRPr="006C71B7" w:rsidRDefault="00F22446" w:rsidP="00B171BA">
      <w:pPr>
        <w:spacing w:line="480" w:lineRule="auto"/>
        <w:rPr>
          <w:b/>
          <w:i/>
        </w:rPr>
      </w:pPr>
      <w:r w:rsidRPr="006C71B7">
        <w:rPr>
          <w:b/>
          <w:i/>
          <w:iCs/>
        </w:rPr>
        <w:t>Assessment Instruments</w:t>
      </w:r>
      <w:r w:rsidRPr="006C71B7">
        <w:rPr>
          <w:b/>
          <w:i/>
        </w:rPr>
        <w:t xml:space="preserve"> </w:t>
      </w:r>
    </w:p>
    <w:p w:rsidR="00F22446" w:rsidRPr="00DF1151" w:rsidRDefault="00F22446" w:rsidP="00DF1151">
      <w:pPr>
        <w:spacing w:line="480" w:lineRule="auto"/>
        <w:ind w:firstLine="720"/>
      </w:pPr>
      <w:r w:rsidRPr="00343435">
        <w:rPr>
          <w:b/>
          <w:iCs/>
        </w:rPr>
        <w:t>Anxiety Disorders Interview Schedule for DSM-IV (ADIS-IV; Brown et al., 1994).</w:t>
      </w:r>
      <w:r>
        <w:t xml:space="preserve"> The ADIS-IV is a semi-structured interview that comprehensively assesses </w:t>
      </w:r>
      <w:r w:rsidRPr="00A5141F">
        <w:t>anxiety, mood, somatoform, substance abuse, and psychotic disorders</w:t>
      </w:r>
      <w:r>
        <w:t xml:space="preserve">. For this study only four of the modules were administered: major depression, </w:t>
      </w:r>
      <w:r w:rsidRPr="00D2138B">
        <w:t>alcohol abuse, substance abuse, and psychosis</w:t>
      </w:r>
      <w:r>
        <w:t>. The ADIS-IV has good to excellent reliability and validity (Brown, Di Nardo, Lehman, &amp; Campbell, 2001).</w:t>
      </w:r>
    </w:p>
    <w:p w:rsidR="00F22446" w:rsidRDefault="00F22446" w:rsidP="00A70A18">
      <w:pPr>
        <w:spacing w:line="480" w:lineRule="auto"/>
        <w:ind w:firstLine="720"/>
      </w:pPr>
      <w:r w:rsidRPr="00343435">
        <w:rPr>
          <w:b/>
          <w:iCs/>
        </w:rPr>
        <w:lastRenderedPageBreak/>
        <w:t>Beck Depression Inventory-II</w:t>
      </w:r>
      <w:r w:rsidRPr="00343435">
        <w:rPr>
          <w:b/>
        </w:rPr>
        <w:t xml:space="preserve"> </w:t>
      </w:r>
      <w:r w:rsidRPr="00343435">
        <w:rPr>
          <w:b/>
          <w:iCs/>
        </w:rPr>
        <w:t>(BDI-II; Beck, Steer, &amp; Brown, 1996b).</w:t>
      </w:r>
      <w:r w:rsidRPr="00071F4B">
        <w:t xml:space="preserve"> The</w:t>
      </w:r>
      <w:r>
        <w:t xml:space="preserve"> BDI–II </w:t>
      </w:r>
      <w:r w:rsidRPr="0029335F">
        <w:t xml:space="preserve">is a self-report measure </w:t>
      </w:r>
      <w:r>
        <w:t xml:space="preserve">that assesses depression severity over the past two weeks and includes 21 items rated on a 4-point Likert scale. Sample items include degree of “sadness” and “loss of pleasure.” </w:t>
      </w:r>
      <w:r w:rsidRPr="0029335F">
        <w:t xml:space="preserve">The scale has </w:t>
      </w:r>
      <w:r>
        <w:t>excellent</w:t>
      </w:r>
      <w:r w:rsidRPr="0029335F">
        <w:t xml:space="preserve"> internal consistency </w:t>
      </w:r>
      <w:r>
        <w:t>(α =</w:t>
      </w:r>
      <w:r w:rsidRPr="0029335F">
        <w:t xml:space="preserve"> 0.92 for outpatient samples</w:t>
      </w:r>
      <w:r>
        <w:t>;</w:t>
      </w:r>
      <w:r w:rsidRPr="0029335F">
        <w:t xml:space="preserve"> 0.93 for nonclinical samples</w:t>
      </w:r>
      <w:r>
        <w:t>)</w:t>
      </w:r>
      <w:r w:rsidRPr="0029335F">
        <w:t xml:space="preserve"> and </w:t>
      </w:r>
      <w:r>
        <w:t xml:space="preserve">one-week </w:t>
      </w:r>
      <w:r w:rsidRPr="0029335F">
        <w:t xml:space="preserve">test-retest reliability </w:t>
      </w:r>
      <w:r>
        <w:t>(</w:t>
      </w:r>
      <w:r w:rsidRPr="006C71B7">
        <w:rPr>
          <w:i/>
        </w:rPr>
        <w:t>r</w:t>
      </w:r>
      <w:r>
        <w:t xml:space="preserve"> = .93:</w:t>
      </w:r>
      <w:r w:rsidRPr="0029335F">
        <w:t xml:space="preserve"> Beck, Steer, &amp; Brown, 1996). Con</w:t>
      </w:r>
      <w:r>
        <w:t>vergent</w:t>
      </w:r>
      <w:r w:rsidRPr="0029335F">
        <w:t xml:space="preserve"> validity has been established through </w:t>
      </w:r>
      <w:r>
        <w:t xml:space="preserve">strong </w:t>
      </w:r>
      <w:r w:rsidRPr="0029335F">
        <w:t>correlation</w:t>
      </w:r>
      <w:r>
        <w:t>s</w:t>
      </w:r>
      <w:r w:rsidRPr="0029335F">
        <w:t xml:space="preserve"> with the Hamilton Psychiatric Rating Scale for Depression-Revised (</w:t>
      </w:r>
      <w:r w:rsidRPr="0041510D">
        <w:rPr>
          <w:i/>
        </w:rPr>
        <w:t>r</w:t>
      </w:r>
      <w:r w:rsidRPr="0029335F">
        <w:t xml:space="preserve"> = .71). </w:t>
      </w:r>
      <w:r>
        <w:t>The instrument has excellent psychometric properties among depressed younger and older adults (</w:t>
      </w:r>
      <w:r w:rsidRPr="00071F4B">
        <w:t>Nezu, Ronan, Meadows, &amp; McClure, 2000</w:t>
      </w:r>
      <w:r>
        <w:t>; α = .88</w:t>
      </w:r>
      <w:r w:rsidRPr="007A4EF1">
        <w:t xml:space="preserve">; </w:t>
      </w:r>
      <w:r w:rsidRPr="007A4EF1">
        <w:rPr>
          <w:i/>
          <w:iCs/>
        </w:rPr>
        <w:t>M</w:t>
      </w:r>
      <w:r>
        <w:t xml:space="preserve"> = 29.2</w:t>
      </w:r>
      <w:r w:rsidRPr="007A4EF1">
        <w:t xml:space="preserve">, </w:t>
      </w:r>
      <w:r w:rsidRPr="007A4EF1">
        <w:rPr>
          <w:i/>
          <w:iCs/>
        </w:rPr>
        <w:t>SD</w:t>
      </w:r>
      <w:r>
        <w:t xml:space="preserve"> = 10.1</w:t>
      </w:r>
      <w:r w:rsidRPr="007A4EF1">
        <w:t xml:space="preserve"> for the present study).</w:t>
      </w:r>
    </w:p>
    <w:p w:rsidR="00F22446" w:rsidRDefault="00F22446" w:rsidP="00A70A18">
      <w:pPr>
        <w:spacing w:line="480" w:lineRule="auto"/>
        <w:ind w:firstLine="720"/>
      </w:pPr>
      <w:r w:rsidRPr="00343435">
        <w:rPr>
          <w:b/>
          <w:iCs/>
        </w:rPr>
        <w:t>Hamilton Rating Scale for Depression</w:t>
      </w:r>
      <w:r w:rsidRPr="00343435">
        <w:rPr>
          <w:b/>
        </w:rPr>
        <w:t xml:space="preserve"> (</w:t>
      </w:r>
      <w:r w:rsidRPr="00343435">
        <w:rPr>
          <w:b/>
          <w:iCs/>
        </w:rPr>
        <w:t>HRSD</w:t>
      </w:r>
      <w:r w:rsidRPr="00343435">
        <w:rPr>
          <w:b/>
        </w:rPr>
        <w:t xml:space="preserve">; </w:t>
      </w:r>
      <w:r w:rsidRPr="00343435">
        <w:rPr>
          <w:b/>
          <w:iCs/>
        </w:rPr>
        <w:t>Hamilton, 1960)</w:t>
      </w:r>
      <w:r w:rsidRPr="00343435">
        <w:rPr>
          <w:b/>
        </w:rPr>
        <w:t>.</w:t>
      </w:r>
      <w:r w:rsidRPr="00FB04B0">
        <w:t xml:space="preserve"> The</w:t>
      </w:r>
      <w:r>
        <w:t xml:space="preserve"> HRSD is a 17-item semistructured interview designed to measure symptom severity in patients with depression. The instrument is the most widely accepted outcome measure for depression and is a standard outcome measure in clinical </w:t>
      </w:r>
      <w:r w:rsidRPr="00066B4B">
        <w:t xml:space="preserve">trials </w:t>
      </w:r>
      <w:r>
        <w:t>(α = .86</w:t>
      </w:r>
      <w:r w:rsidRPr="007A4EF1">
        <w:t xml:space="preserve">; </w:t>
      </w:r>
      <w:r w:rsidRPr="007A4EF1">
        <w:rPr>
          <w:i/>
          <w:iCs/>
        </w:rPr>
        <w:t>M</w:t>
      </w:r>
      <w:r>
        <w:t xml:space="preserve"> = 14.1</w:t>
      </w:r>
      <w:r w:rsidRPr="007A4EF1">
        <w:t xml:space="preserve">, </w:t>
      </w:r>
      <w:r w:rsidRPr="007A4EF1">
        <w:rPr>
          <w:i/>
          <w:iCs/>
        </w:rPr>
        <w:t>SD</w:t>
      </w:r>
      <w:r>
        <w:t xml:space="preserve"> = 3.7</w:t>
      </w:r>
      <w:r w:rsidRPr="007A4EF1">
        <w:t xml:space="preserve"> for the present study).</w:t>
      </w:r>
    </w:p>
    <w:p w:rsidR="00F22446" w:rsidDel="00A70A18" w:rsidRDefault="00F22446" w:rsidP="00C62D25">
      <w:pPr>
        <w:spacing w:line="480" w:lineRule="auto"/>
        <w:ind w:firstLine="720"/>
      </w:pPr>
      <w:r w:rsidRPr="00343435">
        <w:rPr>
          <w:b/>
          <w:iCs/>
        </w:rPr>
        <w:t>Beck Anxiety Inventory (BAI;</w:t>
      </w:r>
      <w:r w:rsidRPr="00343435">
        <w:rPr>
          <w:b/>
        </w:rPr>
        <w:t xml:space="preserve"> Beck &amp; Steer, 1993a</w:t>
      </w:r>
      <w:r w:rsidRPr="00343435">
        <w:rPr>
          <w:b/>
          <w:iCs/>
        </w:rPr>
        <w:t>)</w:t>
      </w:r>
      <w:r w:rsidRPr="00343435">
        <w:rPr>
          <w:b/>
        </w:rPr>
        <w:t>.</w:t>
      </w:r>
      <w:r w:rsidRPr="00071F4B">
        <w:t xml:space="preserve"> The BAI</w:t>
      </w:r>
      <w:r>
        <w:t xml:space="preserve"> is a 21-item measure of cognitive and somatic symptoms of anxiety, with higher scores indicating increased anxiety. Sample items include “unable to relax” and “heart pounding or racing.” Good psychometric properties have been demonstrated among college, medical, and psychiatric samples (</w:t>
      </w:r>
      <w:r w:rsidRPr="001A31C4">
        <w:t>Antony, Orsillo, &amp; Roemer, 2001</w:t>
      </w:r>
      <w:r>
        <w:t>; α = .92</w:t>
      </w:r>
      <w:r w:rsidRPr="007A4EF1">
        <w:t xml:space="preserve">; </w:t>
      </w:r>
      <w:r w:rsidRPr="007A4EF1">
        <w:rPr>
          <w:i/>
          <w:iCs/>
        </w:rPr>
        <w:t>M</w:t>
      </w:r>
      <w:r>
        <w:t xml:space="preserve"> = 18</w:t>
      </w:r>
      <w:r w:rsidRPr="007A4EF1">
        <w:t xml:space="preserve">.0, </w:t>
      </w:r>
      <w:r w:rsidRPr="007A4EF1">
        <w:rPr>
          <w:i/>
          <w:iCs/>
        </w:rPr>
        <w:t>SD</w:t>
      </w:r>
      <w:r>
        <w:t xml:space="preserve"> = 11.4</w:t>
      </w:r>
      <w:r w:rsidRPr="007A4EF1">
        <w:t xml:space="preserve"> for the present study).</w:t>
      </w:r>
    </w:p>
    <w:p w:rsidR="00F22446" w:rsidRPr="006C71B7" w:rsidRDefault="00F22446" w:rsidP="00A70A18">
      <w:pPr>
        <w:spacing w:line="480" w:lineRule="auto"/>
        <w:ind w:firstLine="720"/>
      </w:pPr>
      <w:r w:rsidRPr="00343435">
        <w:rPr>
          <w:b/>
          <w:iCs/>
        </w:rPr>
        <w:t>Five-Facet Mindfulness Questionnaire (FFMQ; Baer, Smith, Hopkins, Krietemeyer, &amp; Toney, 2006).</w:t>
      </w:r>
      <w:r>
        <w:t xml:space="preserve"> The FFMQ is a 39-item self-report measure of five factors of mindfulness: observing sensations, describing thoughts and feelings, acting with awareness, and non-judging and</w:t>
      </w:r>
      <w:r w:rsidRPr="005C35E2">
        <w:t xml:space="preserve"> </w:t>
      </w:r>
      <w:r>
        <w:t>non-reactivity to inner experiences. The FFMQ has excellent internal consistency (</w:t>
      </w:r>
      <w:r w:rsidRPr="0041510D">
        <w:rPr>
          <w:rFonts w:ascii="Lucida Grande Greek" w:hAnsi="Lucida Grande Greek" w:cs="Lucida Grande Greek"/>
          <w:bCs/>
          <w:color w:val="000000"/>
        </w:rPr>
        <w:t>α</w:t>
      </w:r>
      <w:r w:rsidRPr="00C43A15">
        <w:t xml:space="preserve"> </w:t>
      </w:r>
      <w:r>
        <w:t>= .93;</w:t>
      </w:r>
      <w:r w:rsidRPr="00FF7857">
        <w:t xml:space="preserve"> </w:t>
      </w:r>
      <w:r>
        <w:t xml:space="preserve">Bränström, Kvillemo, Brandberg, &amp; Moskowitz, </w:t>
      </w:r>
      <w:r w:rsidRPr="00FF7857">
        <w:t>2010)</w:t>
      </w:r>
      <w:r>
        <w:t xml:space="preserve">. The FFMQ facets are positively </w:t>
      </w:r>
      <w:r>
        <w:lastRenderedPageBreak/>
        <w:t>correlated with meditation experience</w:t>
      </w:r>
      <w:r w:rsidRPr="00FF7857">
        <w:t xml:space="preserve"> (</w:t>
      </w:r>
      <w:r>
        <w:t xml:space="preserve">observing, </w:t>
      </w:r>
      <w:r w:rsidRPr="00FF7857">
        <w:t>r = 0.</w:t>
      </w:r>
      <w:r>
        <w:t>35; describing, r = .14; acting, r = .04; non-judging, r = .22; non-reactivity, r = .31; Baer, Smith, Lykins, Button, Krietemeyer, Sauer, et al., 2008) and convergent validity is evident in relations to emotional intelligence (r = .60), self-compassion (r = .53), openness to experience (r = .42), dissociation (r = -.62), absent mindedness (r = -.61), and alexithymia (r = -.68; Baer et al., 2006; α = .76</w:t>
      </w:r>
      <w:r w:rsidRPr="007A4EF1">
        <w:t xml:space="preserve">; </w:t>
      </w:r>
      <w:r w:rsidRPr="007A4EF1">
        <w:rPr>
          <w:i/>
          <w:iCs/>
        </w:rPr>
        <w:t>M</w:t>
      </w:r>
      <w:r>
        <w:t xml:space="preserve"> = 108.9</w:t>
      </w:r>
      <w:r w:rsidRPr="007A4EF1">
        <w:t xml:space="preserve">, </w:t>
      </w:r>
      <w:r w:rsidRPr="007A4EF1">
        <w:rPr>
          <w:i/>
          <w:iCs/>
        </w:rPr>
        <w:t>SD</w:t>
      </w:r>
      <w:r>
        <w:t xml:space="preserve"> = 12.9 for the present study). </w:t>
      </w:r>
    </w:p>
    <w:p w:rsidR="00F22446" w:rsidRDefault="00F22446" w:rsidP="00A70A18">
      <w:pPr>
        <w:spacing w:line="480" w:lineRule="auto"/>
        <w:ind w:firstLine="720"/>
      </w:pPr>
      <w:r w:rsidRPr="00343435">
        <w:rPr>
          <w:b/>
          <w:iCs/>
        </w:rPr>
        <w:t xml:space="preserve">Perceived Stress Scale (PSS; Cohen, </w:t>
      </w:r>
      <w:r w:rsidRPr="00343435">
        <w:rPr>
          <w:b/>
          <w:color w:val="0C1915"/>
          <w:spacing w:val="-8"/>
          <w:w w:val="105"/>
        </w:rPr>
        <w:t xml:space="preserve">Kamarck, &amp; Mermelstein, </w:t>
      </w:r>
      <w:r w:rsidRPr="00343435">
        <w:rPr>
          <w:b/>
          <w:iCs/>
        </w:rPr>
        <w:t>1983).</w:t>
      </w:r>
      <w:r>
        <w:t xml:space="preserve"> The PSS is a 10-item inventory designed to measure perceived stress over the previous month. The PSS includes items concerning unexpected events, irritating hassles, coping and control. Sample items include, “In the last month, how often have you felt confident about your ability to handle your personal problems?” and “In the last month, how often have you felt that you were on top of things.” The PSS has good internal consistency (</w:t>
      </w:r>
      <w:r w:rsidRPr="0041510D">
        <w:rPr>
          <w:rFonts w:ascii="Lucida Grande Greek" w:hAnsi="Lucida Grande Greek" w:cs="Lucida Grande Greek"/>
          <w:bCs/>
          <w:color w:val="000000"/>
        </w:rPr>
        <w:t>α</w:t>
      </w:r>
      <w:r>
        <w:t xml:space="preserve"> = 0.84 - 0.86; Cohen, 1983; α = .81</w:t>
      </w:r>
      <w:r w:rsidRPr="007A4EF1">
        <w:t xml:space="preserve">; </w:t>
      </w:r>
      <w:r w:rsidRPr="007A4EF1">
        <w:rPr>
          <w:i/>
          <w:iCs/>
        </w:rPr>
        <w:t>M</w:t>
      </w:r>
      <w:r>
        <w:t xml:space="preserve"> = 25.2</w:t>
      </w:r>
      <w:r w:rsidRPr="007A4EF1">
        <w:t xml:space="preserve">, </w:t>
      </w:r>
      <w:r w:rsidRPr="007A4EF1">
        <w:rPr>
          <w:i/>
          <w:iCs/>
        </w:rPr>
        <w:t>SD</w:t>
      </w:r>
      <w:r>
        <w:t xml:space="preserve"> = 5.9 for the present study)</w:t>
      </w:r>
      <w:r w:rsidRPr="00CB0529">
        <w:t xml:space="preserve">.  </w:t>
      </w:r>
    </w:p>
    <w:p w:rsidR="00F22446" w:rsidRDefault="00F22446" w:rsidP="00A70A18">
      <w:pPr>
        <w:spacing w:line="480" w:lineRule="auto"/>
        <w:ind w:firstLine="720"/>
      </w:pPr>
      <w:r w:rsidRPr="00343435">
        <w:rPr>
          <w:b/>
          <w:iCs/>
        </w:rPr>
        <w:t>Ruminative Response Scale (RRS; Nolen-Hoeksema &amp; Morrow‚ 1991)</w:t>
      </w:r>
      <w:r w:rsidRPr="00343435">
        <w:rPr>
          <w:b/>
        </w:rPr>
        <w:t>.</w:t>
      </w:r>
      <w:r>
        <w:t xml:space="preserve"> The RRS is part of the Response Style Questionnaire used to assess r</w:t>
      </w:r>
      <w:r w:rsidRPr="002226A4">
        <w:t>uminative responses to depressed mood</w:t>
      </w:r>
      <w:r>
        <w:t xml:space="preserve">, with higher scores indicating more rumination (range = 0-88). The RRS consists of 22 items on a Likert-type scale, with values ranging from 1 (almost never) to 4 (almost always). Items such as “go away by yourself and think about why you feel this way” or “try to understand yourself by focusing on your depressed feelings” are used to assess ruminative coping responses. </w:t>
      </w:r>
      <w:r w:rsidRPr="00185D23">
        <w:t>The instrument has adequate two-year test-retest reliability (r = 0.67)</w:t>
      </w:r>
      <w:r>
        <w:t xml:space="preserve">, </w:t>
      </w:r>
      <w:r w:rsidRPr="00185D23">
        <w:t>good convergent and predictive validity</w:t>
      </w:r>
      <w:r>
        <w:t>, and good internal consistency (</w:t>
      </w:r>
      <w:r w:rsidRPr="0041510D">
        <w:rPr>
          <w:rFonts w:ascii="Lucida Grande Greek" w:hAnsi="Lucida Grande Greek" w:cs="Lucida Grande Greek"/>
          <w:bCs/>
          <w:color w:val="000000"/>
        </w:rPr>
        <w:t>α</w:t>
      </w:r>
      <w:r>
        <w:t xml:space="preserve"> = .90; </w:t>
      </w:r>
      <w:r w:rsidRPr="00185D23">
        <w:t>Nolen-Hoeksema &amp; Morrow, 1991; Treynor, G</w:t>
      </w:r>
      <w:r>
        <w:t>onzalez, &amp; Nolen-Hoeksema, 2003; α = .88</w:t>
      </w:r>
      <w:r w:rsidRPr="007A4EF1">
        <w:t xml:space="preserve">; </w:t>
      </w:r>
      <w:r w:rsidRPr="007A4EF1">
        <w:rPr>
          <w:i/>
          <w:iCs/>
        </w:rPr>
        <w:t>M</w:t>
      </w:r>
      <w:r>
        <w:t xml:space="preserve"> = 55.5</w:t>
      </w:r>
      <w:r w:rsidRPr="007A4EF1">
        <w:t xml:space="preserve">, </w:t>
      </w:r>
      <w:r w:rsidRPr="007A4EF1">
        <w:rPr>
          <w:i/>
          <w:iCs/>
        </w:rPr>
        <w:t>SD</w:t>
      </w:r>
      <w:r>
        <w:t xml:space="preserve"> = 11.0 for the present study)</w:t>
      </w:r>
      <w:r w:rsidRPr="00185D23">
        <w:t>.</w:t>
      </w:r>
      <w:r>
        <w:t xml:space="preserve"> </w:t>
      </w:r>
    </w:p>
    <w:p w:rsidR="00F22446" w:rsidRDefault="00F22446" w:rsidP="00A70A18">
      <w:pPr>
        <w:spacing w:line="480" w:lineRule="auto"/>
        <w:ind w:firstLine="720"/>
      </w:pPr>
      <w:r w:rsidRPr="00343435">
        <w:rPr>
          <w:b/>
          <w:iCs/>
          <w:lang w:val="fr-FR"/>
        </w:rPr>
        <w:lastRenderedPageBreak/>
        <w:t>Client Satisfaction Questionnaire (CSQ; Larsen, Attkisson, Hargreaves, &amp; Nguyen, 1979)</w:t>
      </w:r>
      <w:r w:rsidRPr="00343435">
        <w:rPr>
          <w:b/>
          <w:lang w:val="fr-FR"/>
        </w:rPr>
        <w:t>.</w:t>
      </w:r>
      <w:r w:rsidRPr="004031A5">
        <w:rPr>
          <w:lang w:val="fr-FR"/>
        </w:rPr>
        <w:t xml:space="preserve"> </w:t>
      </w:r>
      <w:r>
        <w:t xml:space="preserve">The CSQ assesses patient satisfaction with treatment. The scale is an 8-item measure, with higher scores indicating greater treatment satisfaction (range = 0–32). Items are rated on a 4-point Likert scale and assess satisfaction with the kind of service, treatment staff, amount of service, quality of service, outcome </w:t>
      </w:r>
      <w:r w:rsidRPr="00342667">
        <w:t xml:space="preserve">of service, and general satisfaction. </w:t>
      </w:r>
    </w:p>
    <w:p w:rsidR="00F22446" w:rsidRPr="006C71B7" w:rsidRDefault="00F22446" w:rsidP="006E6868">
      <w:pPr>
        <w:spacing w:line="480" w:lineRule="auto"/>
        <w:rPr>
          <w:b/>
          <w:bCs/>
          <w:vertAlign w:val="superscript"/>
        </w:rPr>
      </w:pPr>
      <w:r>
        <w:rPr>
          <w:b/>
          <w:iCs/>
        </w:rPr>
        <w:t>Therapy Interventions</w:t>
      </w:r>
      <w:r>
        <w:rPr>
          <w:b/>
          <w:bCs/>
          <w:vertAlign w:val="superscript"/>
        </w:rPr>
        <w:t>1</w:t>
      </w:r>
    </w:p>
    <w:p w:rsidR="00CB7B65" w:rsidRDefault="00F22446" w:rsidP="00783ADC">
      <w:pPr>
        <w:spacing w:line="480" w:lineRule="auto"/>
        <w:ind w:firstLine="720"/>
      </w:pPr>
      <w:r w:rsidRPr="00343435">
        <w:rPr>
          <w:b/>
          <w:iCs/>
        </w:rPr>
        <w:t>Behavioral Activation.</w:t>
      </w:r>
      <w:r>
        <w:t xml:space="preserve"> The BA manual was modeled after the </w:t>
      </w:r>
      <w:r w:rsidRPr="00A1508C">
        <w:rPr>
          <w:i/>
          <w:iCs/>
        </w:rPr>
        <w:t>Brief Behavioral Activation Treatment for Depression</w:t>
      </w:r>
      <w:r>
        <w:t xml:space="preserve"> (BATD; Lejuez, Hopko, &amp; Hopko, 2001) and was reduced to a four-session treatment. This decrease in therapy duration from the original protocol resulted in three fewer weeks of activity scheduling and the omission of behavioral contracting strategies. Also, to make the manual more applicable to college students, some life value areas such as employment/career and political a</w:t>
      </w:r>
      <w:r w:rsidRPr="00D944E0">
        <w:t>ctivities</w:t>
      </w:r>
      <w:r>
        <w:t xml:space="preserve"> were removed from the life value assessment.</w:t>
      </w:r>
      <w:r w:rsidRPr="00AD73A6">
        <w:t xml:space="preserve"> </w:t>
      </w:r>
      <w:r>
        <w:t>Otherwise, all elements of the BATD treatment were maintained. All four sessions were approximately 1-hour in duration.</w:t>
      </w:r>
      <w:r>
        <w:rPr>
          <w:i/>
          <w:iCs/>
        </w:rPr>
        <w:t xml:space="preserve"> </w:t>
      </w:r>
      <w:r>
        <w:t xml:space="preserve">The first session involved an explanation of the treatment plan and expectations of the participant. Then, participants engaged in a motivational exercise in which goals and expectations of treatment and pros/cons of changing were discussed. Therapists also educated participants about how practicing new behaviors can alleviate symptoms of depression, and described etiological factors associated with its onset. Participants then were provided with the BA treatment rationale that emphasized the relevance of engaging in value-based activities that elicit a sense of pleasure and accomplishment as a way to combat feelings of depression and low self-esteem. Participants then were guided by the clinician in completing the </w:t>
      </w:r>
    </w:p>
    <w:p w:rsidR="00CB7B65" w:rsidRDefault="00CB7B65" w:rsidP="00783ADC">
      <w:pPr>
        <w:spacing w:line="480" w:lineRule="auto"/>
        <w:ind w:firstLine="720"/>
      </w:pPr>
    </w:p>
    <w:p w:rsidR="00CB7B65" w:rsidRDefault="00CB7B65" w:rsidP="00CB7B65">
      <w:pPr>
        <w:rPr>
          <w:i/>
        </w:rPr>
      </w:pPr>
    </w:p>
    <w:p w:rsidR="00CB7B65" w:rsidRDefault="00783ADC" w:rsidP="00CB7B65">
      <w:pPr>
        <w:rPr>
          <w:i/>
        </w:rPr>
      </w:pPr>
      <w:r w:rsidRPr="00CB7B65">
        <w:rPr>
          <w:i/>
        </w:rPr>
        <w:t>Footnote 1: Comprehensive treatment protocols can be provided upon request.</w:t>
      </w:r>
    </w:p>
    <w:p w:rsidR="00F22446" w:rsidRDefault="00CB7B65" w:rsidP="00783ADC">
      <w:pPr>
        <w:spacing w:line="480" w:lineRule="auto"/>
      </w:pPr>
      <w:r>
        <w:lastRenderedPageBreak/>
        <w:t xml:space="preserve">life values assessment. </w:t>
      </w:r>
      <w:r w:rsidRPr="00783ADC">
        <w:t>The goal of this exercise was to identify important life domains a</w:t>
      </w:r>
      <w:r>
        <w:t xml:space="preserve">nd </w:t>
      </w:r>
      <w:r w:rsidR="00783ADC" w:rsidRPr="00783ADC">
        <w:t xml:space="preserve">corresponding activities that could be targeted for change. </w:t>
      </w:r>
      <w:r w:rsidR="00F22446">
        <w:t>The values and goals assessed were: relationships; hobbies/recreation; physical and health issues; spirituality; and psychological/anxiety/avoidance i</w:t>
      </w:r>
      <w:r w:rsidR="00F22446" w:rsidRPr="003B4245">
        <w:t>ssues</w:t>
      </w:r>
      <w:r w:rsidR="00F22446">
        <w:t>. Following this exercise, an activity hierarchy was constructed in which 3 to 4 value-based behaviors were selected for change. Each participant and the therapist collaboratively established structured behavioral goals (frequency and duration), which the participant completed during the week that followed. Each participant used a behavioral checkout form to monitor progress. The therapist and participant discussed how to monitor progress toward completing goals and activities on the behavioral checkout, identified particular contexts (e.g., day, time, place) in which behavioral change might more likely elicit environmental reinforcement, and problem solved around obstacles to change.</w:t>
      </w:r>
      <w:r w:rsidR="00F22446" w:rsidDel="00D55A46">
        <w:t xml:space="preserve"> </w:t>
      </w:r>
    </w:p>
    <w:p w:rsidR="00F22446" w:rsidRDefault="00F22446" w:rsidP="006748F3">
      <w:pPr>
        <w:spacing w:line="480" w:lineRule="auto"/>
        <w:ind w:firstLine="720"/>
      </w:pPr>
      <w:r w:rsidRPr="00862EF8">
        <w:rPr>
          <w:iCs/>
        </w:rPr>
        <w:t>D</w:t>
      </w:r>
      <w:r w:rsidRPr="00862EF8">
        <w:t>uring</w:t>
      </w:r>
      <w:r>
        <w:t xml:space="preserve"> sessions 2 and 3, the therapist and participant reviewed the targeted value-based behaviors selected for change the previous week. They</w:t>
      </w:r>
      <w:r w:rsidRPr="00977C6E">
        <w:t xml:space="preserve"> discuss</w:t>
      </w:r>
      <w:r>
        <w:t>ed</w:t>
      </w:r>
      <w:r w:rsidRPr="00977C6E">
        <w:t xml:space="preserve"> progress toward completing desired goals and activi</w:t>
      </w:r>
      <w:r>
        <w:t>ties on the behavioral checkout and</w:t>
      </w:r>
      <w:r w:rsidRPr="00977C6E">
        <w:t xml:space="preserve"> identif</w:t>
      </w:r>
      <w:r>
        <w:t>ied</w:t>
      </w:r>
      <w:r w:rsidRPr="00977C6E">
        <w:t xml:space="preserve"> </w:t>
      </w:r>
      <w:r>
        <w:t>and resolved any obstacles that prevented compliance with activities</w:t>
      </w:r>
      <w:r w:rsidRPr="00977C6E">
        <w:t>.</w:t>
      </w:r>
      <w:r>
        <w:t xml:space="preserve"> In sessions 2 and 3, the therapist and participant selected 3-4 new structured behavioral goals from the participant’s value-based activity hierarchy. The fourth session was identical to sessions 2 and 3 with the exception of assigning approximately 3 new value-based behaviors for change.</w:t>
      </w:r>
    </w:p>
    <w:p w:rsidR="00F22446" w:rsidRPr="00494654" w:rsidRDefault="00F22446" w:rsidP="006F5FC7">
      <w:pPr>
        <w:spacing w:line="480" w:lineRule="auto"/>
        <w:ind w:firstLine="720"/>
      </w:pPr>
      <w:r>
        <w:rPr>
          <w:b/>
          <w:iCs/>
        </w:rPr>
        <w:t>Mindfulness-B</w:t>
      </w:r>
      <w:r w:rsidRPr="00E63D4D">
        <w:rPr>
          <w:b/>
          <w:iCs/>
        </w:rPr>
        <w:t xml:space="preserve">ased </w:t>
      </w:r>
      <w:r>
        <w:rPr>
          <w:b/>
          <w:iCs/>
        </w:rPr>
        <w:t>Therapy</w:t>
      </w:r>
      <w:r w:rsidRPr="00E63D4D">
        <w:rPr>
          <w:b/>
          <w:iCs/>
        </w:rPr>
        <w:t>.</w:t>
      </w:r>
      <w:r>
        <w:rPr>
          <w:i/>
          <w:iCs/>
        </w:rPr>
        <w:t xml:space="preserve"> </w:t>
      </w:r>
      <w:r>
        <w:t xml:space="preserve">The Mindfulness-Based Therapy (MBT) protocol was </w:t>
      </w:r>
      <w:r w:rsidRPr="00CE2427">
        <w:t>modeled after the MBSR program developed at the University of Massachusetts Medical Center (Kabat-Zinn, 1982</w:t>
      </w:r>
      <w:r w:rsidR="00862E9E">
        <w:t xml:space="preserve">; Stahl &amp; Goldstein, </w:t>
      </w:r>
      <w:r w:rsidR="00862E9E" w:rsidRPr="00314019">
        <w:t>2010</w:t>
      </w:r>
      <w:r w:rsidRPr="00CE2427">
        <w:t>). Th</w:t>
      </w:r>
      <w:r>
        <w:t xml:space="preserve">e MBT intervention differed from the original MBSR program in length and duration. The original MBSR program is </w:t>
      </w:r>
      <w:r w:rsidRPr="00877D3E">
        <w:t>8-week</w:t>
      </w:r>
      <w:r>
        <w:t>s of 2.5-hour sessions and a one-day retreat. Consistent with BA, in this study MBT</w:t>
      </w:r>
      <w:r w:rsidRPr="00877D3E">
        <w:t xml:space="preserve"> </w:t>
      </w:r>
      <w:r>
        <w:t>consisted of 4-weekly 1-</w:t>
      </w:r>
      <w:r>
        <w:lastRenderedPageBreak/>
        <w:t>hour sessions. In addition, MBT was applied in an individualized format compared to the original MBSR group format. The first session involved an explanation of the treatment plan and participant expectations. Then, participants engaged in a motivational exercise in which goals and expectations of treatment and pros/cons of changing were discussed. Therapists also educated participants on how practicing mindfulness could alleviate symptoms of depression. Participants</w:t>
      </w:r>
      <w:r w:rsidRPr="00CE2427">
        <w:t xml:space="preserve"> were then provided with </w:t>
      </w:r>
      <w:r>
        <w:t>the treatment rationale for the MBT</w:t>
      </w:r>
      <w:r w:rsidRPr="00CE2427">
        <w:t xml:space="preserve"> </w:t>
      </w:r>
      <w:r>
        <w:t>that focuses on how</w:t>
      </w:r>
      <w:r w:rsidRPr="00CE2427">
        <w:t xml:space="preserve"> mindfulness meditation instills self-regulatory strategies to reduce stress and depressive symptoms (Kabat-Zinn, 1982).</w:t>
      </w:r>
      <w:r>
        <w:t xml:space="preserve"> This rationale emphasized the relevance of engaging in meditation to bring non-judgmental awareness to the present moment as a way to combat feelings of depression. Participants were then guided by the clinician in a mindfulness eating exercise to bring</w:t>
      </w:r>
      <w:r w:rsidRPr="001D3489">
        <w:t xml:space="preserve"> awareness to the present moment</w:t>
      </w:r>
      <w:r>
        <w:t xml:space="preserve"> and attend to the sensations of eating. Next, the therapist led the participant in a mindfulness check-in to bring</w:t>
      </w:r>
      <w:r w:rsidRPr="001D3489">
        <w:t xml:space="preserve"> awareness to the present moment</w:t>
      </w:r>
      <w:r>
        <w:t xml:space="preserve"> and</w:t>
      </w:r>
      <w:r>
        <w:rPr>
          <w:bCs/>
        </w:rPr>
        <w:t xml:space="preserve"> recognize </w:t>
      </w:r>
      <w:r w:rsidRPr="00494654">
        <w:rPr>
          <w:bCs/>
        </w:rPr>
        <w:t xml:space="preserve">physical, </w:t>
      </w:r>
      <w:r>
        <w:rPr>
          <w:bCs/>
        </w:rPr>
        <w:t>cognitive</w:t>
      </w:r>
      <w:r w:rsidRPr="00494654">
        <w:rPr>
          <w:bCs/>
        </w:rPr>
        <w:t>, and emotional</w:t>
      </w:r>
      <w:r>
        <w:rPr>
          <w:bCs/>
        </w:rPr>
        <w:t xml:space="preserve"> responses</w:t>
      </w:r>
      <w:r w:rsidRPr="00494654">
        <w:rPr>
          <w:bCs/>
        </w:rPr>
        <w:t xml:space="preserve">. </w:t>
      </w:r>
      <w:r>
        <w:t xml:space="preserve">The participant was </w:t>
      </w:r>
      <w:r w:rsidRPr="00494654">
        <w:t>then guided in a sitti</w:t>
      </w:r>
      <w:r>
        <w:t xml:space="preserve">ng meditation to </w:t>
      </w:r>
      <w:r w:rsidRPr="00494654">
        <w:t>practice focus</w:t>
      </w:r>
      <w:r>
        <w:t>ed</w:t>
      </w:r>
      <w:r w:rsidRPr="00494654">
        <w:t xml:space="preserve"> non-judgmental awaren</w:t>
      </w:r>
      <w:r>
        <w:t>ess</w:t>
      </w:r>
      <w:r w:rsidRPr="00494654">
        <w:t>. At the end of each meditation exercise, the therapist and participant discussed</w:t>
      </w:r>
      <w:r>
        <w:t xml:space="preserve"> </w:t>
      </w:r>
      <w:r w:rsidRPr="00494654">
        <w:t xml:space="preserve">patient </w:t>
      </w:r>
      <w:r>
        <w:t>experiences with a focus</w:t>
      </w:r>
      <w:r w:rsidRPr="00494654">
        <w:t xml:space="preserve"> on emotions, physical sensations, and </w:t>
      </w:r>
      <w:r>
        <w:t>cognitions</w:t>
      </w:r>
      <w:r w:rsidRPr="00494654">
        <w:t xml:space="preserve">. </w:t>
      </w:r>
    </w:p>
    <w:p w:rsidR="00F22446" w:rsidRDefault="00F22446" w:rsidP="00AE4C6B">
      <w:pPr>
        <w:spacing w:line="480" w:lineRule="auto"/>
        <w:ind w:firstLine="720"/>
      </w:pPr>
      <w:r>
        <w:t xml:space="preserve">The second session consisted of a mindfulness check-in and body scan meditation. The mindfulness check-in exercise was the same as that introduced in the first session. Next, </w:t>
      </w:r>
      <w:r w:rsidRPr="00862EF8">
        <w:t xml:space="preserve">the therapist and participant </w:t>
      </w:r>
      <w:r>
        <w:t xml:space="preserve">discussed </w:t>
      </w:r>
      <w:r w:rsidRPr="00862EF8">
        <w:t xml:space="preserve">the </w:t>
      </w:r>
      <w:r>
        <w:t>meditation practices assigned for the previous week, including the frequency of meditation, any obstacles to completion, and the meditation experience.</w:t>
      </w:r>
      <w:r w:rsidRPr="00862EF8">
        <w:t xml:space="preserve"> </w:t>
      </w:r>
      <w:r>
        <w:t>Then the participant was guided in a body scan meditation focusing on each part of the body to notice sensations, feelings, and thoughts as they arose</w:t>
      </w:r>
      <w:r w:rsidRPr="002352AC">
        <w:t xml:space="preserve">. At the end of each meditation </w:t>
      </w:r>
      <w:r w:rsidRPr="002352AC">
        <w:lastRenderedPageBreak/>
        <w:t xml:space="preserve">exercise, the therapist and participant discussed what the patient </w:t>
      </w:r>
      <w:r>
        <w:t>observed</w:t>
      </w:r>
      <w:r w:rsidRPr="002352AC">
        <w:t xml:space="preserve"> </w:t>
      </w:r>
      <w:r>
        <w:t>in terms of physical,</w:t>
      </w:r>
      <w:r w:rsidRPr="002352AC">
        <w:t xml:space="preserve"> emotion</w:t>
      </w:r>
      <w:r>
        <w:t>al</w:t>
      </w:r>
      <w:r w:rsidRPr="002352AC">
        <w:t xml:space="preserve">, and </w:t>
      </w:r>
      <w:r>
        <w:t>cognitive reactions</w:t>
      </w:r>
      <w:r w:rsidRPr="002352AC">
        <w:t xml:space="preserve">. </w:t>
      </w:r>
    </w:p>
    <w:p w:rsidR="00F22446" w:rsidRDefault="00F22446" w:rsidP="00AE4C6B">
      <w:pPr>
        <w:spacing w:line="480" w:lineRule="auto"/>
        <w:ind w:firstLine="720"/>
      </w:pPr>
      <w:r>
        <w:t>During the third session, the participant engaged in a mindfulness check-in and discussed meditation practices assigned for the previous week, including frequency of meditation practice and the meditation experience. Next, the participant was guided in a walking meditation involving walking slowly with non-judgmental awareness</w:t>
      </w:r>
      <w:r w:rsidRPr="002352AC">
        <w:t xml:space="preserve">. At the end of each meditation exercise, the therapist and participant discussed patient </w:t>
      </w:r>
      <w:r>
        <w:t>observations and</w:t>
      </w:r>
      <w:r w:rsidRPr="002352AC">
        <w:t xml:space="preserve"> reflect</w:t>
      </w:r>
      <w:r>
        <w:t>ed</w:t>
      </w:r>
      <w:r w:rsidRPr="002352AC">
        <w:t xml:space="preserve"> on emotions, physical sensations, and </w:t>
      </w:r>
      <w:r>
        <w:t>cognition</w:t>
      </w:r>
      <w:r w:rsidRPr="002352AC">
        <w:t xml:space="preserve">s. </w:t>
      </w:r>
    </w:p>
    <w:p w:rsidR="00F22446" w:rsidRDefault="00F22446" w:rsidP="00AE4C6B">
      <w:pPr>
        <w:spacing w:line="480" w:lineRule="auto"/>
        <w:ind w:firstLine="720"/>
      </w:pPr>
      <w:r>
        <w:t>The fourth session included a mindfulness check-in followed by discussing homework and practicing slow yoga movements. The participant engaged in 12 Hatha yoga postures, holding each pose for approximately one minute. This practice involved gentle stretching while paying attention to subtle movements in the body as well as sensations, feelings, and thoughts that arose moment to moment. At the end of every MBT session, the participant received a CD (and one</w:t>
      </w:r>
      <w:r w:rsidRPr="00BE7915">
        <w:t xml:space="preserve"> handout</w:t>
      </w:r>
      <w:r>
        <w:t xml:space="preserve"> at session 4 with yoga poses</w:t>
      </w:r>
      <w:r w:rsidRPr="00BE7915">
        <w:t>)</w:t>
      </w:r>
      <w:r>
        <w:t xml:space="preserve"> that had the guided meditation practices taught that session.  </w:t>
      </w:r>
    </w:p>
    <w:p w:rsidR="00F22446" w:rsidRDefault="00F22446" w:rsidP="0093690D">
      <w:pPr>
        <w:spacing w:line="480" w:lineRule="auto"/>
        <w:ind w:firstLine="720"/>
      </w:pPr>
      <w:r>
        <w:rPr>
          <w:b/>
          <w:iCs/>
        </w:rPr>
        <w:t xml:space="preserve">Wait-List Control Condition. </w:t>
      </w:r>
      <w:r>
        <w:t>Participants in the wait-list condition attended the initial meeting in which the comprehensive assessment was completed. After measures were completed, participants were randomized to either an active treatment group or the wait-list control (</w:t>
      </w:r>
      <w:r w:rsidRPr="00051574">
        <w:t>WLC</w:t>
      </w:r>
      <w:r>
        <w:t>). WLC participants were informed they would</w:t>
      </w:r>
      <w:r w:rsidRPr="00051574">
        <w:t xml:space="preserve"> be offered BA</w:t>
      </w:r>
      <w:r>
        <w:t xml:space="preserve"> and/or MBT</w:t>
      </w:r>
      <w:r w:rsidRPr="00051574">
        <w:t xml:space="preserve"> at the end of the study</w:t>
      </w:r>
      <w:r>
        <w:t>. Participants in the WLC group attended the post-treatment and 1-month follow-up assessments.</w:t>
      </w:r>
    </w:p>
    <w:p w:rsidR="00F22446" w:rsidRPr="003630DE" w:rsidRDefault="00F22446" w:rsidP="003C58A5">
      <w:pPr>
        <w:pStyle w:val="Heading1"/>
        <w:rPr>
          <w:rFonts w:ascii="Times New Roman" w:hAnsi="Times New Roman" w:cs="Times New Roman"/>
          <w:b/>
          <w:i w:val="0"/>
          <w:sz w:val="24"/>
        </w:rPr>
      </w:pPr>
      <w:r w:rsidRPr="003630DE">
        <w:rPr>
          <w:rFonts w:ascii="Times New Roman" w:hAnsi="Times New Roman" w:cs="Times New Roman"/>
          <w:b/>
          <w:i w:val="0"/>
          <w:sz w:val="24"/>
        </w:rPr>
        <w:lastRenderedPageBreak/>
        <w:t>Therapists and Treatment Fidelity</w:t>
      </w:r>
    </w:p>
    <w:p w:rsidR="00F22446" w:rsidRPr="006C71B7" w:rsidRDefault="00F22446" w:rsidP="003C58A5">
      <w:pPr>
        <w:spacing w:line="480" w:lineRule="auto"/>
        <w:ind w:firstLine="720"/>
      </w:pPr>
      <w:r>
        <w:t>T</w:t>
      </w:r>
      <w:r w:rsidRPr="009A7C61">
        <w:t>hree</w:t>
      </w:r>
      <w:r w:rsidRPr="006C71B7">
        <w:t xml:space="preserve"> advanced clinical psychology (doctoral) students served as </w:t>
      </w:r>
      <w:r>
        <w:t>study clinicians</w:t>
      </w:r>
      <w:r w:rsidRPr="006C71B7">
        <w:t>. All therapists were skilled i</w:t>
      </w:r>
      <w:r w:rsidRPr="005D0AC3">
        <w:t>n the administration of both BA</w:t>
      </w:r>
      <w:r w:rsidRPr="006C71B7">
        <w:t xml:space="preserve"> and </w:t>
      </w:r>
      <w:r>
        <w:t xml:space="preserve">MBT </w:t>
      </w:r>
      <w:r w:rsidRPr="006C71B7">
        <w:t xml:space="preserve">and were trained by the principal investigator (DH) to administer these treatments. </w:t>
      </w:r>
      <w:r>
        <w:t xml:space="preserve">In addition, all clinicians had previously been enrolled in the comprehensive 8-week MBSR program. </w:t>
      </w:r>
      <w:r w:rsidRPr="006C71B7">
        <w:t>Based on randomization procedures, therapists t</w:t>
      </w:r>
      <w:r w:rsidRPr="005D0AC3">
        <w:t>reated patients in both the BA</w:t>
      </w:r>
      <w:r w:rsidRPr="00DC53A6">
        <w:t xml:space="preserve"> and MBT</w:t>
      </w:r>
      <w:r w:rsidRPr="006C71B7">
        <w:t xml:space="preserve"> conditions. To ensure competent provision of both interventions, all se</w:t>
      </w:r>
      <w:r w:rsidRPr="00DC53A6">
        <w:t xml:space="preserve">ssions were audio taped and </w:t>
      </w:r>
      <w:r w:rsidRPr="006C71B7">
        <w:t>thera</w:t>
      </w:r>
      <w:r w:rsidRPr="00EA0CDB">
        <w:t xml:space="preserve">pists met for </w:t>
      </w:r>
      <w:r w:rsidRPr="006C71B7">
        <w:t>supervision sessions with the principal investigator (DH). Including patients completing their respective intervention and those discont</w:t>
      </w:r>
      <w:r w:rsidRPr="000E3FEC">
        <w:t>inuing treatment, a total of 131</w:t>
      </w:r>
      <w:r w:rsidRPr="006C71B7">
        <w:t xml:space="preserve"> therapy sessions were conducted across tre</w:t>
      </w:r>
      <w:r w:rsidRPr="009C557C">
        <w:t>atment conditions. A total of 23</w:t>
      </w:r>
      <w:r w:rsidRPr="006C71B7">
        <w:t>% of these tapes (</w:t>
      </w:r>
      <w:r w:rsidRPr="006C71B7">
        <w:rPr>
          <w:i/>
        </w:rPr>
        <w:t>n</w:t>
      </w:r>
      <w:r w:rsidRPr="000E3FEC">
        <w:t xml:space="preserve"> = 30</w:t>
      </w:r>
      <w:r w:rsidRPr="006C71B7">
        <w:t>) were selected randomly for ratings of therapist competence and adherence by an independent evaluator with e</w:t>
      </w:r>
      <w:r w:rsidRPr="003B459D">
        <w:t>xpertise in cognitive-behavior</w:t>
      </w:r>
      <w:r w:rsidRPr="006C71B7">
        <w:t xml:space="preserve"> therapy (S.D.H., M.A.). Ratings were made on 0- (no adherence/competence) to 8- (complete adh</w:t>
      </w:r>
      <w:r w:rsidRPr="003B459D">
        <w:t xml:space="preserve">erence/competence) point </w:t>
      </w:r>
      <w:r w:rsidRPr="006C71B7">
        <w:t>scales on a session-by-session basis, with ratings based on adherence and ability in completing session objectives highlighted in the respective treatment manuals. Ratings indicate</w:t>
      </w:r>
      <w:r w:rsidRPr="003B459D">
        <w:t>d high therapist adherence (BA</w:t>
      </w:r>
      <w:r w:rsidRPr="006C71B7">
        <w:t xml:space="preserve">: </w:t>
      </w:r>
      <w:r w:rsidRPr="006C71B7">
        <w:rPr>
          <w:i/>
          <w:iCs/>
        </w:rPr>
        <w:t>M</w:t>
      </w:r>
      <w:r w:rsidRPr="00B96FE2">
        <w:t xml:space="preserve"> = 7.1</w:t>
      </w:r>
      <w:r w:rsidRPr="006C71B7">
        <w:t xml:space="preserve">; </w:t>
      </w:r>
      <w:r w:rsidRPr="006C71B7">
        <w:rPr>
          <w:i/>
          <w:iCs/>
        </w:rPr>
        <w:t>SD</w:t>
      </w:r>
      <w:r>
        <w:t xml:space="preserve"> = 0.6</w:t>
      </w:r>
      <w:r w:rsidRPr="003B459D">
        <w:t>; MBT</w:t>
      </w:r>
      <w:r w:rsidRPr="006C71B7">
        <w:t xml:space="preserve">: </w:t>
      </w:r>
      <w:r w:rsidRPr="006C71B7">
        <w:rPr>
          <w:i/>
          <w:iCs/>
        </w:rPr>
        <w:t>M</w:t>
      </w:r>
      <w:r w:rsidRPr="00B96FE2">
        <w:t xml:space="preserve"> = 7.3</w:t>
      </w:r>
      <w:r w:rsidRPr="006C71B7">
        <w:t xml:space="preserve">; </w:t>
      </w:r>
      <w:r w:rsidRPr="006C71B7">
        <w:rPr>
          <w:i/>
          <w:iCs/>
        </w:rPr>
        <w:t>SD</w:t>
      </w:r>
      <w:r w:rsidRPr="003B459D">
        <w:t xml:space="preserve"> = 0.8) and competence (BA</w:t>
      </w:r>
      <w:r w:rsidRPr="006C71B7">
        <w:t xml:space="preserve">: </w:t>
      </w:r>
      <w:r w:rsidRPr="006C71B7">
        <w:rPr>
          <w:i/>
          <w:iCs/>
        </w:rPr>
        <w:t>M</w:t>
      </w:r>
      <w:r w:rsidRPr="00B96FE2">
        <w:t xml:space="preserve"> = 6.7</w:t>
      </w:r>
      <w:r w:rsidRPr="006C71B7">
        <w:t xml:space="preserve">; </w:t>
      </w:r>
      <w:r w:rsidRPr="006C71B7">
        <w:rPr>
          <w:i/>
          <w:iCs/>
        </w:rPr>
        <w:t>SD</w:t>
      </w:r>
      <w:r w:rsidRPr="00B96FE2">
        <w:t xml:space="preserve"> = 0.9; MBT</w:t>
      </w:r>
      <w:r w:rsidRPr="006C71B7">
        <w:t xml:space="preserve">: </w:t>
      </w:r>
      <w:r w:rsidRPr="006C71B7">
        <w:rPr>
          <w:i/>
          <w:iCs/>
        </w:rPr>
        <w:t>M</w:t>
      </w:r>
      <w:r w:rsidRPr="00566760">
        <w:t xml:space="preserve"> = 6.9</w:t>
      </w:r>
      <w:r w:rsidRPr="006C71B7">
        <w:t xml:space="preserve">; </w:t>
      </w:r>
      <w:r w:rsidRPr="006C71B7">
        <w:rPr>
          <w:i/>
          <w:iCs/>
        </w:rPr>
        <w:t>SD</w:t>
      </w:r>
      <w:r w:rsidRPr="00B96FE2">
        <w:t xml:space="preserve"> = 0.7</w:t>
      </w:r>
      <w:r w:rsidRPr="006C71B7">
        <w:t>) in administering both protocols, with no significant differences in adherence [</w:t>
      </w:r>
      <w:r w:rsidRPr="006C71B7">
        <w:rPr>
          <w:i/>
        </w:rPr>
        <w:t xml:space="preserve">F </w:t>
      </w:r>
      <w:r w:rsidRPr="00F17A1F">
        <w:t>(1, 29</w:t>
      </w:r>
      <w:r w:rsidRPr="00B757B4">
        <w:t>) = 0.64</w:t>
      </w:r>
      <w:r w:rsidRPr="006C71B7">
        <w:t xml:space="preserve">, </w:t>
      </w:r>
      <w:r w:rsidRPr="006C71B7">
        <w:rPr>
          <w:i/>
        </w:rPr>
        <w:t>p</w:t>
      </w:r>
      <w:r w:rsidRPr="00B757B4">
        <w:t xml:space="preserve"> = 0.3</w:t>
      </w:r>
      <w:r w:rsidRPr="006C71B7">
        <w:t>6] or competence [</w:t>
      </w:r>
      <w:r w:rsidRPr="006C71B7">
        <w:rPr>
          <w:i/>
        </w:rPr>
        <w:t xml:space="preserve">F </w:t>
      </w:r>
      <w:r w:rsidRPr="00B757B4">
        <w:t>(1, 29) = 0.48</w:t>
      </w:r>
      <w:r w:rsidRPr="006C71B7">
        <w:t xml:space="preserve">, </w:t>
      </w:r>
      <w:r w:rsidRPr="006C71B7">
        <w:rPr>
          <w:i/>
        </w:rPr>
        <w:t>p</w:t>
      </w:r>
      <w:r w:rsidRPr="00A03046">
        <w:t xml:space="preserve"> = 0.5</w:t>
      </w:r>
      <w:r w:rsidRPr="006C71B7">
        <w:t xml:space="preserve">5] as a function of intervention. </w:t>
      </w:r>
    </w:p>
    <w:p w:rsidR="00F22446" w:rsidRDefault="00F22446" w:rsidP="006C71B7">
      <w:pPr>
        <w:autoSpaceDE w:val="0"/>
        <w:autoSpaceDN w:val="0"/>
        <w:adjustRightInd w:val="0"/>
        <w:spacing w:line="480" w:lineRule="auto"/>
        <w:ind w:firstLine="720"/>
        <w:rPr>
          <w:iCs/>
        </w:rPr>
      </w:pPr>
      <w:r w:rsidRPr="003630DE">
        <w:rPr>
          <w:b/>
          <w:iCs/>
        </w:rPr>
        <w:t>Response and remission criteria.</w:t>
      </w:r>
      <w:r w:rsidRPr="006C71B7">
        <w:rPr>
          <w:iCs/>
        </w:rPr>
        <w:t xml:space="preserve"> Consistent with methods highlighted in previous trials of behavioral activation (Dimidjian et al., 2006), r</w:t>
      </w:r>
      <w:r w:rsidRPr="006C71B7">
        <w:t xml:space="preserve">esponse represented significant symptomatic improvement, whereas remission represented improvement to the point of being asymptomatic within normal range. On the HRSD and BDI-II, response was defined as at least 50% reduction from baseline. Remission was defined as scores </w:t>
      </w:r>
      <w:r w:rsidRPr="006C71B7">
        <w:rPr>
          <w:u w:val="single"/>
        </w:rPr>
        <w:t>&lt;</w:t>
      </w:r>
      <w:r w:rsidRPr="006C71B7">
        <w:t xml:space="preserve"> 7 on the HRSD and </w:t>
      </w:r>
      <w:r w:rsidRPr="006C71B7">
        <w:rPr>
          <w:u w:val="single"/>
        </w:rPr>
        <w:t>&lt;</w:t>
      </w:r>
      <w:r w:rsidRPr="006C71B7">
        <w:t xml:space="preserve"> 10 on the BDI-II.</w:t>
      </w:r>
    </w:p>
    <w:p w:rsidR="00F22446" w:rsidRPr="003630DE" w:rsidRDefault="00F22446" w:rsidP="00E63D4D">
      <w:pPr>
        <w:spacing w:line="480" w:lineRule="auto"/>
        <w:rPr>
          <w:b/>
        </w:rPr>
      </w:pPr>
      <w:r w:rsidRPr="003630DE">
        <w:rPr>
          <w:b/>
          <w:iCs/>
        </w:rPr>
        <w:lastRenderedPageBreak/>
        <w:t>Procedure</w:t>
      </w:r>
    </w:p>
    <w:p w:rsidR="00F22446" w:rsidRDefault="00F22446" w:rsidP="00F37BCC">
      <w:pPr>
        <w:spacing w:line="480" w:lineRule="auto"/>
        <w:ind w:firstLine="720"/>
      </w:pPr>
      <w:r>
        <w:t>As indicated on the CONSORT Figure, following the comprehensive assessment, participants were randomly assigned to BA (n =16), MBT (n = 20), or the WLC (n = 14). Participants in treatment groups attended 4 individualized, weekly1-hour therapy sessions. Participants in the WLC received no active intervention and were assessed at similar time intervals (i.e., post-treatment, 1-month follow-up). Patients assigned to BA or MBT underwent treatment as described. Participants in both treatment groups completed the BDI-II following each session. At session five (post-treatment), all participants completed the full battery of self-report measures, were administered the ADIS-IV depression module, patients in treatment groups completed the client satisfaction questionnaire (CSQ), and therapists completed the HRSD. At the</w:t>
      </w:r>
      <w:r w:rsidRPr="00F37BCC">
        <w:t xml:space="preserve"> </w:t>
      </w:r>
      <w:r>
        <w:t>1</w:t>
      </w:r>
      <w:r w:rsidRPr="00F37BCC">
        <w:t>-month</w:t>
      </w:r>
      <w:r>
        <w:t xml:space="preserve"> follow-up assessment, identical measures were administered with the exception of the CSQ. </w:t>
      </w: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F37BCC">
      <w:pPr>
        <w:spacing w:line="480" w:lineRule="auto"/>
        <w:ind w:firstLine="720"/>
      </w:pPr>
    </w:p>
    <w:p w:rsidR="00783ADC" w:rsidRDefault="00783ADC" w:rsidP="00535C4C">
      <w:pPr>
        <w:spacing w:line="480" w:lineRule="auto"/>
      </w:pPr>
    </w:p>
    <w:p w:rsidR="00F22446" w:rsidRPr="00C83B2E" w:rsidRDefault="00C83B2E" w:rsidP="00705825">
      <w:pPr>
        <w:spacing w:line="480" w:lineRule="auto"/>
        <w:jc w:val="center"/>
        <w:rPr>
          <w:b/>
          <w:caps/>
        </w:rPr>
      </w:pPr>
      <w:r w:rsidRPr="00C83B2E">
        <w:rPr>
          <w:b/>
          <w:caps/>
        </w:rPr>
        <w:lastRenderedPageBreak/>
        <w:t xml:space="preserve">Chapter 3: </w:t>
      </w:r>
      <w:r w:rsidR="00F22446" w:rsidRPr="00C83B2E">
        <w:rPr>
          <w:b/>
          <w:caps/>
        </w:rPr>
        <w:t>Results</w:t>
      </w:r>
    </w:p>
    <w:p w:rsidR="00F22446" w:rsidRPr="003630DE" w:rsidRDefault="00F22446" w:rsidP="00366C91">
      <w:pPr>
        <w:pStyle w:val="Heading1"/>
        <w:rPr>
          <w:rFonts w:ascii="Times New Roman" w:hAnsi="Times New Roman" w:cs="Times New Roman"/>
          <w:b/>
          <w:i w:val="0"/>
          <w:sz w:val="24"/>
        </w:rPr>
      </w:pPr>
      <w:r w:rsidRPr="003630DE">
        <w:rPr>
          <w:rFonts w:ascii="Times New Roman" w:hAnsi="Times New Roman" w:cs="Times New Roman"/>
          <w:b/>
          <w:i w:val="0"/>
          <w:sz w:val="24"/>
        </w:rPr>
        <w:t>Treatment Outcome Data</w:t>
      </w:r>
    </w:p>
    <w:p w:rsidR="00F22446" w:rsidRPr="006C71B7" w:rsidRDefault="00F22446" w:rsidP="00366C91">
      <w:pPr>
        <w:widowControl w:val="0"/>
        <w:autoSpaceDE w:val="0"/>
        <w:autoSpaceDN w:val="0"/>
        <w:adjustRightInd w:val="0"/>
        <w:spacing w:line="480" w:lineRule="auto"/>
      </w:pPr>
      <w:r w:rsidRPr="00C7676E">
        <w:tab/>
      </w:r>
      <w:r w:rsidRPr="006C71B7">
        <w:t>A</w:t>
      </w:r>
      <w:r>
        <w:t>s presented in Table 3, a</w:t>
      </w:r>
      <w:r w:rsidRPr="006C71B7">
        <w:t>ll clinical variables were initially examined with mixed-model ANOVA</w:t>
      </w:r>
      <w:r w:rsidRPr="00C7676E">
        <w:t>’</w:t>
      </w:r>
      <w:r w:rsidRPr="006C71B7">
        <w:t>s [between subjects: treatment condition; within subjects (time): pre-treatment, post-treatment</w:t>
      </w:r>
      <w:r>
        <w:t>, 1-month follow-up</w:t>
      </w:r>
      <w:r w:rsidRPr="006C71B7">
        <w:t>]. T</w:t>
      </w:r>
      <w:r w:rsidRPr="006C71B7">
        <w:rPr>
          <w:color w:val="000000"/>
        </w:rPr>
        <w:t>he clinical significance of pre-post differences was assessed using Cohen</w:t>
      </w:r>
      <w:r w:rsidRPr="00C7676E">
        <w:rPr>
          <w:color w:val="000000"/>
        </w:rPr>
        <w:t>’</w:t>
      </w:r>
      <w:r w:rsidRPr="006C71B7">
        <w:rPr>
          <w:color w:val="000000"/>
        </w:rPr>
        <w:t xml:space="preserve">s </w:t>
      </w:r>
      <w:r w:rsidRPr="006C71B7">
        <w:rPr>
          <w:i/>
          <w:iCs/>
          <w:color w:val="000000"/>
        </w:rPr>
        <w:t>d</w:t>
      </w:r>
      <w:r w:rsidRPr="006C71B7">
        <w:rPr>
          <w:color w:val="000000"/>
        </w:rPr>
        <w:t xml:space="preserve"> statistic (using the pooled standard deviation), where </w:t>
      </w:r>
      <w:r w:rsidRPr="006C71B7">
        <w:t xml:space="preserve">effect sizes of .2, .5, and .8 are considered small, medium, and large, respectively. </w:t>
      </w:r>
      <w:r w:rsidRPr="00592024">
        <w:t>For the 5</w:t>
      </w:r>
      <w:r w:rsidRPr="006C71B7">
        <w:t>0 patients in the study, available data were as follows: post-treatment (</w:t>
      </w:r>
      <w:r w:rsidRPr="006C71B7">
        <w:rPr>
          <w:i/>
        </w:rPr>
        <w:t>n</w:t>
      </w:r>
      <w:r w:rsidRPr="004E127F">
        <w:t xml:space="preserve"> = 46</w:t>
      </w:r>
      <w:r w:rsidRPr="006C71B7">
        <w:t xml:space="preserve">: i.e., </w:t>
      </w:r>
      <w:r>
        <w:t>4</w:t>
      </w:r>
      <w:r w:rsidRPr="004E127F">
        <w:t xml:space="preserve"> patients lost to attrition)</w:t>
      </w:r>
      <w:r w:rsidRPr="006C71B7">
        <w:t xml:space="preserve"> </w:t>
      </w:r>
      <w:r w:rsidRPr="004E127F">
        <w:t>and 1</w:t>
      </w:r>
      <w:r w:rsidRPr="006C71B7">
        <w:t>-month FU (</w:t>
      </w:r>
      <w:r w:rsidRPr="006C71B7">
        <w:rPr>
          <w:i/>
        </w:rPr>
        <w:t>n</w:t>
      </w:r>
      <w:r w:rsidRPr="004E127F">
        <w:t xml:space="preserve"> = 44</w:t>
      </w:r>
      <w:r w:rsidRPr="006C71B7">
        <w:t xml:space="preserve">). </w:t>
      </w:r>
      <w:r>
        <w:t xml:space="preserve">Due to low patient attrition (i.e., 8% at post-treatment; 12% at one-month follow-up), the decision was made to not utilize </w:t>
      </w:r>
      <w:r w:rsidRPr="006C71B7">
        <w:t xml:space="preserve">multiple imputation (MI) strategies to replace missing values. </w:t>
      </w:r>
    </w:p>
    <w:p w:rsidR="00F22446" w:rsidRDefault="00F22446" w:rsidP="006C71B7">
      <w:pPr>
        <w:spacing w:line="480" w:lineRule="auto"/>
      </w:pPr>
      <w:r>
        <w:t>As noted earlier, f</w:t>
      </w:r>
      <w:r w:rsidRPr="006C71B7">
        <w:t xml:space="preserve">inding no significant group differences on </w:t>
      </w:r>
      <w:r>
        <w:t>demographic and pre-treatment</w:t>
      </w:r>
      <w:r w:rsidRPr="006C71B7">
        <w:t xml:space="preserve"> clinical variables, </w:t>
      </w:r>
      <w:r>
        <w:t>no covariates were used in data</w:t>
      </w:r>
      <w:r w:rsidRPr="00272E87">
        <w:t xml:space="preserve"> analyses. As reported in Table 3</w:t>
      </w:r>
      <w:r w:rsidRPr="002E0BE3">
        <w:t>, there were</w:t>
      </w:r>
      <w:r w:rsidRPr="006C71B7">
        <w:t xml:space="preserve"> significant group x time interactions across </w:t>
      </w:r>
      <w:r>
        <w:t>all outcome measures with the exception of somatic anxiety as measured by the BAI</w:t>
      </w:r>
      <w:r w:rsidRPr="006C71B7">
        <w:t>. Significant pre-post treatment improvement was observed on measures of self-reported (BDI-II) and clinician rated depressi</w:t>
      </w:r>
      <w:r w:rsidRPr="00946E9C">
        <w:t xml:space="preserve">on (HRSD), </w:t>
      </w:r>
      <w:r>
        <w:t>perceived stress (PSS), rumination (RRS), and mindfulness</w:t>
      </w:r>
      <w:r w:rsidRPr="006C71B7">
        <w:t xml:space="preserve"> (</w:t>
      </w:r>
      <w:r>
        <w:t>FFMQ</w:t>
      </w:r>
      <w:r w:rsidRPr="006C71B7">
        <w:t xml:space="preserve">). </w:t>
      </w:r>
      <w:r>
        <w:t xml:space="preserve">Based on post-hoc LSD tests, for all outcome variables with the exception of the FFMQ, BA and MBT were associated with significant (and comparable) pre- to post-treatment gains that were not observed in the WLC group. For the FFMQ, the MBT group had significant increases in mindfulness at post-treatment compared to both BA and the WLC. At 1-month follow-up, treatment gains were maintained for both treatment groups on all outcome variables with the exception of the FFMQ, where treatment gains decreased to baseline levels. </w:t>
      </w:r>
      <w:r w:rsidRPr="006C71B7">
        <w:t>Also of high relevance, treatment improvements were clinically signifi</w:t>
      </w:r>
      <w:r w:rsidRPr="00C2722B">
        <w:t>cant as indicated by</w:t>
      </w:r>
      <w:r w:rsidRPr="006C71B7">
        <w:t xml:space="preserve"> large effect sizes on all </w:t>
      </w:r>
      <w:r w:rsidRPr="00C2722B">
        <w:t>outcome measures</w:t>
      </w:r>
      <w:r w:rsidRPr="006C71B7">
        <w:t xml:space="preserve"> (</w:t>
      </w:r>
      <w:r w:rsidRPr="00C2722B">
        <w:rPr>
          <w:i/>
          <w:iCs/>
        </w:rPr>
        <w:t>d</w:t>
      </w:r>
      <w:r w:rsidRPr="00C2722B">
        <w:t xml:space="preserve"> = 0.72 to 1.07</w:t>
      </w:r>
      <w:r w:rsidRPr="006C71B7">
        <w:t>)</w:t>
      </w:r>
      <w:r>
        <w:t xml:space="preserve"> </w:t>
      </w:r>
      <w:r>
        <w:lastRenderedPageBreak/>
        <w:t>with the exception of the BAI (</w:t>
      </w:r>
      <w:r>
        <w:rPr>
          <w:i/>
        </w:rPr>
        <w:t xml:space="preserve">d = </w:t>
      </w:r>
      <w:r>
        <w:t>0.25)</w:t>
      </w:r>
      <w:r w:rsidRPr="006C71B7">
        <w:t>. Important to note, based on a series of ANCOVA</w:t>
      </w:r>
      <w:r w:rsidRPr="00C7676E">
        <w:t>’</w:t>
      </w:r>
      <w:r w:rsidRPr="006C71B7">
        <w:t xml:space="preserve">s that </w:t>
      </w:r>
      <w:r w:rsidRPr="008A633B">
        <w:t>controlled for baseline medication</w:t>
      </w:r>
      <w:r w:rsidRPr="006C71B7">
        <w:t>, there were no significant differences in outcomes at post-treatment as a function of whether patients were medicated or non-medicated with antidepressant or anti-anxiety medications</w:t>
      </w:r>
      <w:r w:rsidRPr="00EB5516">
        <w:t xml:space="preserve"> at pre-treatment</w:t>
      </w:r>
      <w:r w:rsidRPr="006C71B7">
        <w:t>.</w:t>
      </w:r>
      <w:r w:rsidRPr="00EB5516">
        <w:t xml:space="preserve"> Finally, participants in BA (</w:t>
      </w:r>
      <w:r w:rsidRPr="00EB5516">
        <w:rPr>
          <w:i/>
        </w:rPr>
        <w:t>M</w:t>
      </w:r>
      <w:r w:rsidRPr="008C257D">
        <w:t xml:space="preserve"> = 26.79, </w:t>
      </w:r>
      <w:r w:rsidRPr="008C257D">
        <w:rPr>
          <w:i/>
        </w:rPr>
        <w:t>SD</w:t>
      </w:r>
      <w:r w:rsidRPr="004165C1">
        <w:t xml:space="preserve"> = 3.91) and MBT (</w:t>
      </w:r>
      <w:r w:rsidRPr="004165C1">
        <w:rPr>
          <w:i/>
        </w:rPr>
        <w:t>M</w:t>
      </w:r>
      <w:r w:rsidRPr="004165C1">
        <w:t xml:space="preserve"> = 29.35, </w:t>
      </w:r>
      <w:r w:rsidRPr="004165C1">
        <w:rPr>
          <w:i/>
        </w:rPr>
        <w:t>SD</w:t>
      </w:r>
      <w:r w:rsidRPr="0009499F">
        <w:t xml:space="preserve"> = 2.50) reported strong treatment sa</w:t>
      </w:r>
      <w:r w:rsidRPr="006C71B7">
        <w:t>tisfaction, with those treated with MBT reporting increased satisfaction [</w:t>
      </w:r>
      <w:r w:rsidRPr="006C71B7">
        <w:rPr>
          <w:i/>
        </w:rPr>
        <w:t>F</w:t>
      </w:r>
      <w:r w:rsidRPr="00EB5516">
        <w:t xml:space="preserve"> (1, 29) = 4.92, p &lt; .05]. </w:t>
      </w:r>
    </w:p>
    <w:p w:rsidR="00F22446" w:rsidRDefault="00F22446" w:rsidP="00EB5516">
      <w:pPr>
        <w:spacing w:line="480" w:lineRule="auto"/>
        <w:ind w:firstLine="720"/>
      </w:pPr>
      <w:r w:rsidRPr="003630DE">
        <w:rPr>
          <w:b/>
        </w:rPr>
        <w:t>Treatment Response and Remission.</w:t>
      </w:r>
      <w:r w:rsidRPr="006C71B7">
        <w:rPr>
          <w:i/>
        </w:rPr>
        <w:t xml:space="preserve"> </w:t>
      </w:r>
      <w:r w:rsidRPr="00EB5516">
        <w:t>C</w:t>
      </w:r>
      <w:r w:rsidRPr="006C71B7">
        <w:t>ategorical response and remission rates for t</w:t>
      </w:r>
      <w:r w:rsidRPr="00EB5516">
        <w:t>he BA</w:t>
      </w:r>
      <w:r>
        <w:t>,</w:t>
      </w:r>
      <w:r w:rsidRPr="008C257D">
        <w:t xml:space="preserve"> MB</w:t>
      </w:r>
      <w:r w:rsidRPr="006C71B7">
        <w:t>T</w:t>
      </w:r>
      <w:r>
        <w:t>, and WLC</w:t>
      </w:r>
      <w:r w:rsidRPr="006C71B7">
        <w:t xml:space="preserve"> groups at post-treatment also were calc</w:t>
      </w:r>
      <w:r>
        <w:t>ulated. As presented in Figure 2</w:t>
      </w:r>
      <w:r w:rsidRPr="006C71B7">
        <w:t>, overall combined rates of response and remis</w:t>
      </w:r>
      <w:r>
        <w:t>sion based on the BDI-II were 64</w:t>
      </w:r>
      <w:r w:rsidRPr="006C71B7">
        <w:t>% (</w:t>
      </w:r>
      <w:r w:rsidRPr="006C71B7">
        <w:rPr>
          <w:i/>
        </w:rPr>
        <w:t>n</w:t>
      </w:r>
      <w:r>
        <w:t xml:space="preserve"> = 9) in BA, 56</w:t>
      </w:r>
      <w:r w:rsidRPr="006C71B7">
        <w:t>% (</w:t>
      </w:r>
      <w:r w:rsidRPr="006C71B7">
        <w:rPr>
          <w:i/>
        </w:rPr>
        <w:t>n</w:t>
      </w:r>
      <w:r>
        <w:t xml:space="preserve"> = 10</w:t>
      </w:r>
      <w:r w:rsidRPr="006C71B7">
        <w:t xml:space="preserve">) in </w:t>
      </w:r>
      <w:r>
        <w:t>MBT, and 25% (</w:t>
      </w:r>
      <w:r>
        <w:rPr>
          <w:i/>
        </w:rPr>
        <w:t xml:space="preserve">n </w:t>
      </w:r>
      <w:r>
        <w:t>= 3) in the WLC</w:t>
      </w:r>
      <w:r w:rsidRPr="006C71B7">
        <w:t xml:space="preserve">. </w:t>
      </w:r>
      <w:r>
        <w:t>Treatment response and remission was significantly higher in the BA and MBT groups relative to the WLC</w:t>
      </w:r>
      <w:r w:rsidRPr="006C71B7">
        <w:t xml:space="preserve"> [</w:t>
      </w:r>
      <w:r w:rsidRPr="006C71B7">
        <w:rPr>
          <w:i/>
        </w:rPr>
        <w:t>Χ</w:t>
      </w:r>
      <w:r w:rsidRPr="006C71B7">
        <w:rPr>
          <w:vertAlign w:val="superscript"/>
        </w:rPr>
        <w:t xml:space="preserve">2 </w:t>
      </w:r>
      <w:r>
        <w:t>(2) = 6.</w:t>
      </w:r>
      <w:r w:rsidRPr="006C71B7">
        <w:t>8</w:t>
      </w:r>
      <w:r>
        <w:t>9</w:t>
      </w:r>
      <w:r w:rsidRPr="006C71B7">
        <w:t xml:space="preserve">, </w:t>
      </w:r>
      <w:r w:rsidRPr="006C71B7">
        <w:rPr>
          <w:i/>
        </w:rPr>
        <w:t>p</w:t>
      </w:r>
      <w:r>
        <w:t xml:space="preserve"> &lt; .05</w:t>
      </w:r>
      <w:r w:rsidRPr="006C71B7">
        <w:t xml:space="preserve">]. </w:t>
      </w:r>
      <w:r>
        <w:t>As presented in Figure 3</w:t>
      </w:r>
      <w:r w:rsidRPr="006C71B7">
        <w:t xml:space="preserve">, overall combined rates of response and remission based on the HRSD were </w:t>
      </w:r>
      <w:r>
        <w:t>79</w:t>
      </w:r>
      <w:r w:rsidRPr="006C71B7">
        <w:t>% (</w:t>
      </w:r>
      <w:r w:rsidRPr="006C71B7">
        <w:rPr>
          <w:i/>
        </w:rPr>
        <w:t>n</w:t>
      </w:r>
      <w:r>
        <w:t xml:space="preserve"> = 11) in BA, 78</w:t>
      </w:r>
      <w:r w:rsidRPr="006C71B7">
        <w:t>% (</w:t>
      </w:r>
      <w:r w:rsidRPr="006C71B7">
        <w:rPr>
          <w:i/>
        </w:rPr>
        <w:t>n</w:t>
      </w:r>
      <w:r>
        <w:t xml:space="preserve"> = 14</w:t>
      </w:r>
      <w:r w:rsidRPr="006C71B7">
        <w:t xml:space="preserve">) in </w:t>
      </w:r>
      <w:r>
        <w:t>MBT, and 33% (</w:t>
      </w:r>
      <w:r>
        <w:rPr>
          <w:i/>
        </w:rPr>
        <w:t xml:space="preserve">n </w:t>
      </w:r>
      <w:r>
        <w:t>= 4) in the WLC</w:t>
      </w:r>
      <w:r w:rsidRPr="006C71B7">
        <w:t xml:space="preserve">. </w:t>
      </w:r>
      <w:r>
        <w:t>Consistent with BDI-II data, treatment response and remission was significantly higher in the BA and MBT groups relative to the WLC</w:t>
      </w:r>
      <w:r w:rsidRPr="006C71B7">
        <w:t xml:space="preserve"> [</w:t>
      </w:r>
      <w:r w:rsidRPr="006C71B7">
        <w:rPr>
          <w:i/>
        </w:rPr>
        <w:t>Χ</w:t>
      </w:r>
      <w:r w:rsidRPr="006C71B7">
        <w:rPr>
          <w:vertAlign w:val="superscript"/>
        </w:rPr>
        <w:t xml:space="preserve">2 </w:t>
      </w:r>
      <w:r>
        <w:t>(2) = 8.31</w:t>
      </w:r>
      <w:r w:rsidRPr="006C71B7">
        <w:t xml:space="preserve">, </w:t>
      </w:r>
      <w:r w:rsidRPr="006C71B7">
        <w:rPr>
          <w:i/>
        </w:rPr>
        <w:t>p</w:t>
      </w:r>
      <w:r>
        <w:t xml:space="preserve"> &lt; .05]</w:t>
      </w:r>
      <w:r w:rsidRPr="006C71B7">
        <w:t>.</w:t>
      </w:r>
    </w:p>
    <w:p w:rsidR="00783ADC" w:rsidRPr="00535C4C" w:rsidRDefault="00F22446" w:rsidP="00535C4C">
      <w:pPr>
        <w:spacing w:line="480" w:lineRule="auto"/>
        <w:ind w:firstLine="720"/>
      </w:pPr>
      <w:r w:rsidRPr="003630DE">
        <w:rPr>
          <w:b/>
        </w:rPr>
        <w:t>Diagnostic Assessment.</w:t>
      </w:r>
      <w:r>
        <w:rPr>
          <w:i/>
        </w:rPr>
        <w:t xml:space="preserve"> </w:t>
      </w:r>
      <w:r>
        <w:t>As a final index of BA and MBT treatment efficacy, individuals diagnosed with MDD</w:t>
      </w:r>
      <w:r w:rsidRPr="00462940">
        <w:t xml:space="preserve"> </w:t>
      </w:r>
      <w:r>
        <w:t xml:space="preserve">at the pre-treatment assessment (ADIS-IV; </w:t>
      </w:r>
      <w:r w:rsidRPr="00462940">
        <w:t>Brown et al., 1994)</w:t>
      </w:r>
      <w:r>
        <w:t xml:space="preserve"> were examined at post-treatment and 1-month follow-up. At post-treatment, participants in BA (71%) and MBT (87%) no longer met diagnostic criteria for MDD, which was significantly greater than the 29% of WLC patients who no longer met diagnostic criteria </w:t>
      </w:r>
      <w:r w:rsidRPr="006C71B7">
        <w:t>[</w:t>
      </w:r>
      <w:r w:rsidRPr="006C71B7">
        <w:rPr>
          <w:i/>
        </w:rPr>
        <w:t>Χ</w:t>
      </w:r>
      <w:r w:rsidRPr="006C71B7">
        <w:rPr>
          <w:vertAlign w:val="superscript"/>
        </w:rPr>
        <w:t xml:space="preserve">2 </w:t>
      </w:r>
      <w:r>
        <w:t>(2) = 7.55</w:t>
      </w:r>
      <w:r w:rsidRPr="006C71B7">
        <w:t xml:space="preserve">, </w:t>
      </w:r>
      <w:r w:rsidRPr="006C71B7">
        <w:rPr>
          <w:i/>
        </w:rPr>
        <w:t>p</w:t>
      </w:r>
      <w:r>
        <w:t xml:space="preserve"> &lt; .05</w:t>
      </w:r>
      <w:r w:rsidRPr="006C71B7">
        <w:t>].</w:t>
      </w:r>
      <w:r>
        <w:t xml:space="preserve"> At 1-month follow-up, 71% of participants in BA and 73% in MBT no longer met diagnostic criteria for MDD. These remission rates were not significantly greater than the 43% of WLC patients who no longer met diagnostic criteria </w:t>
      </w:r>
      <w:r w:rsidRPr="006C71B7">
        <w:t>[</w:t>
      </w:r>
      <w:r w:rsidRPr="006C71B7">
        <w:rPr>
          <w:i/>
        </w:rPr>
        <w:t>Χ</w:t>
      </w:r>
      <w:r w:rsidRPr="006C71B7">
        <w:rPr>
          <w:vertAlign w:val="superscript"/>
        </w:rPr>
        <w:t xml:space="preserve">2 </w:t>
      </w:r>
      <w:r>
        <w:t>(2) = 2.11</w:t>
      </w:r>
      <w:r w:rsidRPr="006C71B7">
        <w:t xml:space="preserve">, </w:t>
      </w:r>
      <w:r w:rsidRPr="006C71B7">
        <w:rPr>
          <w:i/>
        </w:rPr>
        <w:t>p</w:t>
      </w:r>
      <w:r>
        <w:t xml:space="preserve"> = .35</w:t>
      </w:r>
      <w:r w:rsidR="00535C4C">
        <w:t>].</w:t>
      </w:r>
    </w:p>
    <w:p w:rsidR="00402AB2" w:rsidRPr="00C83B2E" w:rsidRDefault="00402AB2" w:rsidP="008C257D">
      <w:pPr>
        <w:spacing w:line="480" w:lineRule="auto"/>
        <w:jc w:val="center"/>
        <w:rPr>
          <w:b/>
        </w:rPr>
      </w:pPr>
      <w:r w:rsidRPr="00C83B2E">
        <w:rPr>
          <w:b/>
        </w:rPr>
        <w:lastRenderedPageBreak/>
        <w:t>CHAPTER</w:t>
      </w:r>
      <w:r w:rsidR="003630DE" w:rsidRPr="00C83B2E">
        <w:rPr>
          <w:b/>
        </w:rPr>
        <w:t xml:space="preserve"> 4</w:t>
      </w:r>
      <w:r w:rsidRPr="00C83B2E">
        <w:rPr>
          <w:b/>
        </w:rPr>
        <w:t xml:space="preserve">: </w:t>
      </w:r>
      <w:r w:rsidRPr="00C83B2E">
        <w:rPr>
          <w:b/>
          <w:caps/>
        </w:rPr>
        <w:t>Conclusion</w:t>
      </w:r>
    </w:p>
    <w:p w:rsidR="00F22446" w:rsidRDefault="003630DE" w:rsidP="005A185D">
      <w:pPr>
        <w:spacing w:line="480" w:lineRule="auto"/>
        <w:ind w:left="72" w:firstLine="648"/>
      </w:pPr>
      <w:r w:rsidRPr="003630DE">
        <w:rPr>
          <w:b/>
        </w:rPr>
        <w:t>Discussion</w:t>
      </w:r>
      <w:r>
        <w:t xml:space="preserve">. </w:t>
      </w:r>
      <w:r w:rsidR="00F22446">
        <w:t>Major depression is highly prevalent in college students (</w:t>
      </w:r>
      <w:r w:rsidR="00F22446" w:rsidRPr="00402828">
        <w:t xml:space="preserve">American </w:t>
      </w:r>
      <w:r w:rsidR="00F22446">
        <w:t xml:space="preserve">College Health Association, 2010; </w:t>
      </w:r>
      <w:r w:rsidR="00F22446" w:rsidRPr="00402828">
        <w:t>Gallagher, 2007</w:t>
      </w:r>
      <w:r w:rsidR="00F22446">
        <w:t>) and associated with significant academic problems and decreased quality of life (Califano, 2003; Fazio &amp; Palm, 1998; Pritchard &amp; Wilson, 2003). Nonetheless, this population has been largely understudied in recent treatment-outcome research. The primary aim of this study was to evaluate the efficacy of abbreviated (4-week) BA and MBT treatments</w:t>
      </w:r>
      <w:r w:rsidR="00F22446" w:rsidRPr="00AD0CCF">
        <w:t xml:space="preserve"> </w:t>
      </w:r>
      <w:r w:rsidR="00F22446">
        <w:t>for depressed college students relative to a wait-list control condition. This study represents the only randomized controlled trial of BA and MBT to date (Hofmann</w:t>
      </w:r>
      <w:r w:rsidR="00F22446" w:rsidRPr="002B058D">
        <w:t>, Sawyer, Witt, &amp; Oh, 2010</w:t>
      </w:r>
      <w:r w:rsidR="00F22446">
        <w:t xml:space="preserve">; Hopko et al., 2011) and also is the first assessment of these interventions among depressed college students. The treatments were designed for implementation on a college campus (i.e., uncomplicated, brief, feasible), and the sample was demographically similar to students typically presenting at our psychology clinic for services. </w:t>
      </w:r>
    </w:p>
    <w:p w:rsidR="00F22446" w:rsidRDefault="00F22446" w:rsidP="00226BAE">
      <w:pPr>
        <w:spacing w:line="480" w:lineRule="auto"/>
        <w:ind w:left="72" w:firstLine="648"/>
      </w:pPr>
      <w:r>
        <w:t xml:space="preserve">The major finding was that both BA and MBT were effective in reducing depression, stress, and rumination </w:t>
      </w:r>
      <w:r w:rsidRPr="005A185D">
        <w:t>at post-treatment</w:t>
      </w:r>
      <w:r>
        <w:t>, with strong therapist competency and adherence, and treatment gains associated with strong effect sizes. Structured diagnostic assessment of depression also revealed that both interventions more frequently resulted in remission of clinical depression relative to the control group, and depending on the assessment measure and</w:t>
      </w:r>
      <w:r w:rsidRPr="005D2674">
        <w:t xml:space="preserve"> </w:t>
      </w:r>
      <w:r w:rsidRPr="0013554D">
        <w:t xml:space="preserve">based on </w:t>
      </w:r>
      <w:r>
        <w:t xml:space="preserve">traditional </w:t>
      </w:r>
      <w:r w:rsidRPr="00114A50">
        <w:t xml:space="preserve">response and remission criteria, </w:t>
      </w:r>
      <w:r>
        <w:t>approximately 56-79% of participants</w:t>
      </w:r>
      <w:r w:rsidRPr="00114A50">
        <w:t xml:space="preserve"> exhibited clinically significant improvement</w:t>
      </w:r>
      <w:r>
        <w:t xml:space="preserve">. Treatment gains largely were maintained at 1-month follow-up, providing preliminary support that both brief BA and MBT may elicit enduring treatment effects. There also was strong treatment satisfaction across both interventions, with some evidence suggesting patient preference for MBT strategies relative to BA. Although only speculation at this stage, this finding could be attributable to the more active in-session </w:t>
      </w:r>
      <w:r>
        <w:lastRenderedPageBreak/>
        <w:t xml:space="preserve">interaction between therapist and patient in MBT, allowing for increased therapeutic rapport and satisfaction. Alternatively, MBT treatment components focused on increasing present-focused nonjudgmental awareness may be more appealing than the process of value assessment and structured activity scheduling. In any event, such a preliminary finding requires replication in future research. Contrary to study hypotheses, BA and MBT did not effectively decrease somatic anxiety at </w:t>
      </w:r>
      <w:r w:rsidRPr="005A185D">
        <w:t>post-treatment</w:t>
      </w:r>
      <w:r>
        <w:t>. This result indicates that although perceived stress is reduced, more systematic inclusion of specific anxiety reduction strategies may be warranted to reduce the somatic features of anxiety, such as abdominal breathing, progressive muscle relaxation, and biofeedback. Finally, results demonstrated that</w:t>
      </w:r>
      <w:r w:rsidRPr="005A185D">
        <w:t xml:space="preserve"> MBT increase</w:t>
      </w:r>
      <w:r>
        <w:t>d mindfulness compared to BA and the</w:t>
      </w:r>
      <w:r w:rsidRPr="005A185D">
        <w:t xml:space="preserve"> control group</w:t>
      </w:r>
      <w:r>
        <w:t xml:space="preserve"> at post-treatment, which lends some support to the notion that (overall) symptom improvement in MBT was related to learning and practicing mindfulness skills</w:t>
      </w:r>
      <w:r w:rsidRPr="005A185D">
        <w:t>.</w:t>
      </w:r>
      <w:r>
        <w:t xml:space="preserve"> Self-reported mindfulness decreased to baseline levels at one-month follow-up; however, suggesting increased focus on discussing the importance of continued practice of MBT skills may be necessary at post-treatment. </w:t>
      </w:r>
    </w:p>
    <w:p w:rsidR="00F22446" w:rsidRPr="00F30E0B" w:rsidRDefault="00F22446" w:rsidP="00C62E0C">
      <w:pPr>
        <w:spacing w:line="480" w:lineRule="auto"/>
        <w:ind w:left="72" w:firstLine="648"/>
        <w:rPr>
          <w:b/>
        </w:rPr>
      </w:pPr>
      <w:r>
        <w:t xml:space="preserve">Study findings are highly provocative and clinically relevant, yet also are associated with some important limitations. First, the majority of the sample was Caucasian undergraduate students recruited through general psychology courses. Accordingly, these students may not be representative of the college student population on some important motivational variables in that they were not initially treatment seeking. Second, future research with more heterogeneous samples is needed, both demographically and clinically. Co-existent anxiety disorders were not systematically assessed for example, the presence of which might impact the efficacy of the interventions. Third, even though study hypotheses largely were supported, the sample size was small. This methodological issue could have contributed to limited support for treatments in </w:t>
      </w:r>
      <w:r>
        <w:lastRenderedPageBreak/>
        <w:t>decreasing anxiety, particularly in the context of prior research indicating that both BA (</w:t>
      </w:r>
      <w:r w:rsidRPr="00B61CCF">
        <w:t>Hopk</w:t>
      </w:r>
      <w:r>
        <w:t>o et al., 2008, 2011;</w:t>
      </w:r>
      <w:r w:rsidRPr="00B61CCF">
        <w:t xml:space="preserve"> </w:t>
      </w:r>
      <w:r w:rsidRPr="00007D77">
        <w:rPr>
          <w:szCs w:val="22"/>
        </w:rPr>
        <w:t>Jakupcak et al., 2006</w:t>
      </w:r>
      <w:r>
        <w:rPr>
          <w:szCs w:val="22"/>
        </w:rPr>
        <w:t xml:space="preserve">; </w:t>
      </w:r>
      <w:r>
        <w:t>Ly et al., 2014) and MBSR may effectively decrease anxiety (</w:t>
      </w:r>
      <w:r w:rsidRPr="000D2CF5">
        <w:t>Bränström, Kvillemo, Brandberg, &amp; Moskowitz, 2010</w:t>
      </w:r>
      <w:r>
        <w:t xml:space="preserve">; </w:t>
      </w:r>
      <w:r w:rsidRPr="000D2CF5">
        <w:t>Chiesa &amp; Serretti, 2009</w:t>
      </w:r>
      <w:r>
        <w:t xml:space="preserve">; Hofmann et al., 2010; </w:t>
      </w:r>
      <w:r w:rsidRPr="000D2CF5">
        <w:t xml:space="preserve">Ledesma </w:t>
      </w:r>
      <w:r>
        <w:t>&amp;</w:t>
      </w:r>
      <w:r w:rsidRPr="000D2CF5">
        <w:t xml:space="preserve"> Kumano</w:t>
      </w:r>
      <w:r>
        <w:t xml:space="preserve">, </w:t>
      </w:r>
      <w:r w:rsidRPr="000D2CF5">
        <w:t>2009</w:t>
      </w:r>
      <w:r>
        <w:t>). The limited support of interventions toward reducing anxiety could be a reflection of the smaller sample, briefer treatment formats, or assessment of anxiety via the BAI rather than a broader measure of anxiety. Fourth, although participants reported homework completion, it is possible they may not have reported information accurately or honestly. Future research might benefit by more precise reporting procedures, such as electronic recorders with timestamps or another advanced documentation system. Fifth, significant efforts were made to increase external validity by including students who were severely depressed, suicidal, may have had comorbid psychological diagnoses in addition to MDD, and could have been taking medication as long as they were stabilized. Exclusion of students who were</w:t>
      </w:r>
      <w:r w:rsidRPr="00D56B7D">
        <w:t xml:space="preserve"> </w:t>
      </w:r>
      <w:r>
        <w:t>alcohol or substance dependent may have resulted in inadvertently excluding people more apt to be treatment resistant to BA or MBT. Sixth, the ADIS-IV depression module was used to assess MDD and additional modules were utilized for exclusion criterions. Only these modules were administered for pragmatic reasons (i.e., limiting participant burden). The study design could have been strengthened by administering the full ADIS-IV or the comprehensive Structured Clinical Interview for DSM-IV-Patient Version (SCID-I/P; First, Spitzer, Gibbon, &amp; Williams, 1996) that would have allowed for a more extensive diagnostic</w:t>
      </w:r>
      <w:r w:rsidRPr="007A70F7">
        <w:t xml:space="preserve"> </w:t>
      </w:r>
      <w:r>
        <w:t xml:space="preserve">assessment of the sample. Finally, with the rationale of continuity of care and a desire to mimic actual psychotherapy experiences for college students, treating clinicians conducted both assessments and respective interventions and thus were not blind to treatment conditions. Although theoretically this might only bear relevance for the clinician-rated HRSD, </w:t>
      </w:r>
      <w:r>
        <w:lastRenderedPageBreak/>
        <w:t>independent evaluators blind to treatment condition would have strengthened the research design.</w:t>
      </w:r>
    </w:p>
    <w:p w:rsidR="00F22446" w:rsidRPr="007118DF" w:rsidRDefault="00F22446" w:rsidP="00A2136D">
      <w:pPr>
        <w:spacing w:line="480" w:lineRule="auto"/>
        <w:ind w:left="72" w:firstLine="648"/>
      </w:pPr>
      <w:r>
        <w:t xml:space="preserve">In the context of these limitations, the abbreviated BA and MBT interventions were associated with significant reductions in depression, perceived stress, and rumination. While these findings require replication, data suggest a shortened format of BA and MBSR (i.e., MBT) could effectively and efficiently reduce depression in college students. These results also may have important practical implications given that college counseling centers typically have a high volume of students with psychological needs combined with time constraints and a lack of mental health professionals to accommodate the demands (Gallagher, 2010; Kitzrow, 2003; </w:t>
      </w:r>
      <w:r w:rsidRPr="004B589B">
        <w:t>Voelker</w:t>
      </w:r>
      <w:r>
        <w:t xml:space="preserve">, 2003). In addition to their utilization with depressed college students, these time-efficient treatments </w:t>
      </w:r>
      <w:r w:rsidRPr="007118DF">
        <w:t xml:space="preserve">may </w:t>
      </w:r>
      <w:r>
        <w:t xml:space="preserve">serve as </w:t>
      </w:r>
      <w:r w:rsidRPr="007118DF">
        <w:t>effective and proactive intervention</w:t>
      </w:r>
      <w:r>
        <w:t>s</w:t>
      </w:r>
      <w:r w:rsidRPr="007118DF">
        <w:t xml:space="preserve"> for students</w:t>
      </w:r>
      <w:r>
        <w:t xml:space="preserve"> at risk of experiencing increased psychological distress</w:t>
      </w:r>
      <w:r w:rsidRPr="007118DF">
        <w:t xml:space="preserve"> and poorer quality of life </w:t>
      </w:r>
      <w:r>
        <w:t>in response to a</w:t>
      </w:r>
      <w:r w:rsidRPr="007118DF">
        <w:t xml:space="preserve"> </w:t>
      </w:r>
      <w:r>
        <w:t xml:space="preserve">changing </w:t>
      </w:r>
      <w:r w:rsidRPr="007118DF">
        <w:t>environment</w:t>
      </w:r>
      <w:r>
        <w:t>. Accordingly</w:t>
      </w:r>
      <w:r w:rsidRPr="007118DF">
        <w:t xml:space="preserve">, </w:t>
      </w:r>
      <w:r>
        <w:t xml:space="preserve">given the </w:t>
      </w:r>
      <w:r w:rsidRPr="007118DF">
        <w:t xml:space="preserve">stress, </w:t>
      </w:r>
      <w:r>
        <w:t xml:space="preserve">potential deficiency of coping skills, and new responsibilities and </w:t>
      </w:r>
      <w:r w:rsidRPr="007118DF">
        <w:t>adjustment issues that come with transitioning to</w:t>
      </w:r>
      <w:r>
        <w:t xml:space="preserve"> college, it will be useful to examine whether BA and MBT administered at college entrance reduces the likelihood of future psychological distress and facilitates academic performance</w:t>
      </w:r>
      <w:r w:rsidRPr="007118DF">
        <w:t xml:space="preserve">. </w:t>
      </w:r>
    </w:p>
    <w:p w:rsidR="00F22446" w:rsidRPr="003630DE" w:rsidRDefault="00F22446" w:rsidP="000220D6">
      <w:pPr>
        <w:spacing w:line="480" w:lineRule="auto"/>
        <w:ind w:left="72" w:firstLine="648"/>
        <w:jc w:val="center"/>
        <w:rPr>
          <w:b/>
          <w:caps/>
        </w:rPr>
      </w:pPr>
      <w:r>
        <w:br w:type="page"/>
      </w:r>
      <w:r w:rsidRPr="003630DE">
        <w:rPr>
          <w:b/>
          <w:caps/>
        </w:rPr>
        <w:lastRenderedPageBreak/>
        <w:t>References</w:t>
      </w: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402AB2" w:rsidRDefault="00402AB2" w:rsidP="000220D6">
      <w:pPr>
        <w:spacing w:line="480" w:lineRule="auto"/>
        <w:ind w:left="72" w:firstLine="648"/>
        <w:jc w:val="center"/>
      </w:pPr>
    </w:p>
    <w:p w:rsidR="00F22446" w:rsidRPr="00E73320" w:rsidRDefault="00F22446" w:rsidP="00392820">
      <w:pPr>
        <w:spacing w:line="480" w:lineRule="auto"/>
        <w:ind w:left="720" w:hanging="720"/>
      </w:pPr>
      <w:r w:rsidRPr="00801E17">
        <w:lastRenderedPageBreak/>
        <w:t>American College Health Association</w:t>
      </w:r>
      <w:r>
        <w:t xml:space="preserve">. (2010). </w:t>
      </w:r>
      <w:r w:rsidRPr="00801E17">
        <w:t>American College Health Association</w:t>
      </w:r>
      <w:r>
        <w:t>-</w:t>
      </w:r>
      <w:r w:rsidRPr="00FC4292">
        <w:t xml:space="preserve"> National College Health Assessment</w:t>
      </w:r>
      <w:r>
        <w:t xml:space="preserve"> II: Reference Group Executive Summary Spring 2010. Retrieved March 14, 2011, from</w:t>
      </w:r>
      <w:r w:rsidRPr="00E73320">
        <w:t xml:space="preserve"> http://www.acha-ncha.org/reports_ACHA-NCHAII.html</w:t>
      </w:r>
    </w:p>
    <w:p w:rsidR="00F22446" w:rsidRDefault="00F22446" w:rsidP="002A1E6D">
      <w:pPr>
        <w:spacing w:line="480" w:lineRule="auto"/>
        <w:ind w:left="720" w:hanging="720"/>
      </w:pPr>
      <w:r>
        <w:t>Antony, M. M., Orsillo, S. M., &amp; Roemer, L. (Eds.) (2001). Practitioner’s guide to empirically based measures of anxiety. New York: Kluwer Academic/Plenum.</w:t>
      </w:r>
    </w:p>
    <w:p w:rsidR="00F22446" w:rsidRDefault="00F22446" w:rsidP="002A1E6D">
      <w:pPr>
        <w:spacing w:line="480" w:lineRule="auto"/>
        <w:ind w:left="720" w:hanging="720"/>
      </w:pPr>
      <w:r>
        <w:t xml:space="preserve">Armento, M. E. A. McNulty, J. K., &amp; Hopko, D. R. (2012). Behavioral Activation of Religious Behaviors (BARB): Randomized trial with depressed college students. </w:t>
      </w:r>
      <w:r w:rsidRPr="002A1E6D">
        <w:rPr>
          <w:i/>
        </w:rPr>
        <w:t>Psychology of</w:t>
      </w:r>
      <w:r>
        <w:t xml:space="preserve"> </w:t>
      </w:r>
      <w:r w:rsidRPr="002A1E6D">
        <w:rPr>
          <w:i/>
        </w:rPr>
        <w:t>Religion and Spirituality, 4</w:t>
      </w:r>
      <w:r>
        <w:t>, 206-222.</w:t>
      </w:r>
    </w:p>
    <w:p w:rsidR="00F22446" w:rsidRDefault="00F22446" w:rsidP="007C0899">
      <w:pPr>
        <w:spacing w:line="480" w:lineRule="auto"/>
        <w:ind w:left="720" w:hanging="720"/>
      </w:pPr>
      <w:r>
        <w:t>Astin, J. A. (1997). Stress reduction through mindfulness meditation:</w:t>
      </w:r>
      <w:r w:rsidRPr="00706C21">
        <w:t xml:space="preserve"> </w:t>
      </w:r>
      <w:r w:rsidRPr="00D16933">
        <w:t xml:space="preserve">Effects on </w:t>
      </w:r>
      <w:r>
        <w:t>psychological symptomatology, sense of control, and spiritual e</w:t>
      </w:r>
      <w:r w:rsidRPr="00D16933">
        <w:t>xperiences</w:t>
      </w:r>
      <w:r>
        <w:t xml:space="preserve">. </w:t>
      </w:r>
      <w:r w:rsidRPr="002211DB">
        <w:rPr>
          <w:i/>
          <w:iCs/>
        </w:rPr>
        <w:t>Psychotherapy and Psychosomatics, 66</w:t>
      </w:r>
      <w:r>
        <w:t>, 97–106.</w:t>
      </w:r>
    </w:p>
    <w:p w:rsidR="00F22446" w:rsidRDefault="00F22446" w:rsidP="009A620E">
      <w:pPr>
        <w:spacing w:line="480" w:lineRule="auto"/>
        <w:ind w:left="720" w:hanging="720"/>
      </w:pPr>
      <w:r>
        <w:t xml:space="preserve">Baer, R. A. (2003). Mindfulness training as a clinical intervention: A conceptual and empirical review. </w:t>
      </w:r>
      <w:r w:rsidRPr="009A620E">
        <w:rPr>
          <w:i/>
        </w:rPr>
        <w:t>Clinical Psychology: Science and Practice</w:t>
      </w:r>
      <w:r>
        <w:t xml:space="preserve">, </w:t>
      </w:r>
      <w:r w:rsidRPr="009A620E">
        <w:rPr>
          <w:i/>
        </w:rPr>
        <w:t>10</w:t>
      </w:r>
      <w:r>
        <w:t xml:space="preserve">, 125-143. </w:t>
      </w:r>
    </w:p>
    <w:p w:rsidR="00F22446" w:rsidRPr="00BE7915" w:rsidRDefault="00F22446" w:rsidP="007C0899">
      <w:pPr>
        <w:spacing w:line="480" w:lineRule="auto"/>
        <w:ind w:left="720" w:hanging="720"/>
        <w:rPr>
          <w:lang w:val="nb-NO"/>
        </w:rPr>
      </w:pPr>
      <w:r>
        <w:t xml:space="preserve">Baer, R. A., Smith, G. T., Hopkins, J., Krietemeyer, J., &amp; Toney, L. (2006). Using self-report assessment methods to explore facets of mindfulness. </w:t>
      </w:r>
      <w:r w:rsidRPr="00BE7915">
        <w:rPr>
          <w:i/>
          <w:iCs/>
          <w:lang w:val="nb-NO"/>
        </w:rPr>
        <w:t>Assessment, 13</w:t>
      </w:r>
      <w:r w:rsidRPr="00BE7915">
        <w:rPr>
          <w:lang w:val="nb-NO"/>
        </w:rPr>
        <w:t>, 27–45.</w:t>
      </w:r>
    </w:p>
    <w:p w:rsidR="00F22446" w:rsidRDefault="00F22446" w:rsidP="0026641B">
      <w:pPr>
        <w:spacing w:line="480" w:lineRule="auto"/>
        <w:ind w:left="720" w:hanging="720"/>
      </w:pPr>
      <w:r w:rsidRPr="00BE7915">
        <w:rPr>
          <w:lang w:val="nb-NO"/>
        </w:rPr>
        <w:t xml:space="preserve">Baer, R. A., Smith, G. T., Lykins, E., Button, D., Krietemeyer, J., Sauer, S., et al. </w:t>
      </w:r>
      <w:r>
        <w:t xml:space="preserve">(2008). Construct validity of the five facet mindfulness questionnaire in meditating and nonmeditating samples. </w:t>
      </w:r>
      <w:r w:rsidRPr="001B2BDA">
        <w:rPr>
          <w:i/>
          <w:iCs/>
        </w:rPr>
        <w:t>Assessment, 15</w:t>
      </w:r>
      <w:r>
        <w:t>, 329–342.</w:t>
      </w:r>
    </w:p>
    <w:p w:rsidR="00F22446" w:rsidRDefault="00F22446" w:rsidP="007C0899">
      <w:pPr>
        <w:spacing w:line="480" w:lineRule="auto"/>
        <w:ind w:left="720" w:hanging="720"/>
      </w:pPr>
      <w:r w:rsidRPr="00071F4B">
        <w:t xml:space="preserve">Beck, A. T., &amp; Steer, R. A. (1993a). </w:t>
      </w:r>
      <w:r w:rsidRPr="00071F4B">
        <w:rPr>
          <w:i/>
          <w:iCs/>
        </w:rPr>
        <w:t>Beck Anxiety Inventory: Manual (2nd edition)</w:t>
      </w:r>
      <w:r w:rsidRPr="00071F4B">
        <w:t>. San Antonio, TX: The Psychiatric Corporation.</w:t>
      </w:r>
    </w:p>
    <w:p w:rsidR="00F22446" w:rsidRDefault="00F22446" w:rsidP="007C0899">
      <w:pPr>
        <w:spacing w:line="480" w:lineRule="auto"/>
        <w:ind w:left="720" w:hanging="720"/>
      </w:pPr>
      <w:r w:rsidRPr="00071F4B">
        <w:t>Be</w:t>
      </w:r>
      <w:r>
        <w:t>ck, A. T., Steer, R. A., &amp; Brown, G. K. (1996</w:t>
      </w:r>
      <w:r w:rsidRPr="00071F4B">
        <w:t xml:space="preserve">). </w:t>
      </w:r>
      <w:r w:rsidRPr="00071F4B">
        <w:rPr>
          <w:i/>
          <w:iCs/>
        </w:rPr>
        <w:t>Manual for the Beck Depression Inventory</w:t>
      </w:r>
      <w:r>
        <w:rPr>
          <w:i/>
          <w:iCs/>
        </w:rPr>
        <w:t>-II</w:t>
      </w:r>
      <w:r w:rsidRPr="00071F4B">
        <w:t>. San Antonio</w:t>
      </w:r>
      <w:r>
        <w:t>, TX</w:t>
      </w:r>
      <w:r w:rsidRPr="00071F4B">
        <w:t>: Psychological Corporation.</w:t>
      </w:r>
    </w:p>
    <w:p w:rsidR="00F22446" w:rsidRPr="00071F4B" w:rsidRDefault="00F22446" w:rsidP="00B108C0">
      <w:pPr>
        <w:spacing w:line="480" w:lineRule="auto"/>
        <w:ind w:left="720" w:hanging="720"/>
      </w:pPr>
      <w:r>
        <w:lastRenderedPageBreak/>
        <w:t xml:space="preserve">Benton, S. A., Robertson, J. M., Tseng, W., Newton, F. B., &amp; Benton, S. L. (2003). Changes in counseling center client problems across 13 years. </w:t>
      </w:r>
      <w:r w:rsidRPr="00B108C0">
        <w:rPr>
          <w:i/>
          <w:iCs/>
        </w:rPr>
        <w:t>Professional Psychology: Research and Practice, 34</w:t>
      </w:r>
      <w:r>
        <w:t>, 66–72.</w:t>
      </w:r>
    </w:p>
    <w:p w:rsidR="00F22446" w:rsidRPr="006D674D" w:rsidRDefault="00F22446" w:rsidP="00A43D69">
      <w:pPr>
        <w:autoSpaceDE w:val="0"/>
        <w:autoSpaceDN w:val="0"/>
        <w:adjustRightInd w:val="0"/>
        <w:spacing w:line="480" w:lineRule="auto"/>
        <w:ind w:left="720" w:hanging="720"/>
      </w:pPr>
      <w:r w:rsidRPr="006D674D">
        <w:t xml:space="preserve">Bishop, S. R. (2002). What do we really know about mindfulness-based stress reduction? </w:t>
      </w:r>
      <w:r w:rsidRPr="006D674D">
        <w:rPr>
          <w:i/>
          <w:iCs/>
        </w:rPr>
        <w:t>Psychosomatic medicine, 64</w:t>
      </w:r>
      <w:r w:rsidRPr="006D674D">
        <w:t>, 71</w:t>
      </w:r>
      <w:r>
        <w:t>-84</w:t>
      </w:r>
      <w:r w:rsidRPr="006D674D">
        <w:t>.</w:t>
      </w:r>
    </w:p>
    <w:p w:rsidR="00F22446" w:rsidRPr="006D674D" w:rsidRDefault="00F22446" w:rsidP="00A43D69">
      <w:pPr>
        <w:autoSpaceDE w:val="0"/>
        <w:autoSpaceDN w:val="0"/>
        <w:adjustRightInd w:val="0"/>
        <w:spacing w:line="480" w:lineRule="auto"/>
        <w:ind w:left="720" w:hanging="720"/>
      </w:pPr>
      <w:r w:rsidRPr="006D674D">
        <w:t xml:space="preserve">Bishop, S. R., Lau, M., Shapiro, S., Carlson, L., Anderson, N. D., Carmody, J., et al. (2004). Mindfulness: A proposed operational definition. </w:t>
      </w:r>
      <w:r w:rsidRPr="006D674D">
        <w:rPr>
          <w:i/>
          <w:iCs/>
        </w:rPr>
        <w:t>Clinical Psychology Science and Practice, 11</w:t>
      </w:r>
      <w:r w:rsidRPr="006D674D">
        <w:t>, 230-241.</w:t>
      </w:r>
    </w:p>
    <w:p w:rsidR="00F22446" w:rsidRPr="006D674D" w:rsidRDefault="00F22446" w:rsidP="00A43D69">
      <w:pPr>
        <w:autoSpaceDE w:val="0"/>
        <w:autoSpaceDN w:val="0"/>
        <w:adjustRightInd w:val="0"/>
        <w:spacing w:line="480" w:lineRule="auto"/>
        <w:ind w:left="720" w:hanging="720"/>
      </w:pPr>
      <w:r w:rsidRPr="006D674D">
        <w:t xml:space="preserve">Bohlmeijer, E., Prenger, R., Taal, E., &amp; Cuijpers, P. (2010). The effects of mindfulness-based stress reduction therapy on mental health of adults with a chronic medical disease: A meta-analysis. </w:t>
      </w:r>
      <w:r w:rsidRPr="006D674D">
        <w:rPr>
          <w:i/>
          <w:iCs/>
        </w:rPr>
        <w:t>Journal of psychosomatic research, 68</w:t>
      </w:r>
      <w:r w:rsidRPr="006D674D">
        <w:t>, 539-544.</w:t>
      </w:r>
    </w:p>
    <w:p w:rsidR="00F22446" w:rsidRDefault="00F22446" w:rsidP="007C0899">
      <w:pPr>
        <w:autoSpaceDE w:val="0"/>
        <w:autoSpaceDN w:val="0"/>
        <w:adjustRightInd w:val="0"/>
        <w:spacing w:line="480" w:lineRule="auto"/>
        <w:ind w:left="720" w:hanging="720"/>
      </w:pPr>
      <w:r w:rsidRPr="006D674D">
        <w:t>Bränström, R., Kvillemo, P., Brandberg, Y., &amp; Moskowitz, J. T. (</w:t>
      </w:r>
      <w:r>
        <w:t>2010). Self-report mindfulness as a mediator of psychological well-being in a stress reduction intervention for cancer p</w:t>
      </w:r>
      <w:r w:rsidRPr="006D674D">
        <w:t>atients—</w:t>
      </w:r>
      <w:r>
        <w:t>A randomized s</w:t>
      </w:r>
      <w:r w:rsidRPr="006D674D">
        <w:t xml:space="preserve">tudy. </w:t>
      </w:r>
      <w:r w:rsidRPr="006D674D">
        <w:rPr>
          <w:i/>
          <w:iCs/>
        </w:rPr>
        <w:t>Annals of Behavioral Medicine, 39</w:t>
      </w:r>
      <w:r w:rsidRPr="006D674D">
        <w:t>, 151-161.</w:t>
      </w:r>
    </w:p>
    <w:p w:rsidR="00F22446" w:rsidRDefault="00F22446" w:rsidP="007C0899">
      <w:pPr>
        <w:autoSpaceDE w:val="0"/>
        <w:autoSpaceDN w:val="0"/>
        <w:adjustRightInd w:val="0"/>
        <w:spacing w:line="480" w:lineRule="auto"/>
        <w:ind w:left="720" w:hanging="720"/>
      </w:pPr>
      <w:r>
        <w:t xml:space="preserve">Brown, T. A., Di Nardo, P. A., Lehman, C. L., &amp; Campbell, L. A. (2001). Reliability of DSM-IV anxiety and mood disorders: Implications for the classification of emotional disorders. </w:t>
      </w:r>
      <w:r w:rsidRPr="007C0899">
        <w:rPr>
          <w:i/>
          <w:iCs/>
        </w:rPr>
        <w:t>Journal of Abnormal Psychology, 110</w:t>
      </w:r>
      <w:r w:rsidRPr="007C0899">
        <w:t>,</w:t>
      </w:r>
      <w:r>
        <w:t xml:space="preserve"> 49–58.</w:t>
      </w:r>
    </w:p>
    <w:p w:rsidR="00F22446" w:rsidRDefault="00F22446" w:rsidP="005B3FF1">
      <w:pPr>
        <w:spacing w:line="480" w:lineRule="auto"/>
        <w:ind w:left="720" w:hanging="720"/>
      </w:pPr>
      <w:r>
        <w:t xml:space="preserve">Califano, J. A., Jr. (2003). </w:t>
      </w:r>
      <w:r w:rsidRPr="006E05C4">
        <w:rPr>
          <w:i/>
          <w:iCs/>
        </w:rPr>
        <w:t>Depression, substance abuse and college student engagement: A review of the literature.</w:t>
      </w:r>
      <w:r w:rsidRPr="001855F0">
        <w:t xml:space="preserve"> </w:t>
      </w:r>
      <w:r>
        <w:t xml:space="preserve">Retrieved March 14, 2011, from </w:t>
      </w:r>
      <w:r w:rsidRPr="001855F0">
        <w:t>The National Center on Addiction and Substance Abuse at Columbia University</w:t>
      </w:r>
      <w:r>
        <w:t xml:space="preserve"> Web site:</w:t>
      </w:r>
      <w:r w:rsidRPr="000D35BF">
        <w:t xml:space="preserve"> </w:t>
      </w:r>
      <w:r w:rsidRPr="005B3FF1">
        <w:t>http://www.bringingtheorytopractice.org/pdfs/LitReviewDec03.pdf</w:t>
      </w:r>
    </w:p>
    <w:p w:rsidR="00F22446" w:rsidRPr="005B3FF1" w:rsidRDefault="00F22446" w:rsidP="005B3FF1">
      <w:pPr>
        <w:spacing w:line="480" w:lineRule="auto"/>
        <w:ind w:left="720" w:hanging="720"/>
      </w:pPr>
      <w:r w:rsidRPr="005B3FF1">
        <w:lastRenderedPageBreak/>
        <w:t xml:space="preserve">Carmody, J., &amp; Baer, R. A. (2008). Relationships between mindfulness practice and levels of mindfulness, medical and psychological symptoms and well-being in a mindfulness-based stress reduction program. </w:t>
      </w:r>
      <w:r w:rsidRPr="005B3FF1">
        <w:rPr>
          <w:i/>
        </w:rPr>
        <w:t>Journal of behavioral medicine, 31</w:t>
      </w:r>
      <w:r w:rsidRPr="005B3FF1">
        <w:t>, 23-33.</w:t>
      </w:r>
    </w:p>
    <w:p w:rsidR="00F22446" w:rsidRPr="006D674D" w:rsidRDefault="00F22446" w:rsidP="00A43D69">
      <w:pPr>
        <w:autoSpaceDE w:val="0"/>
        <w:autoSpaceDN w:val="0"/>
        <w:adjustRightInd w:val="0"/>
        <w:spacing w:line="480" w:lineRule="auto"/>
        <w:ind w:left="720" w:hanging="720"/>
      </w:pPr>
      <w:r w:rsidRPr="006D674D">
        <w:t xml:space="preserve">Carlson, L. E., Speca, M., Patel, K. D., &amp; Goodey, E. (2004). Mindfulness-based stress reduction in relation to quality of life, mood, symptoms of stress and levels of cortisol, dehydroepiandrosterone sulfate (DHEAS) and melatonin in breast and prostate cancer outpatients. </w:t>
      </w:r>
      <w:r w:rsidRPr="006D674D">
        <w:rPr>
          <w:i/>
          <w:iCs/>
        </w:rPr>
        <w:t>Psychoneuroendocrinology, 29</w:t>
      </w:r>
      <w:r w:rsidRPr="006D674D">
        <w:t>, 448-474.</w:t>
      </w:r>
    </w:p>
    <w:p w:rsidR="00F22446" w:rsidRDefault="00F22446" w:rsidP="007C0899">
      <w:pPr>
        <w:autoSpaceDE w:val="0"/>
        <w:autoSpaceDN w:val="0"/>
        <w:adjustRightInd w:val="0"/>
        <w:spacing w:line="480" w:lineRule="auto"/>
        <w:ind w:left="720" w:hanging="720"/>
      </w:pPr>
      <w:r w:rsidRPr="006D674D">
        <w:t xml:space="preserve">Carlson, L. E., Ursuliak, Z., Goodey, E., Angen, M., &amp; Speca, M. (2001). The effects of a mindfulness meditation-based stress reduction program on mood and symptoms of stress in cancer outpatients: 6-month follow-up. </w:t>
      </w:r>
      <w:r w:rsidRPr="006D674D">
        <w:rPr>
          <w:i/>
          <w:iCs/>
        </w:rPr>
        <w:t>Supportive Care in Cancer, 9</w:t>
      </w:r>
      <w:r w:rsidRPr="006D674D">
        <w:t>, 112-123.</w:t>
      </w:r>
    </w:p>
    <w:p w:rsidR="00F22446" w:rsidRPr="006D674D" w:rsidRDefault="00F22446" w:rsidP="00D126AC">
      <w:pPr>
        <w:autoSpaceDE w:val="0"/>
        <w:autoSpaceDN w:val="0"/>
        <w:adjustRightInd w:val="0"/>
        <w:spacing w:line="480" w:lineRule="auto"/>
        <w:ind w:left="720" w:hanging="720"/>
      </w:pPr>
      <w:r>
        <w:t xml:space="preserve">Chambless, D. L., &amp; Hollon, S. D. (1998). Defining empirically supported treatments. </w:t>
      </w:r>
      <w:r w:rsidRPr="00D126AC">
        <w:rPr>
          <w:i/>
          <w:iCs/>
        </w:rPr>
        <w:t>Journal of Consulting and Clinical Psychology, 66</w:t>
      </w:r>
      <w:r>
        <w:t>, 7–18.</w:t>
      </w:r>
    </w:p>
    <w:p w:rsidR="00F22446" w:rsidRDefault="00F22446" w:rsidP="007D0D83">
      <w:pPr>
        <w:autoSpaceDE w:val="0"/>
        <w:autoSpaceDN w:val="0"/>
        <w:adjustRightInd w:val="0"/>
        <w:spacing w:line="480" w:lineRule="auto"/>
        <w:ind w:left="720" w:hanging="720"/>
      </w:pPr>
      <w:r w:rsidRPr="006D674D">
        <w:t xml:space="preserve">Chiesa, A., &amp; Serretti, A. (2009). Mindfulness-based stress reduction for stress management in healthy people: A review and meta-analysis. </w:t>
      </w:r>
      <w:r w:rsidRPr="006D674D">
        <w:rPr>
          <w:i/>
          <w:iCs/>
        </w:rPr>
        <w:t>The Journal of Alternative and Complementary Medicine, 15</w:t>
      </w:r>
      <w:r w:rsidRPr="006D674D">
        <w:t>, 593-600.</w:t>
      </w:r>
    </w:p>
    <w:p w:rsidR="00F22446" w:rsidRDefault="00F22446" w:rsidP="007C0899">
      <w:pPr>
        <w:autoSpaceDE w:val="0"/>
        <w:autoSpaceDN w:val="0"/>
        <w:adjustRightInd w:val="0"/>
        <w:spacing w:line="480" w:lineRule="auto"/>
        <w:ind w:left="720" w:hanging="720"/>
      </w:pPr>
      <w:r>
        <w:t xml:space="preserve">Cohen, J. S., &amp; Miller, L. J. (2009). Interpersonal mindfulness training for well-being: A pilot study with psychology graduate students. </w:t>
      </w:r>
      <w:r w:rsidRPr="007C0899">
        <w:rPr>
          <w:i/>
          <w:iCs/>
        </w:rPr>
        <w:t>Teachers College Record, 111</w:t>
      </w:r>
      <w:r>
        <w:t>, 2760-2774.</w:t>
      </w:r>
    </w:p>
    <w:p w:rsidR="00F22446" w:rsidRDefault="00F22446" w:rsidP="007C0899">
      <w:pPr>
        <w:autoSpaceDE w:val="0"/>
        <w:autoSpaceDN w:val="0"/>
        <w:adjustRightInd w:val="0"/>
        <w:spacing w:line="480" w:lineRule="auto"/>
        <w:ind w:left="720" w:hanging="720"/>
      </w:pPr>
      <w:r>
        <w:t xml:space="preserve">Cohen, S., Kamarck, T., &amp; Mermelstein, R. (1983). A global measure of perceived stress. </w:t>
      </w:r>
      <w:r w:rsidRPr="007D0D83">
        <w:rPr>
          <w:i/>
        </w:rPr>
        <w:t>Journal of Health and Social Behavior, 24</w:t>
      </w:r>
      <w:r>
        <w:t>, 385-396.</w:t>
      </w:r>
    </w:p>
    <w:p w:rsidR="00F22446" w:rsidRPr="004031A5" w:rsidRDefault="00F22446" w:rsidP="00AB0822">
      <w:pPr>
        <w:spacing w:line="480" w:lineRule="auto"/>
        <w:ind w:left="720" w:hanging="720"/>
        <w:rPr>
          <w:lang w:val="fr-FR"/>
        </w:rPr>
      </w:pPr>
      <w:r w:rsidRPr="00BE7915">
        <w:t xml:space="preserve">Cuijpers, P., &amp; van Straten, F. S. (2007). </w:t>
      </w:r>
      <w:r w:rsidRPr="006E7EAF">
        <w:t xml:space="preserve">Psychological treatments of subthreshold depression: A meta-analytic review. </w:t>
      </w:r>
      <w:r w:rsidRPr="004031A5">
        <w:rPr>
          <w:i/>
          <w:iCs/>
          <w:lang w:val="fr-FR"/>
        </w:rPr>
        <w:t>Acta Psychiatrica Scandinavica</w:t>
      </w:r>
      <w:r w:rsidRPr="004031A5">
        <w:rPr>
          <w:lang w:val="fr-FR"/>
        </w:rPr>
        <w:t>, 115(6), 434-441.</w:t>
      </w:r>
    </w:p>
    <w:p w:rsidR="00F22446" w:rsidRDefault="00F22446" w:rsidP="00AB0822">
      <w:pPr>
        <w:spacing w:line="480" w:lineRule="auto"/>
        <w:ind w:left="720" w:hanging="720"/>
      </w:pPr>
      <w:r w:rsidRPr="004031A5">
        <w:rPr>
          <w:lang w:val="fr-FR"/>
        </w:rPr>
        <w:lastRenderedPageBreak/>
        <w:t xml:space="preserve">Cuijpers, P. , van Straten, A. , Smit, F. , Mihalopoulos, C. , &amp; Beekman, A. (2008). </w:t>
      </w:r>
      <w:r w:rsidRPr="00F214B0">
        <w:t xml:space="preserve">Preventing the onset of depressive disorders: A meta-analytic review of psychological interventions. </w:t>
      </w:r>
      <w:r w:rsidRPr="00F214B0">
        <w:rPr>
          <w:i/>
          <w:iCs/>
        </w:rPr>
        <w:t>The American Journal of Psychiatry</w:t>
      </w:r>
      <w:r w:rsidRPr="00F214B0">
        <w:t>, 165(10), 1272-1280.</w:t>
      </w:r>
    </w:p>
    <w:p w:rsidR="00F22446" w:rsidRDefault="00F22446" w:rsidP="00D126AC">
      <w:pPr>
        <w:autoSpaceDE w:val="0"/>
        <w:autoSpaceDN w:val="0"/>
        <w:adjustRightInd w:val="0"/>
        <w:spacing w:line="480" w:lineRule="auto"/>
        <w:ind w:left="720" w:hanging="720"/>
      </w:pPr>
      <w:r w:rsidRPr="006D674D">
        <w:t xml:space="preserve">Cuijpers, P., Van Straten, A., &amp; Warmerdam, L. (2007). Behavioral activation treatments of depression: A meta-analysis. </w:t>
      </w:r>
      <w:r w:rsidRPr="006D674D">
        <w:rPr>
          <w:i/>
          <w:iCs/>
        </w:rPr>
        <w:t>Clinical Psychology Review, 27</w:t>
      </w:r>
      <w:r w:rsidRPr="006D674D">
        <w:t>, 318-326.</w:t>
      </w:r>
    </w:p>
    <w:p w:rsidR="00F22446" w:rsidRDefault="00F22446" w:rsidP="001B1054">
      <w:pPr>
        <w:autoSpaceDE w:val="0"/>
        <w:autoSpaceDN w:val="0"/>
        <w:adjustRightInd w:val="0"/>
        <w:spacing w:line="480" w:lineRule="auto"/>
        <w:ind w:left="720" w:hanging="720"/>
      </w:pPr>
      <w:r>
        <w:t xml:space="preserve">Daughters, S. B., Braun, A. R., Sargeant, M. N., Reynolds, E. K., Hopko, D. R., Blanco, C., &amp; Lejuez, C. W. (2008). Effectiveness of a brief behavioral treatment for inner-city illicit drug users with elevated depressive symptoms: The life enhancement treatment for substance use (LETS Act!). </w:t>
      </w:r>
      <w:r w:rsidRPr="001B1054">
        <w:rPr>
          <w:i/>
          <w:iCs/>
        </w:rPr>
        <w:t>Journal of Clinical Psychiatry, 69</w:t>
      </w:r>
      <w:r>
        <w:t>, 122–129.</w:t>
      </w:r>
    </w:p>
    <w:p w:rsidR="00F22446" w:rsidRDefault="00F22446" w:rsidP="00D126AC">
      <w:pPr>
        <w:autoSpaceDE w:val="0"/>
        <w:autoSpaceDN w:val="0"/>
        <w:adjustRightInd w:val="0"/>
        <w:spacing w:line="480" w:lineRule="auto"/>
        <w:ind w:left="720" w:hanging="720"/>
      </w:pPr>
      <w:r>
        <w:t>Deckro, G., Ballinger, K., Hoyt, M., Wilcher, M., Dusek, J., Myers, P. et al. (2002). The Evaluation of a Mind/Body Intervention to Reduce Psychological Distress and Perceived Stress in College Students. Journal of American College Health, 50(6), 281-287.</w:t>
      </w:r>
    </w:p>
    <w:p w:rsidR="00F22446" w:rsidRDefault="00F22446" w:rsidP="000A3060">
      <w:pPr>
        <w:autoSpaceDE w:val="0"/>
        <w:autoSpaceDN w:val="0"/>
        <w:adjustRightInd w:val="0"/>
        <w:spacing w:line="480" w:lineRule="auto"/>
        <w:ind w:left="720" w:hanging="720"/>
      </w:pPr>
      <w:r>
        <w:t xml:space="preserve">DeRubeis, R. J., &amp; Crits-Christoph, P. (1998). Empirically supported individual and group psychological treatments for adult mental disorders. </w:t>
      </w:r>
      <w:r w:rsidRPr="000A3060">
        <w:rPr>
          <w:i/>
          <w:iCs/>
        </w:rPr>
        <w:t>Journal of Consulting and Clinical Psychology, 66</w:t>
      </w:r>
      <w:r>
        <w:t>, 37–52.</w:t>
      </w:r>
    </w:p>
    <w:p w:rsidR="00F22446" w:rsidRDefault="00F22446" w:rsidP="00B364E2">
      <w:pPr>
        <w:spacing w:line="480" w:lineRule="auto"/>
        <w:ind w:left="720" w:hanging="720"/>
      </w:pPr>
      <w:r>
        <w:t xml:space="preserve">Dimidjian, S., Hollon, S., Dobson, K., Schmaling, K., Kohlenberg, B., Addis, M. E., et al. (2006). Randomized trial of behavioral activation, cognitive therapy, and antidepressant medication in the acute treatment of adults with major depression. </w:t>
      </w:r>
      <w:r w:rsidRPr="00B364E2">
        <w:rPr>
          <w:i/>
          <w:iCs/>
        </w:rPr>
        <w:t>Journal of Consulting and Clinical Psychology, 74</w:t>
      </w:r>
      <w:r>
        <w:t>, 658–670.</w:t>
      </w:r>
    </w:p>
    <w:p w:rsidR="00F22446" w:rsidRDefault="00F22446" w:rsidP="009708BB">
      <w:pPr>
        <w:autoSpaceDE w:val="0"/>
        <w:autoSpaceDN w:val="0"/>
        <w:adjustRightInd w:val="0"/>
        <w:spacing w:line="480" w:lineRule="auto"/>
        <w:ind w:left="720" w:hanging="720"/>
      </w:pPr>
      <w:r w:rsidRPr="006D674D">
        <w:t xml:space="preserve">Dobkin, P. L. (2008). Mindfulness-based stress reduction: What processes are at work? </w:t>
      </w:r>
      <w:r w:rsidRPr="006D674D">
        <w:rPr>
          <w:i/>
          <w:iCs/>
        </w:rPr>
        <w:t>Complementary therapies in clinical practice, 14</w:t>
      </w:r>
      <w:r w:rsidRPr="006D674D">
        <w:t>, 8-16.</w:t>
      </w:r>
    </w:p>
    <w:p w:rsidR="00F22446" w:rsidRDefault="00F22446" w:rsidP="006D4876">
      <w:pPr>
        <w:spacing w:line="480" w:lineRule="auto"/>
        <w:ind w:left="720" w:hanging="720"/>
      </w:pPr>
      <w:r w:rsidRPr="00F53BCF">
        <w:t xml:space="preserve">Dobson, K. S., Hollon S. D., Dimidjian, S., Schmaling, K. B., Kohlenberg, R. J, Gallop, R. J., et al. (2008). Randomized trial of behavioral activation, cognitive therapy, and </w:t>
      </w:r>
      <w:r w:rsidRPr="00F53BCF">
        <w:lastRenderedPageBreak/>
        <w:t xml:space="preserve">antidepressant medication in the prevention of relapse and recurrence in major depression. </w:t>
      </w:r>
      <w:r w:rsidRPr="00F53BCF">
        <w:rPr>
          <w:i/>
          <w:iCs/>
        </w:rPr>
        <w:t>Journal of Consulting and Clinical Psychology, 76</w:t>
      </w:r>
      <w:r w:rsidRPr="00F53BCF">
        <w:t>, 468 -477.</w:t>
      </w:r>
    </w:p>
    <w:p w:rsidR="00F22446" w:rsidRDefault="00F22446" w:rsidP="001A31C4">
      <w:pPr>
        <w:spacing w:line="480" w:lineRule="auto"/>
        <w:ind w:left="720" w:hanging="720"/>
      </w:pPr>
      <w:r>
        <w:t xml:space="preserve">Eisenberg, D., Golberstein, E., &amp; Hunt, J. B. (2009). Mental health and academic success in college. </w:t>
      </w:r>
      <w:r w:rsidRPr="006D4876">
        <w:rPr>
          <w:i/>
          <w:iCs/>
        </w:rPr>
        <w:t>B.E.</w:t>
      </w:r>
      <w:r>
        <w:t xml:space="preserve"> </w:t>
      </w:r>
      <w:r w:rsidRPr="0054415C">
        <w:rPr>
          <w:i/>
          <w:iCs/>
        </w:rPr>
        <w:t>Journal of Economic Analysis &amp; Policy, 9</w:t>
      </w:r>
      <w:r>
        <w:t>, Article 40.</w:t>
      </w:r>
    </w:p>
    <w:p w:rsidR="00F22446" w:rsidRPr="001B1054" w:rsidRDefault="00F22446" w:rsidP="001B1054">
      <w:pPr>
        <w:spacing w:line="480" w:lineRule="auto"/>
        <w:ind w:left="720" w:hanging="720"/>
      </w:pPr>
      <w:r>
        <w:t xml:space="preserve">Ekers, D. M. (2011). Behavioural Activation for Depression: A systematic review and controlled clinical trial. </w:t>
      </w:r>
      <w:r w:rsidRPr="001B1054">
        <w:t>PhD thesis, University of York</w:t>
      </w:r>
      <w:r>
        <w:t xml:space="preserve">. Retrieved September, 29, 2011, from </w:t>
      </w:r>
      <w:r w:rsidRPr="0062047B">
        <w:t>http://etheses.whiterose.ac.uk/1615/</w:t>
      </w:r>
    </w:p>
    <w:p w:rsidR="00F22446" w:rsidRDefault="00F22446" w:rsidP="00E817BE">
      <w:pPr>
        <w:spacing w:line="480" w:lineRule="auto"/>
        <w:ind w:left="720" w:hanging="720"/>
      </w:pPr>
      <w:r>
        <w:t xml:space="preserve">Ekers, D., Richards, D., &amp; Gilbody, S. (2008). A meta-analysis of randomized trials of behavioural treatment of depression. </w:t>
      </w:r>
      <w:r w:rsidRPr="00E817BE">
        <w:rPr>
          <w:i/>
          <w:iCs/>
        </w:rPr>
        <w:t>Psychological Medicine, 38</w:t>
      </w:r>
      <w:r>
        <w:t>, 611–623.</w:t>
      </w:r>
    </w:p>
    <w:p w:rsidR="00F22446" w:rsidRDefault="00F22446" w:rsidP="00B108C0">
      <w:pPr>
        <w:spacing w:line="480" w:lineRule="auto"/>
        <w:ind w:left="720" w:hanging="720"/>
      </w:pPr>
      <w:r>
        <w:t xml:space="preserve">Fazio, N. M., &amp; Palm, L. J. (1998). Attributional style, depression, and grade point averages of college students. </w:t>
      </w:r>
      <w:r w:rsidRPr="00B108C0">
        <w:rPr>
          <w:i/>
          <w:iCs/>
        </w:rPr>
        <w:t>Psychological Reports, 83</w:t>
      </w:r>
      <w:r>
        <w:t>, 159–162.</w:t>
      </w:r>
    </w:p>
    <w:p w:rsidR="00F22446" w:rsidRDefault="00F22446" w:rsidP="0010336B">
      <w:pPr>
        <w:spacing w:line="480" w:lineRule="auto"/>
        <w:ind w:left="720" w:hanging="720"/>
      </w:pPr>
      <w:r>
        <w:t xml:space="preserve">Fjorback, L. O., Arendt, M., Ørnbøl, E., Fink, P., &amp; Walach, H. (2011). Mindfulness-Based Stress Reduction and Mindfulness-Based Cognitive Therapy – A systematic review of randomized controlled trials. </w:t>
      </w:r>
      <w:r w:rsidRPr="0010336B">
        <w:rPr>
          <w:i/>
        </w:rPr>
        <w:t>Acta Psychiatrica Scandinavica</w:t>
      </w:r>
      <w:r>
        <w:t xml:space="preserve">, </w:t>
      </w:r>
      <w:r w:rsidRPr="0010336B">
        <w:rPr>
          <w:i/>
        </w:rPr>
        <w:t>124</w:t>
      </w:r>
      <w:r>
        <w:t>, 102-119.</w:t>
      </w:r>
    </w:p>
    <w:p w:rsidR="00F22446" w:rsidRPr="00F53BCF" w:rsidRDefault="00F22446" w:rsidP="00F37B86">
      <w:pPr>
        <w:spacing w:line="480" w:lineRule="auto"/>
        <w:ind w:left="720" w:hanging="720"/>
      </w:pPr>
      <w:r>
        <w:t xml:space="preserve">First, M. B., Spitzer, R. L., Gibbon, M., &amp; Williams, J. (1996). </w:t>
      </w:r>
      <w:r w:rsidRPr="00F37B86">
        <w:rPr>
          <w:i/>
        </w:rPr>
        <w:t>Structured Clinical Interview for DSM-IV Axis I Disorders-Patient Edition (SCID-I/P, Version 2.0)</w:t>
      </w:r>
      <w:r>
        <w:t>. New York: Biometrics Research Department, New York Psychiatric Institute.</w:t>
      </w:r>
    </w:p>
    <w:p w:rsidR="00F22446" w:rsidRDefault="00F22446" w:rsidP="00040486">
      <w:pPr>
        <w:spacing w:line="480" w:lineRule="auto"/>
        <w:ind w:left="720" w:hanging="720"/>
      </w:pPr>
      <w:r>
        <w:t xml:space="preserve">Gallagher, D. (1981). Behavioral group therapy with elderly depressives: An experimental study. In D. Upper &amp; S. Ross (Eds.), </w:t>
      </w:r>
      <w:r w:rsidRPr="00040486">
        <w:rPr>
          <w:i/>
          <w:iCs/>
        </w:rPr>
        <w:t>Behavioral group therapy</w:t>
      </w:r>
      <w:r>
        <w:t xml:space="preserve"> (pp. 187−224). Champaign: Research Press.</w:t>
      </w:r>
    </w:p>
    <w:p w:rsidR="00F22446" w:rsidRDefault="00F22446" w:rsidP="00B108C0">
      <w:pPr>
        <w:spacing w:line="480" w:lineRule="auto"/>
        <w:ind w:left="720" w:hanging="720"/>
      </w:pPr>
      <w:r>
        <w:t>Gallagher, R. P. (2007). National Survey of Counseling Center Directors (2007). Washington, DC: International Association of Counseling Services. Available from http://www.Iacsinc.org/</w:t>
      </w:r>
    </w:p>
    <w:p w:rsidR="00F22446" w:rsidRDefault="00F22446" w:rsidP="00D7243B">
      <w:pPr>
        <w:spacing w:line="480" w:lineRule="auto"/>
        <w:ind w:left="720" w:hanging="720"/>
      </w:pPr>
      <w:r>
        <w:lastRenderedPageBreak/>
        <w:t xml:space="preserve">Gallagher, R. P. (2010). </w:t>
      </w:r>
      <w:r w:rsidRPr="00D7243B">
        <w:rPr>
          <w:i/>
          <w:iCs/>
        </w:rPr>
        <w:t xml:space="preserve">National Survey of Counseling Center Directors </w:t>
      </w:r>
      <w:r>
        <w:rPr>
          <w:i/>
          <w:iCs/>
        </w:rPr>
        <w:t>(2010</w:t>
      </w:r>
      <w:r w:rsidRPr="00D7243B">
        <w:rPr>
          <w:i/>
          <w:iCs/>
        </w:rPr>
        <w:t>)</w:t>
      </w:r>
      <w:r>
        <w:t>. Washington, DC: International Association of Counseling Services. Retrieved August 19, 2011, from</w:t>
      </w:r>
      <w:r w:rsidRPr="00E73320">
        <w:t xml:space="preserve"> </w:t>
      </w:r>
      <w:r w:rsidRPr="00770EC2">
        <w:t>http://www.Iacsinc.org/</w:t>
      </w:r>
    </w:p>
    <w:p w:rsidR="00F22446" w:rsidRDefault="00F22446" w:rsidP="00770EC2">
      <w:pPr>
        <w:spacing w:line="480" w:lineRule="auto"/>
        <w:ind w:left="720" w:hanging="720"/>
      </w:pPr>
      <w:r>
        <w:t xml:space="preserve">Gawrysiak, M., Nicholas, C., &amp; Hopko, D. R. (2009). Behavioral activation for moderately depressed university students: Randomized controlled trial. </w:t>
      </w:r>
      <w:r w:rsidRPr="00770EC2">
        <w:rPr>
          <w:i/>
          <w:iCs/>
        </w:rPr>
        <w:t>Journal of Counseling Psychology, 56</w:t>
      </w:r>
      <w:r>
        <w:t>, 468−475.</w:t>
      </w:r>
    </w:p>
    <w:p w:rsidR="00F22446" w:rsidRPr="002800F8" w:rsidRDefault="00F22446" w:rsidP="00770EC2">
      <w:pPr>
        <w:spacing w:line="480" w:lineRule="auto"/>
        <w:ind w:left="720" w:hanging="720"/>
      </w:pPr>
      <w:r w:rsidRPr="002800F8">
        <w:t xml:space="preserve">Regehr, C., Glancy, D., &amp; Pitts, A. (2013). Interventions to reduce stress in university students: A review and meta-analysis. </w:t>
      </w:r>
      <w:r w:rsidRPr="00FF62E1">
        <w:rPr>
          <w:i/>
        </w:rPr>
        <w:t>Journal of affective disorders, 148</w:t>
      </w:r>
      <w:r w:rsidRPr="002800F8">
        <w:t>, 1-11.</w:t>
      </w:r>
    </w:p>
    <w:p w:rsidR="00F22446" w:rsidRDefault="00F22446" w:rsidP="008273A5">
      <w:pPr>
        <w:autoSpaceDE w:val="0"/>
        <w:autoSpaceDN w:val="0"/>
        <w:adjustRightInd w:val="0"/>
        <w:spacing w:line="480" w:lineRule="auto"/>
        <w:ind w:left="720" w:hanging="720"/>
      </w:pPr>
      <w:r w:rsidRPr="006D674D">
        <w:t>Grossman, P., Niemann, L., Schmidt, S., &amp; Walach, H. (2004). Mindfulness-based stress</w:t>
      </w:r>
      <w:r>
        <w:t xml:space="preserve"> reduction and health benefits:</w:t>
      </w:r>
      <w:r w:rsidRPr="006D674D">
        <w:t xml:space="preserve"> A meta-analysis. </w:t>
      </w:r>
      <w:r w:rsidRPr="006D674D">
        <w:rPr>
          <w:i/>
          <w:iCs/>
        </w:rPr>
        <w:t>Journal of psychosomatic research, 57</w:t>
      </w:r>
      <w:r w:rsidRPr="006D674D">
        <w:t>, 35-43.</w:t>
      </w:r>
    </w:p>
    <w:p w:rsidR="00F22446" w:rsidRDefault="00F22446" w:rsidP="008273A5">
      <w:pPr>
        <w:autoSpaceDE w:val="0"/>
        <w:autoSpaceDN w:val="0"/>
        <w:adjustRightInd w:val="0"/>
        <w:spacing w:line="480" w:lineRule="auto"/>
        <w:ind w:left="720" w:hanging="720"/>
      </w:pPr>
      <w:r>
        <w:t xml:space="preserve">Hamilton, M. (1960). A rating scale for depression. </w:t>
      </w:r>
      <w:r w:rsidRPr="00BB75AE">
        <w:rPr>
          <w:i/>
          <w:iCs/>
        </w:rPr>
        <w:t>Journal of Neurology, Neurosurgery, and Psychiatry, 23</w:t>
      </w:r>
      <w:r>
        <w:t>, 56-61.</w:t>
      </w:r>
    </w:p>
    <w:p w:rsidR="00F22446" w:rsidRDefault="00F22446" w:rsidP="00F77598">
      <w:pPr>
        <w:autoSpaceDE w:val="0"/>
        <w:autoSpaceDN w:val="0"/>
        <w:adjustRightInd w:val="0"/>
        <w:spacing w:line="480" w:lineRule="auto"/>
        <w:ind w:left="720" w:hanging="720"/>
      </w:pPr>
      <w:r>
        <w:t xml:space="preserve">Hodgson, J. W. (1981). Cognitive versus behavioral–interpersonal approaches to the group treatment of depressed college students. </w:t>
      </w:r>
      <w:r w:rsidRPr="00F77598">
        <w:rPr>
          <w:i/>
          <w:iCs/>
        </w:rPr>
        <w:t>Journal of Counseling Psychology, 28</w:t>
      </w:r>
      <w:r>
        <w:t>, 243–249.</w:t>
      </w:r>
    </w:p>
    <w:p w:rsidR="00F22446" w:rsidRDefault="00F22446" w:rsidP="008273A5">
      <w:pPr>
        <w:autoSpaceDE w:val="0"/>
        <w:autoSpaceDN w:val="0"/>
        <w:adjustRightInd w:val="0"/>
        <w:spacing w:line="480" w:lineRule="auto"/>
        <w:ind w:left="720" w:hanging="720"/>
      </w:pPr>
      <w:r w:rsidRPr="00A139C7">
        <w:t>Hofmann, S. G., Sawyer, A. T., Witt, A. A., &amp; Oh, D. (2010). The effect of mindfulness-</w:t>
      </w:r>
      <w:r>
        <w:t xml:space="preserve">based </w:t>
      </w:r>
      <w:r w:rsidRPr="00A139C7">
        <w:t xml:space="preserve">therapy on anxiety and depression: A meta-analytic review. </w:t>
      </w:r>
      <w:r w:rsidRPr="008273A5">
        <w:rPr>
          <w:i/>
          <w:iCs/>
        </w:rPr>
        <w:t>Journal of Consulting and Clinical Psychology, 78</w:t>
      </w:r>
      <w:r w:rsidRPr="00A139C7">
        <w:t>, 169–183.</w:t>
      </w:r>
    </w:p>
    <w:p w:rsidR="00F22446" w:rsidRDefault="00F22446" w:rsidP="00882FD4">
      <w:pPr>
        <w:autoSpaceDE w:val="0"/>
        <w:autoSpaceDN w:val="0"/>
        <w:adjustRightInd w:val="0"/>
        <w:spacing w:line="480" w:lineRule="auto"/>
        <w:ind w:left="720" w:hanging="720"/>
      </w:pPr>
      <w:r>
        <w:t xml:space="preserve">Hogg, J. A., &amp; Deffenbacher, J. L. (1988). A comparison of cognitive and interpersonal-process group therapies in the treatment of depression among college students. </w:t>
      </w:r>
      <w:r w:rsidRPr="00B63375">
        <w:rPr>
          <w:i/>
          <w:iCs/>
        </w:rPr>
        <w:t>Journal of</w:t>
      </w:r>
      <w:r>
        <w:t xml:space="preserve"> </w:t>
      </w:r>
      <w:r w:rsidRPr="00F77598">
        <w:rPr>
          <w:i/>
          <w:iCs/>
        </w:rPr>
        <w:t>Counseling Psychology, 35</w:t>
      </w:r>
      <w:r>
        <w:t>, 304–310.</w:t>
      </w:r>
    </w:p>
    <w:p w:rsidR="00F22446" w:rsidRDefault="00F22446" w:rsidP="00882FD4">
      <w:pPr>
        <w:autoSpaceDE w:val="0"/>
        <w:autoSpaceDN w:val="0"/>
        <w:adjustRightInd w:val="0"/>
        <w:spacing w:line="480" w:lineRule="auto"/>
        <w:ind w:left="720" w:hanging="720"/>
      </w:pPr>
      <w:r w:rsidRPr="009009FA">
        <w:t xml:space="preserve">Hollis, S., &amp; Campbell, F. (1999). What is meant by intention to treat analysis? Survey of published randomised controlled trials. </w:t>
      </w:r>
      <w:r w:rsidRPr="009009FA">
        <w:rPr>
          <w:i/>
        </w:rPr>
        <w:t>British Medical Journal, 319</w:t>
      </w:r>
      <w:r w:rsidRPr="009009FA">
        <w:t>, 670-674.</w:t>
      </w:r>
    </w:p>
    <w:p w:rsidR="00F22446" w:rsidRDefault="00F22446" w:rsidP="00947ACE">
      <w:pPr>
        <w:autoSpaceDE w:val="0"/>
        <w:autoSpaceDN w:val="0"/>
        <w:adjustRightInd w:val="0"/>
        <w:spacing w:line="480" w:lineRule="auto"/>
        <w:ind w:left="720" w:hanging="720"/>
      </w:pPr>
      <w:r>
        <w:lastRenderedPageBreak/>
        <w:t>Hollon, S. D., &amp; Ponniah, K.</w:t>
      </w:r>
      <w:r w:rsidRPr="00B31ADF">
        <w:t xml:space="preserve"> </w:t>
      </w:r>
      <w:r>
        <w:t>(</w:t>
      </w:r>
      <w:r w:rsidRPr="00B31ADF">
        <w:t>2010</w:t>
      </w:r>
      <w:r>
        <w:t xml:space="preserve">). </w:t>
      </w:r>
      <w:r w:rsidRPr="000A3060">
        <w:t>A review of empirically supported psychological therapies for mood disorders in adults</w:t>
      </w:r>
      <w:r>
        <w:t xml:space="preserve">. </w:t>
      </w:r>
      <w:r w:rsidRPr="00947ACE">
        <w:rPr>
          <w:i/>
          <w:iCs/>
        </w:rPr>
        <w:t>Depression and Anxiety, 27</w:t>
      </w:r>
      <w:r>
        <w:t>, 891–932.</w:t>
      </w:r>
    </w:p>
    <w:p w:rsidR="00F22446" w:rsidRDefault="00F22446" w:rsidP="00947ACE">
      <w:pPr>
        <w:autoSpaceDE w:val="0"/>
        <w:autoSpaceDN w:val="0"/>
        <w:adjustRightInd w:val="0"/>
        <w:spacing w:line="480" w:lineRule="auto"/>
        <w:ind w:left="720" w:hanging="720"/>
      </w:pPr>
      <w:r>
        <w:t>H</w:t>
      </w:r>
      <w:r w:rsidRPr="00947ACE">
        <w:t>ollon</w:t>
      </w:r>
      <w:r>
        <w:t>,</w:t>
      </w:r>
      <w:r w:rsidRPr="00947ACE">
        <w:t xml:space="preserve"> S</w:t>
      </w:r>
      <w:r>
        <w:t xml:space="preserve">. </w:t>
      </w:r>
      <w:r w:rsidRPr="00947ACE">
        <w:t>D</w:t>
      </w:r>
      <w:r>
        <w:t>.</w:t>
      </w:r>
      <w:r w:rsidRPr="00947ACE">
        <w:t>, Thase</w:t>
      </w:r>
      <w:r>
        <w:t>,</w:t>
      </w:r>
      <w:r w:rsidRPr="00947ACE">
        <w:t xml:space="preserve"> M</w:t>
      </w:r>
      <w:r>
        <w:t xml:space="preserve">. </w:t>
      </w:r>
      <w:r w:rsidRPr="00947ACE">
        <w:t>E</w:t>
      </w:r>
      <w:r>
        <w:t>.</w:t>
      </w:r>
      <w:r w:rsidRPr="00947ACE">
        <w:t xml:space="preserve">, </w:t>
      </w:r>
      <w:r>
        <w:t xml:space="preserve">&amp; </w:t>
      </w:r>
      <w:r w:rsidRPr="00947ACE">
        <w:t>Markowitz</w:t>
      </w:r>
      <w:r>
        <w:t>,</w:t>
      </w:r>
      <w:r w:rsidRPr="00947ACE">
        <w:t xml:space="preserve"> J</w:t>
      </w:r>
      <w:r>
        <w:t xml:space="preserve">. </w:t>
      </w:r>
      <w:r w:rsidRPr="00947ACE">
        <w:t xml:space="preserve">C. </w:t>
      </w:r>
      <w:r>
        <w:t xml:space="preserve">(2002). </w:t>
      </w:r>
      <w:r w:rsidRPr="00947ACE">
        <w:t xml:space="preserve">Treatment and prevention of depression. </w:t>
      </w:r>
      <w:r w:rsidRPr="00947ACE">
        <w:rPr>
          <w:i/>
          <w:iCs/>
        </w:rPr>
        <w:t>Psychological Science in the Public Interest, 3,</w:t>
      </w:r>
      <w:r>
        <w:t xml:space="preserve"> </w:t>
      </w:r>
      <w:r w:rsidRPr="00947ACE">
        <w:t>1–39.</w:t>
      </w:r>
    </w:p>
    <w:p w:rsidR="00F22446" w:rsidRDefault="00F22446" w:rsidP="00FF46E4">
      <w:pPr>
        <w:autoSpaceDE w:val="0"/>
        <w:autoSpaceDN w:val="0"/>
        <w:adjustRightInd w:val="0"/>
        <w:spacing w:line="480" w:lineRule="auto"/>
        <w:ind w:left="720" w:hanging="720"/>
      </w:pPr>
      <w:r>
        <w:t xml:space="preserve">Hopko, D. R., Armento, M., Cantu, M., Chambers, L., &amp; Lejuez, C. W. (2003). The use of daily diaries to assess the relations among mood state, overt behavior, and reward value of activities. </w:t>
      </w:r>
      <w:r w:rsidRPr="00FF46E4">
        <w:rPr>
          <w:i/>
          <w:iCs/>
        </w:rPr>
        <w:t>Behaviour Research and Therapy, 41</w:t>
      </w:r>
      <w:r>
        <w:t>, 1137–1148.</w:t>
      </w:r>
    </w:p>
    <w:p w:rsidR="00F22446" w:rsidRPr="00947ACE" w:rsidRDefault="00F22446" w:rsidP="009F51FE">
      <w:pPr>
        <w:spacing w:line="480" w:lineRule="auto"/>
        <w:ind w:left="720" w:hanging="720"/>
      </w:pPr>
      <w:r>
        <w:t xml:space="preserve">Hopko, D. R., Armento, M. E. A., Robertson, S. M. C., Ryba, M., Carvalho, J. P., Coleman, L. et al. (2011). Brief Behavioral Activation and Problem-Solving Therapy for Depressed Breast Cancer Patients: Randomized Trial. </w:t>
      </w:r>
      <w:r w:rsidRPr="00B63375">
        <w:rPr>
          <w:i/>
          <w:iCs/>
        </w:rPr>
        <w:t>Journal of</w:t>
      </w:r>
      <w:r>
        <w:t xml:space="preserve"> </w:t>
      </w:r>
      <w:r>
        <w:rPr>
          <w:i/>
          <w:iCs/>
        </w:rPr>
        <w:t>Consulting and Clinical</w:t>
      </w:r>
      <w:r w:rsidRPr="00F77598">
        <w:rPr>
          <w:i/>
          <w:iCs/>
        </w:rPr>
        <w:t xml:space="preserve"> Psychology</w:t>
      </w:r>
      <w:r>
        <w:t xml:space="preserve">, </w:t>
      </w:r>
      <w:r w:rsidRPr="009F51FE">
        <w:rPr>
          <w:i/>
        </w:rPr>
        <w:t>79</w:t>
      </w:r>
      <w:r>
        <w:t>, 834-849.</w:t>
      </w:r>
    </w:p>
    <w:p w:rsidR="00F22446" w:rsidRPr="00B63375" w:rsidRDefault="00F22446" w:rsidP="009D1D0D">
      <w:pPr>
        <w:spacing w:line="480" w:lineRule="auto"/>
        <w:ind w:left="720" w:hanging="720"/>
      </w:pPr>
      <w:r w:rsidRPr="00B63375">
        <w:t xml:space="preserve">Hopko, D. R., Bell, J. L., Armento, M. E. A., Hunt, M. K., &amp; Lejuez, C. W. (2005). Behavior therapy for depressed cancer patients in primary care. </w:t>
      </w:r>
      <w:r w:rsidRPr="00B63375">
        <w:rPr>
          <w:i/>
          <w:iCs/>
        </w:rPr>
        <w:t>Psychotherapy: Theory, Research, Practice, Training, 42</w:t>
      </w:r>
      <w:r w:rsidRPr="00B63375">
        <w:t>, 236-243.</w:t>
      </w:r>
    </w:p>
    <w:p w:rsidR="00F22446" w:rsidRDefault="00F22446" w:rsidP="009D1D0D">
      <w:pPr>
        <w:spacing w:line="480" w:lineRule="auto"/>
        <w:ind w:left="720" w:hanging="720"/>
      </w:pPr>
      <w:r>
        <w:t xml:space="preserve">Hopko, D. R., Bell, J., Armento, M. E. A., Robertson, S. M. C., Mullane, C., Wolf, N. J., &amp; Lejuez, C. W. (2008). Cognitive– behavior therapy for depressed cancer patients in a medical care setting. </w:t>
      </w:r>
      <w:r w:rsidRPr="009D1D0D">
        <w:rPr>
          <w:i/>
          <w:iCs/>
        </w:rPr>
        <w:t>Behavior Therapy, 39</w:t>
      </w:r>
      <w:r>
        <w:t>, 126–136.</w:t>
      </w:r>
    </w:p>
    <w:p w:rsidR="00F22446" w:rsidRDefault="00F22446" w:rsidP="00AC49F5">
      <w:pPr>
        <w:autoSpaceDE w:val="0"/>
        <w:autoSpaceDN w:val="0"/>
        <w:adjustRightInd w:val="0"/>
        <w:spacing w:line="480" w:lineRule="auto"/>
        <w:ind w:left="720" w:hanging="720"/>
      </w:pPr>
      <w:r w:rsidRPr="00547E52">
        <w:t xml:space="preserve">Hopko, D. R., &amp; Lejuez, C. W. (2007). </w:t>
      </w:r>
      <w:r w:rsidRPr="00097B54">
        <w:rPr>
          <w:i/>
          <w:iCs/>
        </w:rPr>
        <w:t>A cancer patient’s guide to overcoming depression and anxiety: Getting through treatment and getting back to your life.</w:t>
      </w:r>
      <w:r w:rsidRPr="00547E52">
        <w:t xml:space="preserve"> Oakland, CA: New Harbinger.</w:t>
      </w:r>
    </w:p>
    <w:p w:rsidR="00F22446" w:rsidRPr="00B364E2" w:rsidRDefault="00F22446" w:rsidP="00AC49F5">
      <w:pPr>
        <w:autoSpaceDE w:val="0"/>
        <w:autoSpaceDN w:val="0"/>
        <w:adjustRightInd w:val="0"/>
        <w:spacing w:line="480" w:lineRule="auto"/>
        <w:ind w:left="720" w:hanging="720"/>
      </w:pPr>
      <w:r w:rsidRPr="00B364E2">
        <w:t xml:space="preserve">Hopko, D. </w:t>
      </w:r>
      <w:r>
        <w:t>R.</w:t>
      </w:r>
      <w:r w:rsidRPr="00B364E2">
        <w:t xml:space="preserve">, Lejuez, C. </w:t>
      </w:r>
      <w:r>
        <w:t>W.</w:t>
      </w:r>
      <w:r w:rsidRPr="00B364E2">
        <w:t>, &amp; Hopko, S.</w:t>
      </w:r>
      <w:r>
        <w:t xml:space="preserve"> D.</w:t>
      </w:r>
      <w:r w:rsidRPr="00B364E2">
        <w:t xml:space="preserve"> (2004). Behavioral activation as an intervention for coexistent depressive and anxiety symptoms. </w:t>
      </w:r>
      <w:r w:rsidRPr="00B364E2">
        <w:rPr>
          <w:i/>
          <w:iCs/>
        </w:rPr>
        <w:t>Clinical Case Studies, 3</w:t>
      </w:r>
      <w:r w:rsidRPr="00B364E2">
        <w:t>, 37-48.</w:t>
      </w:r>
    </w:p>
    <w:p w:rsidR="00F22446" w:rsidRDefault="00F22446" w:rsidP="00D05F82">
      <w:pPr>
        <w:spacing w:line="480" w:lineRule="auto"/>
        <w:ind w:left="720" w:hanging="720"/>
      </w:pPr>
      <w:r>
        <w:lastRenderedPageBreak/>
        <w:t xml:space="preserve">Hopko, D. R., Lejuez, C. W., LePage, J., Hopko, S. D., &amp; McNeil, D. W. (2003). A brief behavioral activation treatment for depression: A randomized trial within an inpatient psychiatric hospital. </w:t>
      </w:r>
      <w:r w:rsidRPr="00D05F82">
        <w:rPr>
          <w:i/>
          <w:iCs/>
        </w:rPr>
        <w:t>Behavior Modification, 27</w:t>
      </w:r>
      <w:r>
        <w:t>, 458–469.</w:t>
      </w:r>
    </w:p>
    <w:p w:rsidR="00F22446" w:rsidRPr="006D674D" w:rsidRDefault="00F22446" w:rsidP="00AC49F5">
      <w:pPr>
        <w:autoSpaceDE w:val="0"/>
        <w:autoSpaceDN w:val="0"/>
        <w:adjustRightInd w:val="0"/>
        <w:spacing w:line="480" w:lineRule="auto"/>
        <w:ind w:left="720" w:hanging="720"/>
      </w:pPr>
      <w:r w:rsidRPr="000A7A1F">
        <w:t xml:space="preserve">Hopko, D. R., &amp; Mullane, C. (2008). </w:t>
      </w:r>
      <w:r w:rsidRPr="006D674D">
        <w:t xml:space="preserve">Exploring the relation of depression and overt behavior with daily diaries. </w:t>
      </w:r>
      <w:r w:rsidRPr="006D674D">
        <w:rPr>
          <w:i/>
          <w:iCs/>
        </w:rPr>
        <w:t>Behaviour research and therapy, 46</w:t>
      </w:r>
      <w:r w:rsidRPr="006D674D">
        <w:t>, 1085-1089.</w:t>
      </w:r>
    </w:p>
    <w:p w:rsidR="00F22446" w:rsidRDefault="00F22446" w:rsidP="00AC49F5">
      <w:pPr>
        <w:autoSpaceDE w:val="0"/>
        <w:autoSpaceDN w:val="0"/>
        <w:adjustRightInd w:val="0"/>
        <w:spacing w:line="480" w:lineRule="auto"/>
        <w:ind w:left="720" w:hanging="720"/>
      </w:pPr>
      <w:r w:rsidRPr="006D674D">
        <w:t xml:space="preserve">Hopko, D. R., Robertson, S., &amp; Carvalho, J. P. (2009). Sudden gains in depressed cancer patients treated with behavioral activation therapy. </w:t>
      </w:r>
      <w:r w:rsidRPr="006D674D">
        <w:rPr>
          <w:i/>
          <w:iCs/>
        </w:rPr>
        <w:t>Behavior therapy, 40</w:t>
      </w:r>
      <w:r w:rsidRPr="006D674D">
        <w:t>, 346-356.</w:t>
      </w:r>
    </w:p>
    <w:p w:rsidR="00F22446" w:rsidRDefault="00F22446" w:rsidP="00C17370">
      <w:pPr>
        <w:autoSpaceDE w:val="0"/>
        <w:autoSpaceDN w:val="0"/>
        <w:adjustRightInd w:val="0"/>
        <w:spacing w:line="480" w:lineRule="auto"/>
        <w:ind w:left="720" w:hanging="720"/>
      </w:pPr>
      <w:r>
        <w:t xml:space="preserve">Hopko, D. R., Robertson, S., &amp; Lejuez, C. W. (2006). Behavioral activation for anxiety disorders. </w:t>
      </w:r>
      <w:r w:rsidRPr="00C17370">
        <w:rPr>
          <w:i/>
          <w:iCs/>
        </w:rPr>
        <w:t>Behavior Analyst Today, 7</w:t>
      </w:r>
      <w:r>
        <w:t>, 212–232.</w:t>
      </w:r>
    </w:p>
    <w:p w:rsidR="00F22446" w:rsidRDefault="00F22446" w:rsidP="009D1D0D">
      <w:pPr>
        <w:autoSpaceDE w:val="0"/>
        <w:autoSpaceDN w:val="0"/>
        <w:adjustRightInd w:val="0"/>
        <w:spacing w:line="480" w:lineRule="auto"/>
        <w:ind w:left="720" w:hanging="720"/>
      </w:pPr>
      <w:r>
        <w:t xml:space="preserve">Hopko, D. R., Sanchez, L., Hopko, S. D., Dvir, S., &amp; Lejuez, C. W. (2003). Behavioral activation and the prevention of suicide in patients with borderline personality disorder. </w:t>
      </w:r>
      <w:r w:rsidRPr="009D1D0D">
        <w:rPr>
          <w:i/>
          <w:iCs/>
        </w:rPr>
        <w:t>Journal of Personality Disorders, 17</w:t>
      </w:r>
      <w:r>
        <w:t>, 460–478.</w:t>
      </w:r>
    </w:p>
    <w:p w:rsidR="00F22446" w:rsidRDefault="00F22446" w:rsidP="0061237B">
      <w:pPr>
        <w:spacing w:line="480" w:lineRule="auto"/>
        <w:ind w:left="720" w:hanging="720"/>
      </w:pPr>
      <w:r>
        <w:t xml:space="preserve">Jacobson, N. S., Dobson, K. S., Truax, P. A., Addis, M. E., Koerner, K., Gollan, J. K., et al. (1996). A component analysis of cognitive–behavioral treatment for depression. </w:t>
      </w:r>
      <w:r w:rsidRPr="0061237B">
        <w:rPr>
          <w:i/>
          <w:iCs/>
        </w:rPr>
        <w:t>Journal of Consulting and Clinical Psychology, 64</w:t>
      </w:r>
      <w:r>
        <w:t>, 295–304.</w:t>
      </w:r>
    </w:p>
    <w:p w:rsidR="00F22446" w:rsidRDefault="00F22446" w:rsidP="009708BB">
      <w:pPr>
        <w:autoSpaceDE w:val="0"/>
        <w:autoSpaceDN w:val="0"/>
        <w:adjustRightInd w:val="0"/>
        <w:spacing w:line="480" w:lineRule="auto"/>
        <w:ind w:left="720" w:hanging="720"/>
      </w:pPr>
      <w:r w:rsidRPr="006D674D">
        <w:t>Jain, S., Shapiro, S. L., Swanick, S., Roesch, S. C., Mills, P. J., Bell, I., et al. (2007). A randomized controlled trial of mindfulness meditati</w:t>
      </w:r>
      <w:r>
        <w:t>on versus relaxation training: E</w:t>
      </w:r>
      <w:r w:rsidRPr="006D674D">
        <w:t xml:space="preserve">ffects on distress, positive states of mind, rumination, and distraction. </w:t>
      </w:r>
      <w:r w:rsidRPr="006D674D">
        <w:rPr>
          <w:i/>
          <w:iCs/>
        </w:rPr>
        <w:t>Annals of Behavioral Medicine, 33</w:t>
      </w:r>
      <w:r w:rsidRPr="006D674D">
        <w:t>, 11-21.</w:t>
      </w:r>
    </w:p>
    <w:p w:rsidR="00F22446" w:rsidRDefault="00F22446" w:rsidP="0061237B">
      <w:pPr>
        <w:spacing w:line="480" w:lineRule="auto"/>
        <w:ind w:left="720" w:hanging="720"/>
      </w:pPr>
      <w:r>
        <w:t xml:space="preserve">Jakupcak, M., Roberts, L., Martell, C., Mulick, P., Michael, S., Reed, R., et al. (2006). A pilot study of behavioral activation for veterans with posttraumatic stress disorder. </w:t>
      </w:r>
      <w:r w:rsidRPr="0061237B">
        <w:rPr>
          <w:i/>
          <w:iCs/>
        </w:rPr>
        <w:t>Journal of Traumatic Stress, 19</w:t>
      </w:r>
      <w:r>
        <w:t>, 387–391.</w:t>
      </w:r>
    </w:p>
    <w:p w:rsidR="00F22446" w:rsidRPr="00C0331F" w:rsidRDefault="00F22446" w:rsidP="0061237B">
      <w:pPr>
        <w:spacing w:line="480" w:lineRule="auto"/>
        <w:ind w:left="720" w:hanging="720"/>
      </w:pPr>
      <w:r w:rsidRPr="00C0331F">
        <w:lastRenderedPageBreak/>
        <w:t xml:space="preserve">Jimenez, S. </w:t>
      </w:r>
      <w:r>
        <w:t>S.</w:t>
      </w:r>
      <w:r w:rsidRPr="00C0331F">
        <w:t xml:space="preserve">, Niles, B. </w:t>
      </w:r>
      <w:r>
        <w:t>L.</w:t>
      </w:r>
      <w:r w:rsidRPr="00C0331F">
        <w:t>, &amp; Park, C.</w:t>
      </w:r>
      <w:r>
        <w:t xml:space="preserve"> L.</w:t>
      </w:r>
      <w:r w:rsidRPr="00C0331F">
        <w:t xml:space="preserve"> (2010). A mindfulness model of affect regulation and depressive symptoms: Positive emotions, mood regulation expectancies, and self-acceptance as regulatory mechanisms. </w:t>
      </w:r>
      <w:r w:rsidRPr="00C0331F">
        <w:rPr>
          <w:i/>
          <w:iCs/>
        </w:rPr>
        <w:t>Personality and Individual Differences, 49</w:t>
      </w:r>
      <w:r w:rsidRPr="00C0331F">
        <w:t>, 645-650.</w:t>
      </w:r>
    </w:p>
    <w:p w:rsidR="00F22446" w:rsidRPr="006D674D" w:rsidRDefault="00F22446" w:rsidP="009708BB">
      <w:pPr>
        <w:autoSpaceDE w:val="0"/>
        <w:autoSpaceDN w:val="0"/>
        <w:adjustRightInd w:val="0"/>
        <w:spacing w:line="480" w:lineRule="auto"/>
        <w:ind w:left="720" w:hanging="720"/>
      </w:pPr>
      <w:r w:rsidRPr="006D674D">
        <w:t xml:space="preserve">Kabat-Zinn, J. (1982). An outpatient program in behavioral medicine for chronic pain patients based on the practice of mindfulness meditation: Theoretical considerations and preliminary results. </w:t>
      </w:r>
      <w:r w:rsidRPr="006D674D">
        <w:rPr>
          <w:i/>
          <w:iCs/>
        </w:rPr>
        <w:t>General Hospital Psychiatry, 4</w:t>
      </w:r>
      <w:r w:rsidRPr="006D674D">
        <w:t>, 33-47.</w:t>
      </w:r>
    </w:p>
    <w:p w:rsidR="00F22446" w:rsidRDefault="00F22446" w:rsidP="009708BB">
      <w:pPr>
        <w:autoSpaceDE w:val="0"/>
        <w:autoSpaceDN w:val="0"/>
        <w:adjustRightInd w:val="0"/>
        <w:spacing w:line="480" w:lineRule="auto"/>
        <w:ind w:left="720" w:hanging="720"/>
      </w:pPr>
      <w:r w:rsidRPr="006D674D">
        <w:t xml:space="preserve">Kabat-Zinn, J., Massion, A. O., Kristeller, J., Peterson, L. G., Fletcher, K. E., Pbert, L., et al. (1992). Effectiveness of a meditation-based stress reduction program in the treatment of anxiety disorders. </w:t>
      </w:r>
      <w:r w:rsidRPr="006D674D">
        <w:rPr>
          <w:i/>
          <w:iCs/>
        </w:rPr>
        <w:t>American Journal of Psychiatry, 149</w:t>
      </w:r>
      <w:r>
        <w:t>, 936-943.</w:t>
      </w:r>
    </w:p>
    <w:p w:rsidR="00F22446" w:rsidRPr="004031A5" w:rsidRDefault="00F22446" w:rsidP="00B64417">
      <w:pPr>
        <w:spacing w:line="480" w:lineRule="auto"/>
        <w:ind w:left="720" w:hanging="720"/>
        <w:rPr>
          <w:lang w:val="sv-SE"/>
        </w:rPr>
      </w:pPr>
      <w:r>
        <w:t xml:space="preserve">Kitzrow, M. A. (2003). The mental health needs of today’s college students: Challenges and recommendations. </w:t>
      </w:r>
      <w:r w:rsidRPr="004031A5">
        <w:rPr>
          <w:i/>
          <w:iCs/>
          <w:lang w:val="sv-SE"/>
        </w:rPr>
        <w:t>NASPA Journal, 41</w:t>
      </w:r>
      <w:r w:rsidRPr="004031A5">
        <w:rPr>
          <w:lang w:val="sv-SE"/>
        </w:rPr>
        <w:t>, 167–181.</w:t>
      </w:r>
    </w:p>
    <w:p w:rsidR="00F22446" w:rsidRDefault="00F22446" w:rsidP="00B64417">
      <w:pPr>
        <w:spacing w:line="480" w:lineRule="auto"/>
        <w:ind w:left="720" w:hanging="720"/>
      </w:pPr>
      <w:r w:rsidRPr="004031A5">
        <w:rPr>
          <w:lang w:val="sv-SE"/>
        </w:rPr>
        <w:t xml:space="preserve">Klatt, M. D., Buckworth J. B., &amp; Malarkey, W. B. (2009). </w:t>
      </w:r>
      <w:r w:rsidRPr="00A139C7">
        <w:t>Effects of low-dose mindf</w:t>
      </w:r>
      <w:r>
        <w:t>ulness-based stress reduction (</w:t>
      </w:r>
      <w:r w:rsidRPr="00A139C7">
        <w:t>MBSR-ld) on working</w:t>
      </w:r>
      <w:r>
        <w:t xml:space="preserve"> adults.</w:t>
      </w:r>
      <w:r w:rsidRPr="00A139C7">
        <w:t xml:space="preserve"> </w:t>
      </w:r>
      <w:r w:rsidRPr="00B64417">
        <w:rPr>
          <w:i/>
          <w:iCs/>
        </w:rPr>
        <w:t>Health Education &amp; Behavior, 36</w:t>
      </w:r>
      <w:r>
        <w:t>,</w:t>
      </w:r>
      <w:r w:rsidRPr="00B64417">
        <w:t xml:space="preserve"> 601-614</w:t>
      </w:r>
      <w:r>
        <w:t>.</w:t>
      </w:r>
    </w:p>
    <w:p w:rsidR="00F22446" w:rsidRPr="009A620E" w:rsidRDefault="00F22446" w:rsidP="00AB0822">
      <w:pPr>
        <w:spacing w:line="480" w:lineRule="auto"/>
        <w:ind w:left="720" w:hanging="720"/>
      </w:pPr>
      <w:r w:rsidRPr="009A620E">
        <w:t xml:space="preserve">Kupfer, D., Frank, E., &amp; Perel, J. (1989). The advantage of early treatment intervention in recurrent depression. </w:t>
      </w:r>
      <w:r w:rsidRPr="009A620E">
        <w:rPr>
          <w:i/>
          <w:iCs/>
        </w:rPr>
        <w:t>Archives of General Psychiatry</w:t>
      </w:r>
      <w:r w:rsidRPr="009A620E">
        <w:t xml:space="preserve">, </w:t>
      </w:r>
      <w:r w:rsidRPr="009A620E">
        <w:rPr>
          <w:i/>
          <w:iCs/>
        </w:rPr>
        <w:t>46</w:t>
      </w:r>
      <w:r w:rsidRPr="009A620E">
        <w:t>, 771-775.</w:t>
      </w:r>
    </w:p>
    <w:p w:rsidR="00F22446" w:rsidRPr="00EA5115" w:rsidRDefault="00F22446" w:rsidP="00AB0822">
      <w:pPr>
        <w:spacing w:line="480" w:lineRule="auto"/>
        <w:ind w:left="720" w:hanging="720"/>
      </w:pPr>
      <w:r w:rsidRPr="00EA5115">
        <w:t xml:space="preserve">Larsen, D. L., Attkisson, C. C., Hargreaves, W. A., &amp; Nguyen, T. D. (1979). Assessment of client/patient satisfaction: Development of a general scale. </w:t>
      </w:r>
      <w:r w:rsidRPr="00EA5115">
        <w:rPr>
          <w:i/>
          <w:iCs/>
        </w:rPr>
        <w:t>Evaluation and Program Planning, 2</w:t>
      </w:r>
      <w:r w:rsidRPr="00EA5115">
        <w:t>, 197-207.</w:t>
      </w:r>
    </w:p>
    <w:p w:rsidR="00F22446" w:rsidRDefault="00F22446" w:rsidP="00AB0822">
      <w:pPr>
        <w:spacing w:line="480" w:lineRule="auto"/>
        <w:ind w:left="720" w:hanging="720"/>
      </w:pPr>
      <w:r>
        <w:t>Ledesma, D.</w:t>
      </w:r>
      <w:r w:rsidRPr="00686ED0">
        <w:t>, &amp; Kumano, H. (2009). Mindfulness-based stress reduction and cancer: A meta-</w:t>
      </w:r>
      <w:r>
        <w:t xml:space="preserve">analysis. </w:t>
      </w:r>
      <w:r w:rsidRPr="00686ED0">
        <w:rPr>
          <w:i/>
          <w:iCs/>
        </w:rPr>
        <w:t>Psycho-oncology, 18</w:t>
      </w:r>
      <w:r w:rsidRPr="00686ED0">
        <w:t>, 571-579.</w:t>
      </w:r>
    </w:p>
    <w:p w:rsidR="00F22446" w:rsidRPr="00686ED0" w:rsidRDefault="00F22446" w:rsidP="0042704C">
      <w:pPr>
        <w:spacing w:line="480" w:lineRule="auto"/>
        <w:ind w:left="720" w:hanging="720"/>
      </w:pPr>
      <w:r>
        <w:lastRenderedPageBreak/>
        <w:t>Lee, C. (2005). Evidence-based treatment of depression in the college population. Journa</w:t>
      </w:r>
      <w:r w:rsidRPr="0042704C">
        <w:rPr>
          <w:i/>
          <w:iCs/>
        </w:rPr>
        <w:t>l of College Student Psychotherapy, 20</w:t>
      </w:r>
      <w:r>
        <w:t>, 23–31.</w:t>
      </w:r>
    </w:p>
    <w:p w:rsidR="00F22446" w:rsidRPr="00F11732" w:rsidRDefault="00F22446" w:rsidP="00AB0822">
      <w:pPr>
        <w:spacing w:line="480" w:lineRule="auto"/>
        <w:ind w:left="720" w:hanging="720"/>
      </w:pPr>
      <w:r w:rsidRPr="00F11732">
        <w:t xml:space="preserve">Lejuez, C. </w:t>
      </w:r>
      <w:r>
        <w:t>W.</w:t>
      </w:r>
      <w:r w:rsidRPr="00F11732">
        <w:t xml:space="preserve">, Hopko, D. </w:t>
      </w:r>
      <w:r>
        <w:t>R., Acierno, R.</w:t>
      </w:r>
      <w:r w:rsidRPr="00F11732">
        <w:t xml:space="preserve">, Daughters, S. </w:t>
      </w:r>
      <w:r>
        <w:t>B.</w:t>
      </w:r>
      <w:r w:rsidRPr="00F11732">
        <w:t xml:space="preserve">, &amp; Pagoto, </w:t>
      </w:r>
      <w:r>
        <w:t xml:space="preserve">S. L. (2011). Ten year revision of </w:t>
      </w:r>
      <w:r w:rsidRPr="00F11732">
        <w:t>the brief behavioral activation treatment for depres</w:t>
      </w:r>
      <w:r>
        <w:t xml:space="preserve">sion: Revised treatment manual. </w:t>
      </w:r>
      <w:r w:rsidRPr="00F11732">
        <w:rPr>
          <w:i/>
          <w:iCs/>
        </w:rPr>
        <w:t>Behavior Modification, 35</w:t>
      </w:r>
      <w:r w:rsidRPr="00F11732">
        <w:t>, 111-161.</w:t>
      </w:r>
    </w:p>
    <w:p w:rsidR="00F22446" w:rsidRDefault="00F22446" w:rsidP="00722253">
      <w:pPr>
        <w:spacing w:line="480" w:lineRule="auto"/>
        <w:ind w:left="720" w:hanging="720"/>
      </w:pPr>
      <w:r>
        <w:t xml:space="preserve">Lejuez, C. W., Hopko, D. R., &amp; Hopko, S. D. (2001). A brief behavioral activation treatment for depression: Treatment manual. </w:t>
      </w:r>
      <w:r w:rsidRPr="00722253">
        <w:rPr>
          <w:i/>
          <w:iCs/>
        </w:rPr>
        <w:t>Behavior Modification</w:t>
      </w:r>
      <w:r>
        <w:t xml:space="preserve">, </w:t>
      </w:r>
      <w:r w:rsidRPr="00722253">
        <w:rPr>
          <w:i/>
          <w:iCs/>
        </w:rPr>
        <w:t>25</w:t>
      </w:r>
      <w:r>
        <w:t>, 255–286.</w:t>
      </w:r>
    </w:p>
    <w:p w:rsidR="00F22446" w:rsidRPr="000F76D5" w:rsidRDefault="00F22446" w:rsidP="00722253">
      <w:pPr>
        <w:spacing w:line="480" w:lineRule="auto"/>
        <w:ind w:left="720" w:hanging="720"/>
      </w:pPr>
      <w:r w:rsidRPr="000F76D5">
        <w:t xml:space="preserve">Lejuez, C. W., Hopko, D. R., LePage, J., Hopko, S. D., &amp; McNeil, D. W. (2001). A brief behavioral activation treatment for depression. </w:t>
      </w:r>
      <w:r w:rsidRPr="000F76D5">
        <w:rPr>
          <w:i/>
          <w:iCs/>
        </w:rPr>
        <w:t>Cognitive and Behavioral Practice</w:t>
      </w:r>
      <w:r w:rsidRPr="000F76D5">
        <w:t xml:space="preserve">, </w:t>
      </w:r>
      <w:r w:rsidRPr="000F76D5">
        <w:rPr>
          <w:i/>
          <w:iCs/>
        </w:rPr>
        <w:t>8</w:t>
      </w:r>
      <w:r w:rsidRPr="000F76D5">
        <w:t>, 164–175.</w:t>
      </w:r>
    </w:p>
    <w:p w:rsidR="00F22446" w:rsidRDefault="00F22446" w:rsidP="005677BE">
      <w:pPr>
        <w:spacing w:line="480" w:lineRule="auto"/>
        <w:ind w:left="720" w:hanging="720"/>
      </w:pPr>
      <w:r>
        <w:t xml:space="preserve">Lenz, B. (2004). Tobacco, depression and lifestyle choices in the pivotal early college years. </w:t>
      </w:r>
      <w:r w:rsidRPr="005677BE">
        <w:rPr>
          <w:i/>
          <w:iCs/>
        </w:rPr>
        <w:t>Journal of American College Health</w:t>
      </w:r>
      <w:r>
        <w:t>, 52, 213–219.</w:t>
      </w:r>
    </w:p>
    <w:p w:rsidR="00F22446" w:rsidRDefault="00F22446" w:rsidP="009708BB">
      <w:pPr>
        <w:autoSpaceDE w:val="0"/>
        <w:autoSpaceDN w:val="0"/>
        <w:adjustRightInd w:val="0"/>
        <w:spacing w:line="480" w:lineRule="auto"/>
        <w:ind w:left="720" w:hanging="720"/>
      </w:pPr>
      <w:r>
        <w:t xml:space="preserve">Lewinsohn, P. M. (1974). A behavioral approach to depression. In R. M. Friedman &amp; M. M. Katz (Eds.), </w:t>
      </w:r>
      <w:r w:rsidRPr="0077572B">
        <w:rPr>
          <w:i/>
        </w:rPr>
        <w:t>The psychology of depression: Contemporary theory and research</w:t>
      </w:r>
      <w:r>
        <w:t xml:space="preserve"> (pp. 157–178). Oxford, United Kingdom:Wiley.</w:t>
      </w:r>
    </w:p>
    <w:p w:rsidR="00F22446" w:rsidRDefault="00F22446" w:rsidP="001B013F">
      <w:pPr>
        <w:spacing w:line="480" w:lineRule="auto"/>
        <w:ind w:left="720" w:hanging="720"/>
      </w:pPr>
      <w:r>
        <w:t xml:space="preserve">Lewinsohn, P. M., &amp; Graf, M. (1973). Pleasant activities and depression. </w:t>
      </w:r>
      <w:r w:rsidRPr="001B013F">
        <w:rPr>
          <w:i/>
          <w:iCs/>
        </w:rPr>
        <w:t>Journal of Consulting and Clinical Psychology, 41</w:t>
      </w:r>
      <w:r>
        <w:t>, 261−268.</w:t>
      </w:r>
    </w:p>
    <w:p w:rsidR="00F22446" w:rsidRDefault="00F22446" w:rsidP="001B013F">
      <w:pPr>
        <w:spacing w:line="480" w:lineRule="auto"/>
        <w:ind w:left="720" w:hanging="720"/>
      </w:pPr>
      <w:r>
        <w:t xml:space="preserve">Lewinsohn, P. M., &amp; Libet, J. (1972). Pleasant events, activity schedules, and depression. </w:t>
      </w:r>
      <w:r w:rsidRPr="001B013F">
        <w:rPr>
          <w:i/>
          <w:iCs/>
        </w:rPr>
        <w:t>Journal of Abn</w:t>
      </w:r>
      <w:r>
        <w:rPr>
          <w:i/>
          <w:iCs/>
        </w:rPr>
        <w:t>ormal Psychology</w:t>
      </w:r>
      <w:r w:rsidRPr="001B013F">
        <w:rPr>
          <w:i/>
          <w:iCs/>
        </w:rPr>
        <w:t xml:space="preserve">, </w:t>
      </w:r>
      <w:r>
        <w:rPr>
          <w:i/>
          <w:iCs/>
        </w:rPr>
        <w:t>79</w:t>
      </w:r>
      <w:r>
        <w:t>, 291-295.</w:t>
      </w:r>
    </w:p>
    <w:p w:rsidR="00F22446" w:rsidRDefault="00F22446" w:rsidP="00FF46E4">
      <w:pPr>
        <w:spacing w:line="480" w:lineRule="auto"/>
        <w:ind w:left="720" w:hanging="720"/>
      </w:pPr>
      <w:r>
        <w:t xml:space="preserve">Lewinsohn, P. M., Sullivan, J. M., &amp; Grosscup, S. J. (1980). Changing reinforcing events: An approach to the treatment of depression. </w:t>
      </w:r>
      <w:r w:rsidRPr="00FF46E4">
        <w:rPr>
          <w:i/>
          <w:iCs/>
        </w:rPr>
        <w:t>Psychotherapy: Theory, Research, Practice, Training, 47</w:t>
      </w:r>
      <w:r>
        <w:t>, 322–334.</w:t>
      </w:r>
    </w:p>
    <w:p w:rsidR="00F22446" w:rsidRDefault="00F22446" w:rsidP="00A33D9D">
      <w:pPr>
        <w:spacing w:line="480" w:lineRule="auto"/>
        <w:ind w:left="720" w:hanging="720"/>
      </w:pPr>
      <w:r w:rsidRPr="007234A8">
        <w:lastRenderedPageBreak/>
        <w:t>Libet</w:t>
      </w:r>
      <w:r>
        <w:t>, J., &amp;</w:t>
      </w:r>
      <w:r w:rsidRPr="007234A8">
        <w:t xml:space="preserve"> Lewinsohn</w:t>
      </w:r>
      <w:r>
        <w:t>, P. M.</w:t>
      </w:r>
      <w:r w:rsidRPr="007234A8">
        <w:t xml:space="preserve"> (1973</w:t>
      </w:r>
      <w:r>
        <w:t xml:space="preserve">). The concept of social skill with special reference to the behavior of depressed persons. </w:t>
      </w:r>
      <w:r w:rsidRPr="007234A8">
        <w:rPr>
          <w:i/>
          <w:iCs/>
        </w:rPr>
        <w:t>Journal of Consulting and Clinical Psychology, 40</w:t>
      </w:r>
      <w:r>
        <w:t>, 304-312.</w:t>
      </w:r>
    </w:p>
    <w:p w:rsidR="00F22446" w:rsidRPr="00A33D9D" w:rsidRDefault="00F22446" w:rsidP="00A33D9D">
      <w:pPr>
        <w:spacing w:line="480" w:lineRule="auto"/>
        <w:ind w:left="720" w:hanging="720"/>
      </w:pPr>
      <w:r>
        <w:t xml:space="preserve">Ly, K. H., Trüschel, A., Jarl, L., Magnusson, S., Windahl, T., Johansson, R., et al. (2014). Behavioural activation versus mindfulness-based guided self-help treatment administered through a smartphone application: A randomized controlled trial. </w:t>
      </w:r>
      <w:r>
        <w:rPr>
          <w:i/>
        </w:rPr>
        <w:t>BMJ O</w:t>
      </w:r>
      <w:r w:rsidRPr="005D4F2E">
        <w:rPr>
          <w:i/>
        </w:rPr>
        <w:t>pen, 4</w:t>
      </w:r>
      <w:r w:rsidRPr="00A33D9D">
        <w:t>, e003440.</w:t>
      </w:r>
      <w:r>
        <w:t xml:space="preserve"> </w:t>
      </w:r>
      <w:r w:rsidRPr="00A33D9D">
        <w:t>doi:10.1136/bmjopen-2013-003440</w:t>
      </w:r>
    </w:p>
    <w:p w:rsidR="00F22446" w:rsidRDefault="00F22446" w:rsidP="007133C1">
      <w:pPr>
        <w:spacing w:line="480" w:lineRule="auto"/>
        <w:ind w:left="720" w:hanging="720"/>
      </w:pPr>
      <w:r w:rsidRPr="00097B54">
        <w:t xml:space="preserve">Martell, C. R., Addis, M. E., &amp; Jacobson, N. S. (2001). </w:t>
      </w:r>
      <w:r w:rsidRPr="00097B54">
        <w:rPr>
          <w:i/>
          <w:iCs/>
        </w:rPr>
        <w:t>Depression in context: Strategies for guided action</w:t>
      </w:r>
      <w:r w:rsidRPr="00097B54">
        <w:t>. New York: Norton.</w:t>
      </w:r>
    </w:p>
    <w:p w:rsidR="00F22446" w:rsidRDefault="00F22446" w:rsidP="0036249E">
      <w:pPr>
        <w:spacing w:line="480" w:lineRule="auto"/>
        <w:ind w:left="720" w:hanging="720"/>
      </w:pPr>
      <w:r>
        <w:t xml:space="preserve">MacPherson, L., Matusiewicz, A. K., Strong, D. R., Hopko, D. R., Brown, R. A., Tull, M. T., et al. (2010). Randomized controlled trial of behavioral activation smoking cessation treatment for smokers with elevated depressive symptoms. </w:t>
      </w:r>
      <w:r w:rsidRPr="0036249E">
        <w:rPr>
          <w:i/>
          <w:iCs/>
        </w:rPr>
        <w:t>Journal of Consulting and Clinical Psychology, 78</w:t>
      </w:r>
      <w:r>
        <w:t>, 55−61.</w:t>
      </w:r>
    </w:p>
    <w:p w:rsidR="00F22446" w:rsidRDefault="00F22446" w:rsidP="0089246E">
      <w:pPr>
        <w:spacing w:line="480" w:lineRule="auto"/>
        <w:ind w:left="720" w:hanging="720"/>
      </w:pPr>
      <w:r>
        <w:t xml:space="preserve">MacPhillamy, D. J., &amp; Lewinsohn, P. M. (1974). Depression as a function of levels of desired and obtained pleasure. </w:t>
      </w:r>
      <w:r w:rsidRPr="00814BE0">
        <w:rPr>
          <w:i/>
          <w:iCs/>
        </w:rPr>
        <w:t>Journal of Abnormal Psychology, 83</w:t>
      </w:r>
      <w:r>
        <w:t>, 651−657.</w:t>
      </w:r>
    </w:p>
    <w:p w:rsidR="00F22446" w:rsidRDefault="00F22446" w:rsidP="0089246E">
      <w:pPr>
        <w:spacing w:line="480" w:lineRule="auto"/>
        <w:ind w:left="720" w:hanging="720"/>
      </w:pPr>
      <w:r w:rsidRPr="00A139C7">
        <w:t xml:space="preserve">Matchim, Y., &amp; Armer, J. M. (2007). Measuring the psychological impact of mindfulness meditation on health among patients with cancer: A literature review. </w:t>
      </w:r>
      <w:r w:rsidRPr="0089246E">
        <w:rPr>
          <w:i/>
          <w:iCs/>
        </w:rPr>
        <w:t>Oncology Nursing Forum, 34</w:t>
      </w:r>
      <w:r w:rsidRPr="00A139C7">
        <w:t>, 1059–1066.</w:t>
      </w:r>
    </w:p>
    <w:p w:rsidR="00F22446" w:rsidRDefault="00F22446" w:rsidP="00D126AC">
      <w:pPr>
        <w:autoSpaceDE w:val="0"/>
        <w:autoSpaceDN w:val="0"/>
        <w:adjustRightInd w:val="0"/>
        <w:spacing w:line="480" w:lineRule="auto"/>
        <w:ind w:left="720" w:hanging="720"/>
      </w:pPr>
      <w:r w:rsidRPr="00BE7915">
        <w:t xml:space="preserve">Miller, J. J., Fletcher, K., &amp; Kabat-Zinn, J. (1995). </w:t>
      </w:r>
      <w:r w:rsidRPr="006D674D">
        <w:t>Three-year follow-up and clinical implications of a mindfulness meditation-based stress reduction intervention in the treatment of an</w:t>
      </w:r>
      <w:r>
        <w:t>xiety disorders</w:t>
      </w:r>
      <w:r w:rsidRPr="006D674D">
        <w:t xml:space="preserve">. </w:t>
      </w:r>
      <w:r w:rsidRPr="006D674D">
        <w:rPr>
          <w:i/>
          <w:iCs/>
        </w:rPr>
        <w:t>General Hospital Psychiatry, 17</w:t>
      </w:r>
      <w:r w:rsidRPr="006D674D">
        <w:t>, 192-200.</w:t>
      </w:r>
    </w:p>
    <w:p w:rsidR="00F22446" w:rsidRDefault="00F22446" w:rsidP="00D126AC">
      <w:pPr>
        <w:autoSpaceDE w:val="0"/>
        <w:autoSpaceDN w:val="0"/>
        <w:adjustRightInd w:val="0"/>
        <w:spacing w:line="480" w:lineRule="auto"/>
        <w:ind w:left="720" w:hanging="720"/>
      </w:pPr>
      <w:r>
        <w:lastRenderedPageBreak/>
        <w:t xml:space="preserve">Mowbray, C. T., Mandiberg, J., Stein, C. H., Kopels, S., Curlin, C., Megivern, D., et al. (2006). Campus mental health services: Recommendations for change. </w:t>
      </w:r>
      <w:r w:rsidRPr="00D126AC">
        <w:rPr>
          <w:i/>
          <w:iCs/>
        </w:rPr>
        <w:t>American Journal of Orthopsychiatry, 76</w:t>
      </w:r>
      <w:r>
        <w:t>, 226–237.</w:t>
      </w:r>
    </w:p>
    <w:p w:rsidR="00F22446" w:rsidRDefault="00F22446" w:rsidP="007133C1">
      <w:pPr>
        <w:spacing w:line="480" w:lineRule="auto"/>
        <w:ind w:left="720" w:hanging="720"/>
      </w:pPr>
      <w:r>
        <w:t>Mrazek, P</w:t>
      </w:r>
      <w:r w:rsidRPr="001A3F6A">
        <w:t>.</w:t>
      </w:r>
      <w:r>
        <w:t xml:space="preserve"> J.</w:t>
      </w:r>
      <w:r w:rsidRPr="001A3F6A">
        <w:t xml:space="preserve">, </w:t>
      </w:r>
      <w:r>
        <w:t xml:space="preserve">&amp; </w:t>
      </w:r>
      <w:r w:rsidRPr="001A3F6A">
        <w:t>Haggerty, R.</w:t>
      </w:r>
      <w:r>
        <w:t xml:space="preserve"> J. (Eds.).</w:t>
      </w:r>
      <w:r w:rsidRPr="001A3F6A">
        <w:t xml:space="preserve"> (1994). </w:t>
      </w:r>
      <w:r w:rsidRPr="00F47DEF">
        <w:rPr>
          <w:i/>
          <w:iCs/>
        </w:rPr>
        <w:t>Reducing risks for mental disorders: Frontiers for preventive intervention research</w:t>
      </w:r>
      <w:r w:rsidRPr="001A3F6A">
        <w:t xml:space="preserve">. </w:t>
      </w:r>
      <w:r>
        <w:t>Washington, DC: National Academy Press.</w:t>
      </w:r>
    </w:p>
    <w:p w:rsidR="00F22446" w:rsidRDefault="00F22446" w:rsidP="00071F4B">
      <w:pPr>
        <w:spacing w:line="480" w:lineRule="auto"/>
        <w:ind w:left="720" w:hanging="720"/>
      </w:pPr>
      <w:r>
        <w:t>Nezu, A. M., Ronan, G. F., Meadows, E. A., &amp; McClure, K. S. (2000). Practitioner’s guide to empirically based measures of depression. New York: Kluwer Academic/Plenum Publishers.</w:t>
      </w:r>
    </w:p>
    <w:p w:rsidR="00F22446" w:rsidRDefault="00F22446" w:rsidP="006B6696">
      <w:pPr>
        <w:spacing w:line="480" w:lineRule="auto"/>
        <w:ind w:left="720" w:hanging="720"/>
      </w:pPr>
      <w:r w:rsidRPr="00BE7915">
        <w:rPr>
          <w:lang w:val="fi-FI"/>
        </w:rPr>
        <w:t xml:space="preserve">Nolen-Hoeksema, S., &amp; Hilt, L. (2009). </w:t>
      </w:r>
      <w:r>
        <w:t>Gender differences in depression. In I. H. Gotlib &amp; C. L. Hammen (Eds.), Handbook of depression (2</w:t>
      </w:r>
      <w:r w:rsidRPr="006B6696">
        <w:rPr>
          <w:vertAlign w:val="superscript"/>
        </w:rPr>
        <w:t>nd</w:t>
      </w:r>
      <w:r>
        <w:t xml:space="preserve"> ed., pp. 386–404). New York, NY: Guilford Press.</w:t>
      </w:r>
    </w:p>
    <w:p w:rsidR="00F22446" w:rsidRDefault="00F22446" w:rsidP="00054154">
      <w:pPr>
        <w:spacing w:line="480" w:lineRule="auto"/>
        <w:ind w:left="720" w:hanging="720"/>
      </w:pPr>
      <w:r w:rsidRPr="00A14AF0">
        <w:t xml:space="preserve">Nolen-Hoeksema, S. &amp; Morrow, J. (1991). </w:t>
      </w:r>
      <w:r w:rsidRPr="00654889">
        <w:t>A prospective study of depression and posttraumatic stress symptoms afte</w:t>
      </w:r>
      <w:r>
        <w:t>r a natural disaster: The 1989 Lorna P</w:t>
      </w:r>
      <w:r w:rsidRPr="00654889">
        <w:t xml:space="preserve">rieta earthquake. </w:t>
      </w:r>
      <w:r w:rsidRPr="00654889">
        <w:rPr>
          <w:i/>
        </w:rPr>
        <w:t>Journal of Personality and Social Psychology</w:t>
      </w:r>
      <w:r w:rsidRPr="00654889">
        <w:t xml:space="preserve">, </w:t>
      </w:r>
      <w:r w:rsidRPr="00654889">
        <w:rPr>
          <w:i/>
        </w:rPr>
        <w:t>61</w:t>
      </w:r>
      <w:r w:rsidRPr="00654889">
        <w:t>, 115-121.</w:t>
      </w:r>
    </w:p>
    <w:p w:rsidR="00F22446" w:rsidRDefault="00F22446" w:rsidP="00FD1DBB">
      <w:pPr>
        <w:spacing w:line="480" w:lineRule="auto"/>
        <w:ind w:left="720" w:hanging="720"/>
      </w:pPr>
      <w:r>
        <w:t xml:space="preserve">Nolen-Hoeksema, S., Parker, L. E., &amp; Larson, J. (1994). Ruminative coping with depressed mood following loss. </w:t>
      </w:r>
      <w:r w:rsidRPr="00811F07">
        <w:rPr>
          <w:i/>
          <w:iCs/>
        </w:rPr>
        <w:t>Journal of Personality and Social Psychology, 67</w:t>
      </w:r>
      <w:r>
        <w:t>, 92–104.</w:t>
      </w:r>
    </w:p>
    <w:p w:rsidR="00F22446" w:rsidRPr="00FD1DBB" w:rsidRDefault="00F22446" w:rsidP="00FD1DBB">
      <w:pPr>
        <w:spacing w:line="480" w:lineRule="auto"/>
        <w:ind w:left="720" w:hanging="720"/>
      </w:pPr>
      <w:r w:rsidRPr="00FD1DBB">
        <w:t xml:space="preserve">Oman, D., Shapiro, S. L., Thoresen, C. E., Plante, T. G., &amp; Flinders, T. (2008). Meditation lowers stress and supports forgiveness among college students: A randomized controlled trial. </w:t>
      </w:r>
      <w:r w:rsidRPr="00FD1DBB">
        <w:rPr>
          <w:i/>
        </w:rPr>
        <w:t>Journal of American College Health, 56</w:t>
      </w:r>
      <w:r w:rsidRPr="00FD1DBB">
        <w:t>, 569-578.</w:t>
      </w:r>
    </w:p>
    <w:p w:rsidR="00F22446" w:rsidRDefault="00F22446" w:rsidP="00F77598">
      <w:pPr>
        <w:spacing w:line="480" w:lineRule="auto"/>
        <w:ind w:left="720" w:hanging="720"/>
      </w:pPr>
      <w:r>
        <w:t xml:space="preserve">Pace, T. M., &amp; Dixon, D. N. (1993). Changes in depressive self-schemata and depressive symptoms following cognitive therapy. </w:t>
      </w:r>
      <w:r w:rsidRPr="00F77598">
        <w:rPr>
          <w:i/>
          <w:iCs/>
        </w:rPr>
        <w:t>Journal of Counseling Psychology, 40</w:t>
      </w:r>
      <w:r>
        <w:t>, 288–294.</w:t>
      </w:r>
    </w:p>
    <w:p w:rsidR="00F22446" w:rsidRDefault="00F22446" w:rsidP="0036249E">
      <w:pPr>
        <w:spacing w:line="480" w:lineRule="auto"/>
        <w:ind w:left="720" w:hanging="720"/>
      </w:pPr>
      <w:r>
        <w:lastRenderedPageBreak/>
        <w:t xml:space="preserve">Pagoto, S., Bodenlos, J. S., Schneider, K. L., &amp; Spates, C. R. (2008). Initial investigation of behavioral activation therapy for co-morbid major depressive disorder and obesity. </w:t>
      </w:r>
      <w:r w:rsidRPr="0036249E">
        <w:rPr>
          <w:i/>
          <w:iCs/>
        </w:rPr>
        <w:t>Psychotherapy Theory, Research, Practice, and Training, 45</w:t>
      </w:r>
      <w:r>
        <w:t>, 410−415.</w:t>
      </w:r>
    </w:p>
    <w:p w:rsidR="00F22446" w:rsidRDefault="00F22446" w:rsidP="0089246E">
      <w:pPr>
        <w:spacing w:line="480" w:lineRule="auto"/>
        <w:ind w:left="720" w:hanging="720"/>
      </w:pPr>
      <w:r>
        <w:t xml:space="preserve">Porter, J. F., Spates, C., &amp; Smitham, S. S. (2004). Behavioral activation group therapy in public mental health settings: Pilot investigation. </w:t>
      </w:r>
      <w:r w:rsidRPr="009D1D0D">
        <w:rPr>
          <w:i/>
          <w:iCs/>
        </w:rPr>
        <w:t>Professional Psychology: Research and Practice, 35</w:t>
      </w:r>
      <w:r>
        <w:t>, 297–301.</w:t>
      </w:r>
    </w:p>
    <w:p w:rsidR="00F22446" w:rsidRDefault="00F22446" w:rsidP="0089246E">
      <w:pPr>
        <w:spacing w:line="480" w:lineRule="auto"/>
        <w:ind w:left="720" w:hanging="720"/>
      </w:pPr>
      <w:r w:rsidRPr="00A139C7">
        <w:t xml:space="preserve">Praissman, S. (2008). Mindfulness-based stress reduction: A literature review and clinicians’ guide. </w:t>
      </w:r>
      <w:r w:rsidRPr="0089246E">
        <w:rPr>
          <w:i/>
          <w:iCs/>
        </w:rPr>
        <w:t>Journal of the American Academy of Nurse Practitioners, 20</w:t>
      </w:r>
      <w:r w:rsidRPr="00A139C7">
        <w:t>, 212–216.</w:t>
      </w:r>
    </w:p>
    <w:p w:rsidR="00F22446" w:rsidRDefault="00F22446" w:rsidP="00B108C0">
      <w:pPr>
        <w:spacing w:line="480" w:lineRule="auto"/>
        <w:ind w:left="720" w:hanging="720"/>
      </w:pPr>
      <w:r>
        <w:t xml:space="preserve">Pritchard, M. E., &amp; Wilson, G. (2003). Using emotional and social factors to predict student success. </w:t>
      </w:r>
      <w:r w:rsidRPr="00B108C0">
        <w:rPr>
          <w:i/>
          <w:iCs/>
        </w:rPr>
        <w:t>Journal of College Student Development, 44,</w:t>
      </w:r>
      <w:r>
        <w:t xml:space="preserve"> 18–27.</w:t>
      </w:r>
    </w:p>
    <w:p w:rsidR="00F22446" w:rsidRDefault="00F22446" w:rsidP="00FB04B0">
      <w:pPr>
        <w:autoSpaceDE w:val="0"/>
        <w:autoSpaceDN w:val="0"/>
        <w:adjustRightInd w:val="0"/>
        <w:spacing w:line="480" w:lineRule="auto"/>
        <w:ind w:left="720" w:hanging="720"/>
      </w:pPr>
      <w:r w:rsidRPr="00B73D46">
        <w:t>Ramel</w:t>
      </w:r>
      <w:r>
        <w:t>, W., Goldin, P., Carmona, P.</w:t>
      </w:r>
      <w:r w:rsidRPr="00B73D46">
        <w:t xml:space="preserve">, &amp; McQuaid, J. (2004). The effects of mindfulness meditation on cognitive processes and affect in patients with past depression. </w:t>
      </w:r>
      <w:r w:rsidRPr="00B73D46">
        <w:rPr>
          <w:i/>
          <w:iCs/>
        </w:rPr>
        <w:t>Cognitive Therapy and Research</w:t>
      </w:r>
      <w:r>
        <w:t xml:space="preserve">, </w:t>
      </w:r>
      <w:r w:rsidRPr="00B73D46">
        <w:rPr>
          <w:i/>
          <w:iCs/>
        </w:rPr>
        <w:t>28</w:t>
      </w:r>
      <w:r w:rsidRPr="00B73D46">
        <w:t>, 433-455</w:t>
      </w:r>
      <w:r>
        <w:t>.</w:t>
      </w:r>
    </w:p>
    <w:p w:rsidR="00F22446" w:rsidRPr="00F77598" w:rsidRDefault="00F22446" w:rsidP="00FB04B0">
      <w:pPr>
        <w:autoSpaceDE w:val="0"/>
        <w:autoSpaceDN w:val="0"/>
        <w:adjustRightInd w:val="0"/>
        <w:spacing w:line="480" w:lineRule="auto"/>
        <w:ind w:left="720" w:hanging="720"/>
      </w:pPr>
      <w:r>
        <w:t xml:space="preserve">Reagin, D. M. (1982). </w:t>
      </w:r>
      <w:r w:rsidRPr="00F77598">
        <w:t>Time-limited cognitive-behavioral therapy for depressed college students</w:t>
      </w:r>
      <w:r>
        <w:t xml:space="preserve">. </w:t>
      </w:r>
      <w:r w:rsidRPr="00E817BE">
        <w:rPr>
          <w:i/>
          <w:iCs/>
        </w:rPr>
        <w:t>Dissertation Abstracts International, 43</w:t>
      </w:r>
      <w:r>
        <w:t>,</w:t>
      </w:r>
      <w:r w:rsidRPr="00E817BE">
        <w:t xml:space="preserve"> 1481-1482</w:t>
      </w:r>
      <w:r>
        <w:t xml:space="preserve"> </w:t>
      </w:r>
    </w:p>
    <w:p w:rsidR="00F22446" w:rsidRDefault="00F22446" w:rsidP="00AB0822">
      <w:pPr>
        <w:spacing w:line="480" w:lineRule="auto"/>
        <w:ind w:left="720" w:hanging="720"/>
      </w:pPr>
      <w:r w:rsidRPr="0009716E">
        <w:t xml:space="preserve">Reynolds, E. </w:t>
      </w:r>
      <w:r>
        <w:t>K., MacPherson, L.</w:t>
      </w:r>
      <w:r w:rsidRPr="0009716E">
        <w:t xml:space="preserve">, Tull, M. </w:t>
      </w:r>
      <w:r>
        <w:t>T.</w:t>
      </w:r>
      <w:r w:rsidRPr="0009716E">
        <w:t xml:space="preserve">, Baruch, D. </w:t>
      </w:r>
      <w:r>
        <w:t>E.</w:t>
      </w:r>
      <w:r w:rsidRPr="0009716E">
        <w:t>, &amp; Lejuez, C.</w:t>
      </w:r>
      <w:r>
        <w:t xml:space="preserve"> W.</w:t>
      </w:r>
      <w:r w:rsidRPr="0009716E">
        <w:t xml:space="preserve"> (2011). Integration of the brief behavioral activatio</w:t>
      </w:r>
      <w:r>
        <w:t>n treatment for depression (BATD</w:t>
      </w:r>
      <w:r w:rsidRPr="0009716E">
        <w:t xml:space="preserve">) into a college orientation program: Depression and alcohol outcomes. </w:t>
      </w:r>
      <w:r w:rsidRPr="0009716E">
        <w:rPr>
          <w:i/>
          <w:iCs/>
        </w:rPr>
        <w:t>Journal of Counseling Psychology, Journal</w:t>
      </w:r>
      <w:r>
        <w:t xml:space="preserve">, </w:t>
      </w:r>
      <w:r w:rsidRPr="0009716E">
        <w:t>doi: 10.1037/a0024634.</w:t>
      </w:r>
    </w:p>
    <w:p w:rsidR="00F22446" w:rsidRPr="0009716E" w:rsidRDefault="00F22446" w:rsidP="00A92F58">
      <w:pPr>
        <w:autoSpaceDE w:val="0"/>
        <w:autoSpaceDN w:val="0"/>
        <w:adjustRightInd w:val="0"/>
        <w:spacing w:line="480" w:lineRule="auto"/>
        <w:ind w:left="720" w:hanging="720"/>
      </w:pPr>
      <w:r w:rsidRPr="006D674D">
        <w:t xml:space="preserve">Rosenzweig, S., Reibel, D. K., Greeson, J. M., Brainard, G. C., &amp; Hojat, M. (2003). Mindfulness-based stress reduction lowers psychological distress in medical students. </w:t>
      </w:r>
      <w:r w:rsidRPr="006D674D">
        <w:rPr>
          <w:i/>
          <w:iCs/>
        </w:rPr>
        <w:t>Teaching and Learning in Medicine, 15</w:t>
      </w:r>
      <w:r w:rsidRPr="006D674D">
        <w:t>, 88-92.</w:t>
      </w:r>
    </w:p>
    <w:p w:rsidR="00F22446" w:rsidRDefault="00F22446" w:rsidP="008273A5">
      <w:pPr>
        <w:spacing w:line="480" w:lineRule="auto"/>
        <w:ind w:left="720" w:hanging="720"/>
      </w:pPr>
      <w:r>
        <w:lastRenderedPageBreak/>
        <w:t xml:space="preserve">Saules, K. K., Pomerleau, C. S., Snedecor, S. M., Mehringer, A. M., Shadle, M. B., Kurth, C., et al. (2004). Relationship of onset of cigarette smoking during college to alcohol use, dieting concerns, and depressed mood: Results from the Young Women’s Health Survey. </w:t>
      </w:r>
      <w:r w:rsidRPr="005677BE">
        <w:rPr>
          <w:i/>
          <w:iCs/>
        </w:rPr>
        <w:t>Addictive Behaviors</w:t>
      </w:r>
      <w:r>
        <w:t xml:space="preserve">, </w:t>
      </w:r>
      <w:r w:rsidRPr="005D5350">
        <w:rPr>
          <w:i/>
          <w:iCs/>
        </w:rPr>
        <w:t>29</w:t>
      </w:r>
      <w:r>
        <w:t>, 893–899.</w:t>
      </w:r>
    </w:p>
    <w:p w:rsidR="00F22446" w:rsidRDefault="00F22446" w:rsidP="008273A5">
      <w:pPr>
        <w:spacing w:line="480" w:lineRule="auto"/>
        <w:ind w:left="720" w:hanging="720"/>
      </w:pPr>
      <w:r w:rsidRPr="00A139C7">
        <w:t>Seligman, M. E., Schulman, B. S., DeRubeis, R. J., &amp; Hollon, S. D.</w:t>
      </w:r>
      <w:r>
        <w:t xml:space="preserve"> </w:t>
      </w:r>
      <w:r w:rsidRPr="00A139C7">
        <w:t xml:space="preserve">(1999). The prevention of depression and anxiety. </w:t>
      </w:r>
      <w:r w:rsidRPr="00A139C7">
        <w:rPr>
          <w:i/>
          <w:iCs/>
        </w:rPr>
        <w:t>Prevention &amp; Treatment, 2</w:t>
      </w:r>
      <w:r w:rsidRPr="00A139C7">
        <w:t xml:space="preserve">, Article 8. Retrieved September 22, 2011, from </w:t>
      </w:r>
      <w:r w:rsidRPr="007068ED">
        <w:t>http://journals.apa.org/prevention/</w:t>
      </w:r>
      <w:r>
        <w:t xml:space="preserve"> </w:t>
      </w:r>
      <w:r w:rsidRPr="00A139C7">
        <w:t>volume2/pre0020008a.html</w:t>
      </w:r>
    </w:p>
    <w:p w:rsidR="00F22446" w:rsidRDefault="00F22446" w:rsidP="00C60FD6">
      <w:pPr>
        <w:spacing w:line="480" w:lineRule="auto"/>
        <w:ind w:left="720" w:hanging="720"/>
      </w:pPr>
      <w:r w:rsidRPr="004031A5">
        <w:rPr>
          <w:lang w:val="de-DE"/>
        </w:rPr>
        <w:t xml:space="preserve">Serras, A., Saules, K., Cranford, J., &amp; Eisenberg, D. (2010). </w:t>
      </w:r>
      <w:r w:rsidRPr="0014791E">
        <w:t xml:space="preserve">Self-injury, substance use, and associated risk factors in a multi-campus probability sample of college students. </w:t>
      </w:r>
      <w:r w:rsidRPr="0014791E">
        <w:rPr>
          <w:i/>
          <w:iCs/>
        </w:rPr>
        <w:t>Psychology of Addictive Behaviors</w:t>
      </w:r>
      <w:r>
        <w:t xml:space="preserve">, </w:t>
      </w:r>
      <w:r w:rsidRPr="005D5350">
        <w:rPr>
          <w:i/>
          <w:iCs/>
        </w:rPr>
        <w:t>24</w:t>
      </w:r>
      <w:r w:rsidRPr="0014791E">
        <w:t xml:space="preserve">, 119-128. </w:t>
      </w:r>
    </w:p>
    <w:p w:rsidR="00F22446" w:rsidRPr="00A139C7" w:rsidRDefault="00F22446" w:rsidP="0089246E">
      <w:pPr>
        <w:autoSpaceDE w:val="0"/>
        <w:autoSpaceDN w:val="0"/>
        <w:adjustRightInd w:val="0"/>
        <w:spacing w:line="480" w:lineRule="auto"/>
        <w:ind w:left="720" w:hanging="720"/>
      </w:pPr>
      <w:r w:rsidRPr="00A139C7">
        <w:t>Shapiro, S. L., Brown, K. W., Thoresen, C., &amp; Plante, T. G. (2011). The moderation of mindfulness-based stress reduction</w:t>
      </w:r>
      <w:r>
        <w:t xml:space="preserve"> effects by trait mindfulness: R</w:t>
      </w:r>
      <w:r w:rsidRPr="00A139C7">
        <w:t xml:space="preserve">esults from a randomized controlled trial. </w:t>
      </w:r>
      <w:r w:rsidRPr="0089246E">
        <w:rPr>
          <w:i/>
          <w:iCs/>
        </w:rPr>
        <w:t>Journal of Clinical Psychology, 67</w:t>
      </w:r>
      <w:r w:rsidRPr="00A139C7">
        <w:t>, 267-277.</w:t>
      </w:r>
    </w:p>
    <w:p w:rsidR="00F22446" w:rsidRDefault="00F22446" w:rsidP="0089246E">
      <w:pPr>
        <w:autoSpaceDE w:val="0"/>
        <w:autoSpaceDN w:val="0"/>
        <w:adjustRightInd w:val="0"/>
        <w:spacing w:line="480" w:lineRule="auto"/>
        <w:ind w:left="720" w:hanging="720"/>
      </w:pPr>
      <w:r w:rsidRPr="006D674D">
        <w:t xml:space="preserve">Shapiro, S. L., Schwartz, G. E., &amp; Bonner, G. (1998). Effects of mindfulness-based stress reduction on medical and premedical students. </w:t>
      </w:r>
      <w:r w:rsidRPr="006D674D">
        <w:rPr>
          <w:i/>
          <w:iCs/>
        </w:rPr>
        <w:t>Journal of Behavioral Medicine, 21</w:t>
      </w:r>
      <w:r w:rsidRPr="006D674D">
        <w:t>, 581-599.</w:t>
      </w:r>
    </w:p>
    <w:p w:rsidR="00F22446" w:rsidRDefault="00F22446" w:rsidP="008273A5">
      <w:pPr>
        <w:autoSpaceDE w:val="0"/>
        <w:autoSpaceDN w:val="0"/>
        <w:adjustRightInd w:val="0"/>
        <w:spacing w:line="480" w:lineRule="auto"/>
        <w:ind w:left="720" w:hanging="720"/>
      </w:pPr>
      <w:r w:rsidRPr="00A139C7">
        <w:t xml:space="preserve">Shennan C., Payne S., </w:t>
      </w:r>
      <w:r>
        <w:t xml:space="preserve">&amp; </w:t>
      </w:r>
      <w:r w:rsidRPr="00A139C7">
        <w:t xml:space="preserve">Fenlon D. (2011). What is the evidence for the use of mindfulness-based interventions in cancer care? A review. </w:t>
      </w:r>
      <w:r w:rsidRPr="008273A5">
        <w:rPr>
          <w:i/>
          <w:iCs/>
        </w:rPr>
        <w:t>Psycho-oncology, 20</w:t>
      </w:r>
      <w:r w:rsidRPr="00A139C7">
        <w:t>, 681–697.</w:t>
      </w:r>
    </w:p>
    <w:p w:rsidR="00F22446" w:rsidRDefault="00F22446" w:rsidP="0042704C">
      <w:pPr>
        <w:autoSpaceDE w:val="0"/>
        <w:autoSpaceDN w:val="0"/>
        <w:adjustRightInd w:val="0"/>
        <w:spacing w:line="480" w:lineRule="auto"/>
        <w:ind w:left="720" w:hanging="720"/>
      </w:pPr>
      <w:r>
        <w:t xml:space="preserve">Shaw, B. F. (1977). Comparison of cognitive therapy and behavior therapy in the treatment of depression. </w:t>
      </w:r>
      <w:r w:rsidRPr="0042704C">
        <w:rPr>
          <w:i/>
          <w:iCs/>
        </w:rPr>
        <w:t>Journal of Consulting and Clinical Psychology, 45</w:t>
      </w:r>
      <w:r>
        <w:t>, 543–551.</w:t>
      </w:r>
    </w:p>
    <w:p w:rsidR="00F22446" w:rsidRDefault="00F22446" w:rsidP="007133C1">
      <w:pPr>
        <w:autoSpaceDE w:val="0"/>
        <w:autoSpaceDN w:val="0"/>
        <w:adjustRightInd w:val="0"/>
        <w:spacing w:line="480" w:lineRule="auto"/>
        <w:ind w:left="720" w:hanging="720"/>
      </w:pPr>
      <w:r w:rsidRPr="00A139C7">
        <w:t>Speca, M., Carlson, L. E., Goodey, E., &amp; Angen, M. (2000). A</w:t>
      </w:r>
      <w:r>
        <w:t xml:space="preserve"> </w:t>
      </w:r>
      <w:r w:rsidRPr="00A139C7">
        <w:t>randomized, wait-list controlled clinical trial: The effect of a</w:t>
      </w:r>
      <w:r>
        <w:t xml:space="preserve"> </w:t>
      </w:r>
      <w:r w:rsidRPr="00A139C7">
        <w:t>mindfulness meditation–based stress reduction program on</w:t>
      </w:r>
      <w:r>
        <w:t xml:space="preserve"> </w:t>
      </w:r>
      <w:r w:rsidRPr="00A139C7">
        <w:lastRenderedPageBreak/>
        <w:t xml:space="preserve">mood and symptoms of stress in cancer outpatients. </w:t>
      </w:r>
      <w:r w:rsidRPr="008273A5">
        <w:rPr>
          <w:i/>
          <w:iCs/>
        </w:rPr>
        <w:t>Psychosomatic Medicine, 62</w:t>
      </w:r>
      <w:r w:rsidRPr="00A139C7">
        <w:t>, 613–622.</w:t>
      </w:r>
    </w:p>
    <w:p w:rsidR="00314019" w:rsidRDefault="00314019" w:rsidP="00314019">
      <w:pPr>
        <w:autoSpaceDE w:val="0"/>
        <w:autoSpaceDN w:val="0"/>
        <w:adjustRightInd w:val="0"/>
        <w:spacing w:line="480" w:lineRule="auto"/>
        <w:ind w:left="720" w:hanging="720"/>
      </w:pPr>
      <w:r w:rsidRPr="00314019">
        <w:t xml:space="preserve">Stahl, B., &amp; Goldstein, E. (2010). </w:t>
      </w:r>
      <w:r w:rsidRPr="00314019">
        <w:rPr>
          <w:i/>
        </w:rPr>
        <w:t>A Mindfulness-Based Stress Reduction workbook</w:t>
      </w:r>
      <w:r w:rsidRPr="00314019">
        <w:t xml:space="preserve">. Oakland, CA: New Harbinger Publications.  </w:t>
      </w:r>
    </w:p>
    <w:p w:rsidR="00F22446" w:rsidRDefault="00F22446" w:rsidP="00177E7B">
      <w:pPr>
        <w:autoSpaceDE w:val="0"/>
        <w:autoSpaceDN w:val="0"/>
        <w:adjustRightInd w:val="0"/>
        <w:spacing w:line="480" w:lineRule="auto"/>
        <w:ind w:left="720" w:hanging="720"/>
      </w:pPr>
      <w:r>
        <w:t xml:space="preserve">Sturmey, P. (2009). Behavioral activation is an evidence-based treatment for depression. </w:t>
      </w:r>
      <w:r w:rsidRPr="00177E7B">
        <w:rPr>
          <w:i/>
          <w:iCs/>
        </w:rPr>
        <w:t>Behavior Modiﬁcation, 33</w:t>
      </w:r>
      <w:r>
        <w:t>, 818−829.</w:t>
      </w:r>
    </w:p>
    <w:p w:rsidR="00F22446" w:rsidRDefault="00F22446" w:rsidP="00C60FD6">
      <w:pPr>
        <w:spacing w:line="480" w:lineRule="auto"/>
        <w:ind w:left="720" w:hanging="720"/>
      </w:pPr>
      <w:r>
        <w:t xml:space="preserve">Suicide Prevention Resource Center. (2004). </w:t>
      </w:r>
      <w:r w:rsidRPr="00C60FD6">
        <w:rPr>
          <w:i/>
          <w:iCs/>
        </w:rPr>
        <w:t>Promoting mental health and preventing suicide in college and university settings</w:t>
      </w:r>
      <w:r>
        <w:t>. Newton, MA: Education Development Center, Inc.</w:t>
      </w:r>
      <w:r w:rsidRPr="00C60FD6">
        <w:t xml:space="preserve"> </w:t>
      </w:r>
      <w:r>
        <w:t xml:space="preserve">Retrieved August 19, 2011, from </w:t>
      </w:r>
      <w:r w:rsidRPr="00A92F58">
        <w:t>http://www.sprc.org/library/college_sp_whitepaper.pdf</w:t>
      </w:r>
    </w:p>
    <w:p w:rsidR="00F22446" w:rsidRDefault="00F22446" w:rsidP="00F15E5B">
      <w:pPr>
        <w:spacing w:line="480" w:lineRule="auto"/>
        <w:ind w:left="720" w:hanging="720"/>
      </w:pPr>
      <w:r w:rsidRPr="00BE7915">
        <w:rPr>
          <w:lang w:val="it-IT"/>
        </w:rPr>
        <w:t xml:space="preserve">Teri, L., Logsdon, R. G., Uomoto, J., &amp; McCurry, S. M. (1997). </w:t>
      </w:r>
      <w:r>
        <w:t xml:space="preserve">Behavioral treatment of depression in dementia patients: A controlled clinical trial. </w:t>
      </w:r>
      <w:r w:rsidRPr="00224BB3">
        <w:rPr>
          <w:i/>
          <w:iCs/>
        </w:rPr>
        <w:t>J</w:t>
      </w:r>
      <w:r>
        <w:rPr>
          <w:i/>
          <w:iCs/>
        </w:rPr>
        <w:t>ournal of Gerontology:</w:t>
      </w:r>
      <w:r w:rsidRPr="00224BB3">
        <w:rPr>
          <w:i/>
          <w:iCs/>
        </w:rPr>
        <w:t xml:space="preserve"> Psycho</w:t>
      </w:r>
      <w:r>
        <w:rPr>
          <w:i/>
          <w:iCs/>
        </w:rPr>
        <w:t>logical Sciences</w:t>
      </w:r>
      <w:r w:rsidRPr="00224BB3">
        <w:rPr>
          <w:i/>
          <w:iCs/>
        </w:rPr>
        <w:t>, 52</w:t>
      </w:r>
      <w:r>
        <w:t>,159−166.</w:t>
      </w:r>
    </w:p>
    <w:p w:rsidR="00F22446" w:rsidRPr="00F15E5B" w:rsidRDefault="00F22446" w:rsidP="00F15E5B">
      <w:pPr>
        <w:spacing w:line="480" w:lineRule="auto"/>
        <w:ind w:left="720" w:hanging="720"/>
      </w:pPr>
      <w:r>
        <w:rPr>
          <w:color w:val="04140F"/>
          <w:spacing w:val="-6"/>
          <w:w w:val="105"/>
          <w:sz w:val="23"/>
          <w:szCs w:val="23"/>
        </w:rPr>
        <w:t>Treynor, W., Gonzalez, R., &amp; Nolen-Hoekserna, S. (2003). Rumination reconsidered: A</w:t>
      </w:r>
      <w:r>
        <w:rPr>
          <w:color w:val="04140F"/>
          <w:spacing w:val="-6"/>
          <w:w w:val="105"/>
          <w:sz w:val="23"/>
          <w:szCs w:val="23"/>
        </w:rPr>
        <w:br/>
        <w:t xml:space="preserve">psychometric analysis. </w:t>
      </w:r>
      <w:r>
        <w:rPr>
          <w:i/>
          <w:iCs/>
          <w:color w:val="04140F"/>
          <w:spacing w:val="-6"/>
          <w:w w:val="105"/>
          <w:sz w:val="23"/>
          <w:szCs w:val="23"/>
        </w:rPr>
        <w:t xml:space="preserve">Cognitive Therapy and Research, 27(3), </w:t>
      </w:r>
      <w:r>
        <w:rPr>
          <w:color w:val="04140F"/>
          <w:spacing w:val="-6"/>
          <w:w w:val="105"/>
          <w:sz w:val="23"/>
          <w:szCs w:val="23"/>
        </w:rPr>
        <w:t>247-259.</w:t>
      </w:r>
    </w:p>
    <w:p w:rsidR="00F22446" w:rsidRPr="00F15E5B" w:rsidRDefault="00F22446" w:rsidP="00F15E5B">
      <w:pPr>
        <w:spacing w:line="230" w:lineRule="auto"/>
        <w:ind w:left="810" w:hanging="810"/>
        <w:rPr>
          <w:color w:val="04140F"/>
          <w:spacing w:val="-6"/>
          <w:w w:val="105"/>
          <w:sz w:val="23"/>
          <w:szCs w:val="23"/>
        </w:rPr>
      </w:pPr>
    </w:p>
    <w:p w:rsidR="00F22446" w:rsidRDefault="00F22446" w:rsidP="00C60FD6">
      <w:pPr>
        <w:spacing w:line="480" w:lineRule="auto"/>
        <w:ind w:left="720" w:hanging="720"/>
      </w:pPr>
      <w:r>
        <w:t xml:space="preserve">Voelker, R. (2003). Mounting student depression taxing campus mental health services. </w:t>
      </w:r>
      <w:r w:rsidRPr="003539A8">
        <w:rPr>
          <w:i/>
          <w:iCs/>
        </w:rPr>
        <w:t>Journal of the American Medical Association, 289</w:t>
      </w:r>
      <w:r>
        <w:t>, 2055–2056.</w:t>
      </w:r>
    </w:p>
    <w:p w:rsidR="00F22446" w:rsidRDefault="00F22446" w:rsidP="0042704C">
      <w:pPr>
        <w:spacing w:line="480" w:lineRule="auto"/>
        <w:ind w:left="720" w:hanging="720"/>
      </w:pPr>
      <w:r>
        <w:t xml:space="preserve">Westen, D., &amp; Morrison, K. (2001). A multidimensional meta-analysis of treatments for depression, panic, and generalized anxiety disorder: An empirical examination of the status of empirically supported therapies. </w:t>
      </w:r>
      <w:r w:rsidRPr="0042704C">
        <w:rPr>
          <w:i/>
          <w:iCs/>
        </w:rPr>
        <w:t>Journal of Consulting and Clinical Psychology, 69</w:t>
      </w:r>
      <w:r>
        <w:t>, 875–899.</w:t>
      </w:r>
    </w:p>
    <w:p w:rsidR="00C151BD" w:rsidRDefault="00F22446" w:rsidP="00783ADC">
      <w:pPr>
        <w:spacing w:line="480" w:lineRule="auto"/>
        <w:ind w:left="720" w:hanging="720"/>
      </w:pPr>
      <w:r>
        <w:t xml:space="preserve">Wolf, N. J. &amp; Hopko, D. R. (2007). </w:t>
      </w:r>
      <w:r w:rsidRPr="00947ACE">
        <w:t>Psychosocial and pharmacological interventions for depressed adults in primary care: A critical review</w:t>
      </w:r>
      <w:r>
        <w:t xml:space="preserve">. </w:t>
      </w:r>
      <w:r w:rsidRPr="00947ACE">
        <w:rPr>
          <w:i/>
          <w:iCs/>
        </w:rPr>
        <w:t>Clinical Psychology Review, 28</w:t>
      </w:r>
      <w:r>
        <w:t>, 131-161.</w:t>
      </w:r>
    </w:p>
    <w:p w:rsidR="004721C5" w:rsidRPr="00BF1CE5" w:rsidRDefault="006E4565" w:rsidP="004721C5">
      <w:pPr>
        <w:spacing w:line="480" w:lineRule="auto"/>
        <w:ind w:left="720" w:hanging="720"/>
        <w:jc w:val="center"/>
        <w:rPr>
          <w:b/>
          <w:caps/>
        </w:rPr>
      </w:pPr>
      <w:r>
        <w:rPr>
          <w:b/>
          <w:caps/>
        </w:rPr>
        <w:lastRenderedPageBreak/>
        <w:t>Appendix</w:t>
      </w: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p w:rsidR="004721C5" w:rsidRDefault="004721C5" w:rsidP="004721C5">
      <w:pPr>
        <w:spacing w:line="480" w:lineRule="auto"/>
        <w:ind w:left="720" w:hanging="720"/>
        <w:jc w:val="cente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8"/>
        <w:gridCol w:w="2605"/>
        <w:gridCol w:w="2425"/>
        <w:gridCol w:w="2244"/>
      </w:tblGrid>
      <w:tr w:rsidR="00C151BD" w:rsidTr="00C43687">
        <w:tc>
          <w:tcPr>
            <w:tcW w:w="9540" w:type="dxa"/>
            <w:gridSpan w:val="4"/>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lastRenderedPageBreak/>
              <w:t>Table 1</w:t>
            </w:r>
          </w:p>
        </w:tc>
      </w:tr>
      <w:tr w:rsidR="00C151BD" w:rsidTr="00C43687">
        <w:tc>
          <w:tcPr>
            <w:tcW w:w="9540" w:type="dxa"/>
            <w:gridSpan w:val="4"/>
            <w:tcBorders>
              <w:top w:val="nil"/>
              <w:left w:val="nil"/>
              <w:right w:val="nil"/>
            </w:tcBorders>
          </w:tcPr>
          <w:p w:rsidR="00C151BD" w:rsidRPr="00113CBA" w:rsidRDefault="00C151BD" w:rsidP="00C43687">
            <w:pPr>
              <w:rPr>
                <w:rFonts w:ascii="Calibri" w:hAnsi="Calibri"/>
              </w:rPr>
            </w:pPr>
            <w:r w:rsidRPr="00113CBA">
              <w:rPr>
                <w:rFonts w:ascii="Calibri" w:hAnsi="Calibri"/>
                <w:i/>
                <w:sz w:val="22"/>
                <w:szCs w:val="22"/>
              </w:rPr>
              <w:t>Participant Characteristics Across Treatment Conditions</w:t>
            </w:r>
          </w:p>
        </w:tc>
      </w:tr>
      <w:tr w:rsidR="00C151BD" w:rsidTr="00C43687">
        <w:tc>
          <w:tcPr>
            <w:tcW w:w="2250" w:type="dxa"/>
            <w:tcBorders>
              <w:left w:val="nil"/>
              <w:right w:val="nil"/>
            </w:tcBorders>
          </w:tcPr>
          <w:p w:rsidR="00C151BD" w:rsidRPr="00113CBA" w:rsidRDefault="00C151BD" w:rsidP="00C43687">
            <w:pPr>
              <w:rPr>
                <w:rFonts w:ascii="Calibri" w:hAnsi="Calibri"/>
              </w:rPr>
            </w:pPr>
            <w:r w:rsidRPr="00113CBA">
              <w:rPr>
                <w:rFonts w:ascii="Calibri" w:hAnsi="Calibri"/>
                <w:sz w:val="22"/>
                <w:szCs w:val="22"/>
              </w:rPr>
              <w:t>Characteristics</w:t>
            </w:r>
          </w:p>
        </w:tc>
        <w:tc>
          <w:tcPr>
            <w:tcW w:w="2610" w:type="dxa"/>
            <w:tcBorders>
              <w:left w:val="nil"/>
              <w:right w:val="nil"/>
            </w:tcBorders>
          </w:tcPr>
          <w:p w:rsidR="00C151BD" w:rsidRPr="00113CBA" w:rsidRDefault="00C151BD" w:rsidP="00C43687">
            <w:pPr>
              <w:jc w:val="center"/>
              <w:rPr>
                <w:rFonts w:ascii="Calibri" w:hAnsi="Calibri"/>
              </w:rPr>
            </w:pPr>
            <w:r w:rsidRPr="00113CBA">
              <w:rPr>
                <w:rFonts w:ascii="Calibri" w:hAnsi="Calibri"/>
                <w:sz w:val="22"/>
                <w:szCs w:val="22"/>
              </w:rPr>
              <w:t>Mindfulness-Based Therapy</w:t>
            </w:r>
          </w:p>
          <w:p w:rsidR="00C151BD" w:rsidRPr="00113CBA" w:rsidRDefault="00C151BD" w:rsidP="00C43687">
            <w:pPr>
              <w:jc w:val="center"/>
              <w:rPr>
                <w:rFonts w:ascii="Calibri" w:hAnsi="Calibri"/>
              </w:rPr>
            </w:pPr>
            <w:r w:rsidRPr="00113CBA">
              <w:rPr>
                <w:rFonts w:ascii="Calibri" w:hAnsi="Calibri"/>
                <w:sz w:val="22"/>
                <w:szCs w:val="22"/>
              </w:rPr>
              <w:t>(n = 20)</w:t>
            </w:r>
          </w:p>
        </w:tc>
        <w:tc>
          <w:tcPr>
            <w:tcW w:w="2430" w:type="dxa"/>
            <w:tcBorders>
              <w:left w:val="nil"/>
              <w:right w:val="nil"/>
            </w:tcBorders>
          </w:tcPr>
          <w:p w:rsidR="00C151BD" w:rsidRPr="00113CBA" w:rsidRDefault="00C151BD" w:rsidP="00C43687">
            <w:pPr>
              <w:jc w:val="center"/>
              <w:rPr>
                <w:rFonts w:ascii="Calibri" w:hAnsi="Calibri"/>
              </w:rPr>
            </w:pPr>
            <w:r w:rsidRPr="00113CBA">
              <w:rPr>
                <w:rFonts w:ascii="Calibri" w:hAnsi="Calibri"/>
                <w:sz w:val="22"/>
                <w:szCs w:val="22"/>
              </w:rPr>
              <w:t>Behavioral Activation</w:t>
            </w:r>
          </w:p>
          <w:p w:rsidR="00C151BD" w:rsidRPr="00113CBA" w:rsidRDefault="00C151BD" w:rsidP="00C43687">
            <w:pPr>
              <w:jc w:val="center"/>
              <w:rPr>
                <w:rFonts w:ascii="Calibri" w:hAnsi="Calibri"/>
              </w:rPr>
            </w:pPr>
            <w:r w:rsidRPr="00113CBA">
              <w:rPr>
                <w:rFonts w:ascii="Calibri" w:hAnsi="Calibri"/>
                <w:sz w:val="22"/>
                <w:szCs w:val="22"/>
              </w:rPr>
              <w:t>(n = 16)</w:t>
            </w:r>
          </w:p>
        </w:tc>
        <w:tc>
          <w:tcPr>
            <w:tcW w:w="2250" w:type="dxa"/>
            <w:tcBorders>
              <w:left w:val="nil"/>
              <w:right w:val="nil"/>
            </w:tcBorders>
          </w:tcPr>
          <w:p w:rsidR="00C151BD" w:rsidRPr="00113CBA" w:rsidRDefault="00C151BD" w:rsidP="00C43687">
            <w:pPr>
              <w:jc w:val="center"/>
              <w:rPr>
                <w:rFonts w:ascii="Calibri" w:hAnsi="Calibri"/>
              </w:rPr>
            </w:pPr>
            <w:r w:rsidRPr="00113CBA">
              <w:rPr>
                <w:rFonts w:ascii="Calibri" w:hAnsi="Calibri"/>
                <w:sz w:val="22"/>
                <w:szCs w:val="22"/>
              </w:rPr>
              <w:t>Wait-List Control</w:t>
            </w:r>
          </w:p>
          <w:p w:rsidR="00C151BD" w:rsidRPr="00113CBA" w:rsidRDefault="00C151BD" w:rsidP="00C43687">
            <w:pPr>
              <w:jc w:val="center"/>
              <w:rPr>
                <w:rFonts w:ascii="Calibri" w:hAnsi="Calibri"/>
              </w:rPr>
            </w:pPr>
            <w:r w:rsidRPr="00113CBA">
              <w:rPr>
                <w:rFonts w:ascii="Calibri" w:hAnsi="Calibri"/>
                <w:sz w:val="22"/>
                <w:szCs w:val="22"/>
              </w:rPr>
              <w:t>(n = 14)</w:t>
            </w:r>
          </w:p>
        </w:tc>
      </w:tr>
      <w:tr w:rsidR="00C151BD" w:rsidTr="00C43687">
        <w:tc>
          <w:tcPr>
            <w:tcW w:w="2250" w:type="dxa"/>
            <w:tcBorders>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Age</w:t>
            </w:r>
          </w:p>
        </w:tc>
        <w:tc>
          <w:tcPr>
            <w:tcW w:w="2610" w:type="dxa"/>
            <w:tcBorders>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19.3 years (</w:t>
            </w:r>
            <w:r w:rsidRPr="00113CBA">
              <w:rPr>
                <w:rFonts w:ascii="Calibri" w:hAnsi="Calibri"/>
                <w:i/>
                <w:sz w:val="22"/>
                <w:szCs w:val="22"/>
              </w:rPr>
              <w:t>SD</w:t>
            </w:r>
            <w:r w:rsidRPr="00113CBA">
              <w:rPr>
                <w:rFonts w:ascii="Calibri" w:hAnsi="Calibri"/>
                <w:sz w:val="22"/>
                <w:szCs w:val="22"/>
              </w:rPr>
              <w:t xml:space="preserve"> = 1.9)</w:t>
            </w:r>
          </w:p>
        </w:tc>
        <w:tc>
          <w:tcPr>
            <w:tcW w:w="2430" w:type="dxa"/>
            <w:tcBorders>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19.3 years (</w:t>
            </w:r>
            <w:r w:rsidRPr="00113CBA">
              <w:rPr>
                <w:rFonts w:ascii="Calibri" w:hAnsi="Calibri"/>
                <w:i/>
                <w:sz w:val="22"/>
                <w:szCs w:val="22"/>
              </w:rPr>
              <w:t>SD</w:t>
            </w:r>
            <w:r w:rsidRPr="00113CBA">
              <w:rPr>
                <w:rFonts w:ascii="Calibri" w:hAnsi="Calibri"/>
                <w:sz w:val="22"/>
                <w:szCs w:val="22"/>
              </w:rPr>
              <w:t xml:space="preserve"> = 1.5)</w:t>
            </w:r>
          </w:p>
        </w:tc>
        <w:tc>
          <w:tcPr>
            <w:tcW w:w="2250" w:type="dxa"/>
            <w:tcBorders>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19.0 years (</w:t>
            </w:r>
            <w:r w:rsidRPr="00113CBA">
              <w:rPr>
                <w:rFonts w:ascii="Calibri" w:hAnsi="Calibri"/>
                <w:i/>
                <w:sz w:val="22"/>
                <w:szCs w:val="22"/>
              </w:rPr>
              <w:t>SD</w:t>
            </w:r>
            <w:r w:rsidRPr="00113CBA">
              <w:rPr>
                <w:rFonts w:ascii="Calibri" w:hAnsi="Calibri"/>
                <w:sz w:val="22"/>
                <w:szCs w:val="22"/>
              </w:rPr>
              <w:t xml:space="preserve"> = 1.5)</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Gender</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Female = 12, Male = 8</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Female = 11, Male = 5</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Female = 8, Male = 6</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Marital status</w:t>
            </w:r>
          </w:p>
        </w:tc>
        <w:tc>
          <w:tcPr>
            <w:tcW w:w="2610" w:type="dxa"/>
            <w:tcBorders>
              <w:top w:val="nil"/>
              <w:left w:val="nil"/>
              <w:bottom w:val="nil"/>
              <w:right w:val="nil"/>
            </w:tcBorders>
          </w:tcPr>
          <w:p w:rsidR="00C151BD" w:rsidRPr="00113CBA" w:rsidRDefault="00C151BD" w:rsidP="00C43687">
            <w:pPr>
              <w:rPr>
                <w:rFonts w:ascii="Calibri" w:hAnsi="Calibri"/>
              </w:rPr>
            </w:pPr>
          </w:p>
        </w:tc>
        <w:tc>
          <w:tcPr>
            <w:tcW w:w="2430" w:type="dxa"/>
            <w:tcBorders>
              <w:top w:val="nil"/>
              <w:left w:val="nil"/>
              <w:bottom w:val="nil"/>
              <w:right w:val="nil"/>
            </w:tcBorders>
          </w:tcPr>
          <w:p w:rsidR="00C151BD" w:rsidRPr="00113CBA" w:rsidRDefault="00C151BD" w:rsidP="00C43687">
            <w:pPr>
              <w:rPr>
                <w:rFonts w:ascii="Calibri" w:hAnsi="Calibri"/>
              </w:rPr>
            </w:pPr>
          </w:p>
        </w:tc>
        <w:tc>
          <w:tcPr>
            <w:tcW w:w="2250"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Single</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15 (75%)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6 (38%)</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9 (64%)</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Dating</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3 (15%)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9 (56%)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5 (36%)</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Married</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Widow/Widower</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Ethnicity</w:t>
            </w:r>
          </w:p>
        </w:tc>
        <w:tc>
          <w:tcPr>
            <w:tcW w:w="2610" w:type="dxa"/>
            <w:tcBorders>
              <w:top w:val="nil"/>
              <w:left w:val="nil"/>
              <w:bottom w:val="nil"/>
              <w:right w:val="nil"/>
            </w:tcBorders>
          </w:tcPr>
          <w:p w:rsidR="00C151BD" w:rsidRPr="00113CBA" w:rsidRDefault="00C151BD" w:rsidP="00C43687">
            <w:pPr>
              <w:rPr>
                <w:rFonts w:ascii="Calibri" w:hAnsi="Calibri"/>
              </w:rPr>
            </w:pPr>
          </w:p>
        </w:tc>
        <w:tc>
          <w:tcPr>
            <w:tcW w:w="2430" w:type="dxa"/>
            <w:tcBorders>
              <w:top w:val="nil"/>
              <w:left w:val="nil"/>
              <w:bottom w:val="nil"/>
              <w:right w:val="nil"/>
            </w:tcBorders>
          </w:tcPr>
          <w:p w:rsidR="00C151BD" w:rsidRPr="00113CBA" w:rsidRDefault="00C151BD" w:rsidP="00C43687">
            <w:pPr>
              <w:rPr>
                <w:rFonts w:ascii="Calibri" w:hAnsi="Calibri"/>
              </w:rPr>
            </w:pPr>
          </w:p>
        </w:tc>
        <w:tc>
          <w:tcPr>
            <w:tcW w:w="2250"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White/Caucasian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16 (80%)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14 (88%)</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8 (57%)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Black/African      American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Hispanic/Latino</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Asian American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Indian/Middle Eastern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Mixed Ethnicity</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3 (22%)</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Sexual Orientation</w:t>
            </w:r>
          </w:p>
        </w:tc>
        <w:tc>
          <w:tcPr>
            <w:tcW w:w="2610" w:type="dxa"/>
            <w:tcBorders>
              <w:top w:val="nil"/>
              <w:left w:val="nil"/>
              <w:bottom w:val="nil"/>
              <w:right w:val="nil"/>
            </w:tcBorders>
          </w:tcPr>
          <w:p w:rsidR="00C151BD" w:rsidRPr="00113CBA" w:rsidRDefault="00C151BD" w:rsidP="00C43687">
            <w:pPr>
              <w:rPr>
                <w:rFonts w:ascii="Calibri" w:hAnsi="Calibri"/>
              </w:rPr>
            </w:pPr>
          </w:p>
        </w:tc>
        <w:tc>
          <w:tcPr>
            <w:tcW w:w="2430" w:type="dxa"/>
            <w:tcBorders>
              <w:top w:val="nil"/>
              <w:left w:val="nil"/>
              <w:bottom w:val="nil"/>
              <w:right w:val="nil"/>
            </w:tcBorders>
          </w:tcPr>
          <w:p w:rsidR="00C151BD" w:rsidRPr="00113CBA" w:rsidRDefault="00C151BD" w:rsidP="00C43687">
            <w:pPr>
              <w:rPr>
                <w:rFonts w:ascii="Calibri" w:hAnsi="Calibri"/>
              </w:rPr>
            </w:pPr>
          </w:p>
        </w:tc>
        <w:tc>
          <w:tcPr>
            <w:tcW w:w="2250"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Heterosexual</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17 (85%)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14 (88%)</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13 (93%)</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Gay</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Lesbian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Bisexual</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Asexual</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b/>
                <w:sz w:val="22"/>
                <w:szCs w:val="22"/>
              </w:rPr>
              <w:t>Family Income</w:t>
            </w:r>
          </w:p>
        </w:tc>
        <w:tc>
          <w:tcPr>
            <w:tcW w:w="2610" w:type="dxa"/>
            <w:tcBorders>
              <w:top w:val="nil"/>
              <w:left w:val="nil"/>
              <w:bottom w:val="nil"/>
              <w:right w:val="nil"/>
            </w:tcBorders>
          </w:tcPr>
          <w:p w:rsidR="00C151BD" w:rsidRPr="00113CBA" w:rsidRDefault="00C151BD" w:rsidP="00C43687">
            <w:pPr>
              <w:rPr>
                <w:rFonts w:ascii="Calibri" w:hAnsi="Calibri"/>
              </w:rPr>
            </w:pPr>
          </w:p>
        </w:tc>
        <w:tc>
          <w:tcPr>
            <w:tcW w:w="2430" w:type="dxa"/>
            <w:tcBorders>
              <w:top w:val="nil"/>
              <w:left w:val="nil"/>
              <w:bottom w:val="nil"/>
              <w:right w:val="nil"/>
            </w:tcBorders>
          </w:tcPr>
          <w:p w:rsidR="00C151BD" w:rsidRPr="00113CBA" w:rsidRDefault="00C151BD" w:rsidP="00C43687">
            <w:pPr>
              <w:rPr>
                <w:rFonts w:ascii="Calibri" w:hAnsi="Calibri"/>
              </w:rPr>
            </w:pPr>
          </w:p>
        </w:tc>
        <w:tc>
          <w:tcPr>
            <w:tcW w:w="2250"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Less than $20,000</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4 (20%)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3 (19%)</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(14%)</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$20,000 - $40,000</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(12%)</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(14%)</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$40,000 - $60,000</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3 (19%)</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(14%)</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$60,000 - $80,000</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4 (20%)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4 (25%)</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4 (29%)</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$80,000 – 100,000</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3 (19%)</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3 (22%)</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More than $100,000</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7 (35%)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Prior Mindfulness Practices</w:t>
            </w:r>
          </w:p>
        </w:tc>
        <w:tc>
          <w:tcPr>
            <w:tcW w:w="2610" w:type="dxa"/>
            <w:tcBorders>
              <w:top w:val="nil"/>
              <w:left w:val="nil"/>
              <w:bottom w:val="nil"/>
              <w:right w:val="nil"/>
            </w:tcBorders>
          </w:tcPr>
          <w:p w:rsidR="00C151BD" w:rsidRPr="00113CBA" w:rsidRDefault="00C151BD" w:rsidP="00C43687">
            <w:pPr>
              <w:jc w:val="center"/>
              <w:rPr>
                <w:rFonts w:ascii="Calibri" w:hAnsi="Calibri"/>
              </w:rPr>
            </w:pPr>
          </w:p>
        </w:tc>
        <w:tc>
          <w:tcPr>
            <w:tcW w:w="2430" w:type="dxa"/>
            <w:tcBorders>
              <w:top w:val="nil"/>
              <w:left w:val="nil"/>
              <w:bottom w:val="nil"/>
              <w:right w:val="nil"/>
            </w:tcBorders>
          </w:tcPr>
          <w:p w:rsidR="00C151BD" w:rsidRPr="00113CBA" w:rsidRDefault="00C151BD" w:rsidP="00C43687">
            <w:pPr>
              <w:jc w:val="center"/>
              <w:rPr>
                <w:rFonts w:ascii="Calibri" w:hAnsi="Calibri"/>
              </w:rPr>
            </w:pPr>
          </w:p>
        </w:tc>
        <w:tc>
          <w:tcPr>
            <w:tcW w:w="2250" w:type="dxa"/>
            <w:tcBorders>
              <w:top w:val="nil"/>
              <w:left w:val="nil"/>
              <w:bottom w:val="nil"/>
              <w:right w:val="nil"/>
            </w:tcBorders>
          </w:tcPr>
          <w:p w:rsidR="00C151BD" w:rsidRPr="00113CBA" w:rsidRDefault="00C151BD" w:rsidP="00C43687">
            <w:pPr>
              <w:jc w:val="center"/>
              <w:rPr>
                <w:rFonts w:ascii="Calibri" w:hAnsi="Calibri"/>
              </w:rPr>
            </w:pP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Yoga</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2 (12%)</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Meditation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 xml:space="preserve">  3 (15%)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Progressive muscle relaxation</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(5%)</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(6%)</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Reiki, energy healing </w:t>
            </w:r>
          </w:p>
          <w:p w:rsidR="00C151BD" w:rsidRPr="00113CBA" w:rsidRDefault="00C151BD" w:rsidP="00C43687">
            <w:pPr>
              <w:rPr>
                <w:rFonts w:ascii="Calibri" w:hAnsi="Calibri"/>
              </w:rPr>
            </w:pPr>
            <w:r w:rsidRPr="00113CBA">
              <w:rPr>
                <w:rFonts w:ascii="Calibri" w:hAnsi="Calibri"/>
                <w:sz w:val="22"/>
                <w:szCs w:val="22"/>
              </w:rPr>
              <w:t>or Chakra healing</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Guided imagery</w:t>
            </w:r>
          </w:p>
        </w:tc>
        <w:tc>
          <w:tcPr>
            <w:tcW w:w="261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bottom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r>
      <w:tr w:rsidR="00C151BD" w:rsidTr="00C43687">
        <w:tc>
          <w:tcPr>
            <w:tcW w:w="2250" w:type="dxa"/>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Self-hypnosis</w:t>
            </w:r>
          </w:p>
        </w:tc>
        <w:tc>
          <w:tcPr>
            <w:tcW w:w="2610" w:type="dxa"/>
            <w:tcBorders>
              <w:top w:val="nil"/>
              <w:left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430" w:type="dxa"/>
            <w:tcBorders>
              <w:top w:val="nil"/>
              <w:left w:val="nil"/>
              <w:right w:val="nil"/>
            </w:tcBorders>
          </w:tcPr>
          <w:p w:rsidR="00C151BD" w:rsidRPr="00113CBA" w:rsidRDefault="00C151BD" w:rsidP="00C43687">
            <w:pPr>
              <w:jc w:val="center"/>
              <w:rPr>
                <w:rFonts w:ascii="Calibri" w:hAnsi="Calibri"/>
              </w:rPr>
            </w:pPr>
            <w:r w:rsidRPr="00113CBA">
              <w:rPr>
                <w:rFonts w:ascii="Calibri" w:hAnsi="Calibri"/>
                <w:sz w:val="22"/>
                <w:szCs w:val="22"/>
              </w:rPr>
              <w:t>0 (0%)</w:t>
            </w:r>
          </w:p>
        </w:tc>
        <w:tc>
          <w:tcPr>
            <w:tcW w:w="2250" w:type="dxa"/>
            <w:tcBorders>
              <w:top w:val="nil"/>
              <w:left w:val="nil"/>
              <w:right w:val="nil"/>
            </w:tcBorders>
          </w:tcPr>
          <w:p w:rsidR="00C151BD" w:rsidRPr="00113CBA" w:rsidRDefault="00C151BD" w:rsidP="00C43687">
            <w:pPr>
              <w:jc w:val="center"/>
              <w:rPr>
                <w:rFonts w:ascii="Calibri" w:hAnsi="Calibri"/>
              </w:rPr>
            </w:pPr>
            <w:r w:rsidRPr="00113CBA">
              <w:rPr>
                <w:rFonts w:ascii="Calibri" w:hAnsi="Calibri"/>
                <w:sz w:val="22"/>
                <w:szCs w:val="22"/>
              </w:rPr>
              <w:t>1 (7%)</w:t>
            </w:r>
          </w:p>
        </w:tc>
      </w:tr>
    </w:tbl>
    <w:p w:rsidR="00C151BD" w:rsidRDefault="00C151BD" w:rsidP="00C151BD"/>
    <w:p w:rsidR="00C151BD" w:rsidRDefault="00C151BD" w:rsidP="00C151BD"/>
    <w:p w:rsidR="00C151BD" w:rsidRDefault="00C151BD" w:rsidP="00C151BD"/>
    <w:p w:rsidR="00C151BD" w:rsidRPr="003A2428" w:rsidRDefault="00C151BD" w:rsidP="00C151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1772"/>
        <w:gridCol w:w="1428"/>
        <w:gridCol w:w="1398"/>
      </w:tblGrid>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lastRenderedPageBreak/>
              <w:t>Table 2</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7614" w:type="dxa"/>
            <w:gridSpan w:val="4"/>
            <w:tcBorders>
              <w:top w:val="nil"/>
              <w:left w:val="nil"/>
              <w:bottom w:val="nil"/>
              <w:right w:val="nil"/>
            </w:tcBorders>
          </w:tcPr>
          <w:p w:rsidR="00C151BD" w:rsidRPr="00DA7017" w:rsidRDefault="00C151BD" w:rsidP="00C43687">
            <w:pPr>
              <w:rPr>
                <w:rFonts w:ascii="Calibri" w:hAnsi="Calibri"/>
              </w:rPr>
            </w:pPr>
            <w:r>
              <w:rPr>
                <w:rFonts w:ascii="Calibri" w:hAnsi="Calibri"/>
                <w:i/>
                <w:sz w:val="22"/>
                <w:szCs w:val="22"/>
              </w:rPr>
              <w:t xml:space="preserve">Pre-treatment </w:t>
            </w:r>
            <w:r w:rsidRPr="00DA7017">
              <w:rPr>
                <w:rFonts w:ascii="Calibri" w:hAnsi="Calibri"/>
                <w:i/>
                <w:sz w:val="22"/>
                <w:szCs w:val="22"/>
              </w:rPr>
              <w:t>Outcome</w:t>
            </w:r>
            <w:r>
              <w:rPr>
                <w:rFonts w:ascii="Calibri" w:hAnsi="Calibri"/>
                <w:i/>
                <w:sz w:val="22"/>
                <w:szCs w:val="22"/>
              </w:rPr>
              <w:t xml:space="preserve"> Measures </w:t>
            </w:r>
            <w:r w:rsidRPr="00DA7017">
              <w:rPr>
                <w:rFonts w:ascii="Calibri" w:hAnsi="Calibri"/>
                <w:i/>
                <w:sz w:val="22"/>
                <w:szCs w:val="22"/>
              </w:rPr>
              <w:t>as a Function of Group</w:t>
            </w:r>
          </w:p>
        </w:tc>
      </w:tr>
      <w:tr w:rsidR="00C151BD" w:rsidTr="00C43687">
        <w:trPr>
          <w:trHeight w:val="671"/>
        </w:trPr>
        <w:tc>
          <w:tcPr>
            <w:tcW w:w="3016" w:type="dxa"/>
            <w:tcBorders>
              <w:left w:val="nil"/>
              <w:bottom w:val="nil"/>
              <w:right w:val="nil"/>
            </w:tcBorders>
          </w:tcPr>
          <w:p w:rsidR="00C151BD" w:rsidRPr="00DA7017" w:rsidRDefault="00C151BD" w:rsidP="00C43687">
            <w:pPr>
              <w:rPr>
                <w:rFonts w:ascii="Calibri" w:hAnsi="Calibri"/>
              </w:rPr>
            </w:pPr>
          </w:p>
          <w:p w:rsidR="00C151BD" w:rsidRPr="00DA7017" w:rsidRDefault="00C151BD" w:rsidP="00C43687">
            <w:pPr>
              <w:rPr>
                <w:rFonts w:ascii="Calibri" w:hAnsi="Calibri"/>
              </w:rPr>
            </w:pPr>
          </w:p>
        </w:tc>
        <w:tc>
          <w:tcPr>
            <w:tcW w:w="1772" w:type="dxa"/>
            <w:tcBorders>
              <w:left w:val="nil"/>
              <w:bottom w:val="nil"/>
              <w:right w:val="nil"/>
            </w:tcBorders>
          </w:tcPr>
          <w:p w:rsidR="00C151BD" w:rsidRPr="00DA7017" w:rsidRDefault="00C151BD" w:rsidP="00C43687">
            <w:pPr>
              <w:rPr>
                <w:rFonts w:ascii="Calibri" w:hAnsi="Calibri"/>
                <w:u w:val="single"/>
              </w:rPr>
            </w:pPr>
          </w:p>
          <w:p w:rsidR="00C151BD" w:rsidRPr="00DA7017" w:rsidRDefault="00C151BD" w:rsidP="00C43687">
            <w:pPr>
              <w:rPr>
                <w:rFonts w:ascii="Calibri" w:hAnsi="Calibri"/>
                <w:u w:val="single"/>
              </w:rPr>
            </w:pPr>
            <w:r w:rsidRPr="00DA7017">
              <w:rPr>
                <w:rFonts w:ascii="Calibri" w:hAnsi="Calibri"/>
                <w:sz w:val="22"/>
                <w:szCs w:val="22"/>
              </w:rPr>
              <w:t xml:space="preserve">  </w:t>
            </w:r>
            <w:r w:rsidRPr="00DA7017">
              <w:rPr>
                <w:rFonts w:ascii="Calibri" w:hAnsi="Calibri"/>
                <w:sz w:val="22"/>
                <w:szCs w:val="22"/>
                <w:u w:val="single"/>
              </w:rPr>
              <w:t>Pre-treatment</w:t>
            </w:r>
          </w:p>
        </w:tc>
        <w:tc>
          <w:tcPr>
            <w:tcW w:w="1428" w:type="dxa"/>
            <w:tcBorders>
              <w:left w:val="nil"/>
              <w:bottom w:val="nil"/>
              <w:right w:val="nil"/>
            </w:tcBorders>
          </w:tcPr>
          <w:p w:rsidR="00C151BD" w:rsidRPr="00DA7017" w:rsidRDefault="00C151BD" w:rsidP="00C43687">
            <w:pPr>
              <w:jc w:val="center"/>
              <w:rPr>
                <w:rFonts w:ascii="Calibri" w:hAnsi="Calibri"/>
              </w:rPr>
            </w:pPr>
          </w:p>
          <w:p w:rsidR="00C151BD" w:rsidRPr="00DA7017" w:rsidRDefault="00C151BD" w:rsidP="00C43687">
            <w:pPr>
              <w:jc w:val="center"/>
              <w:rPr>
                <w:rFonts w:ascii="Calibri" w:hAnsi="Calibri"/>
              </w:rPr>
            </w:pPr>
            <w:r w:rsidRPr="00DA7017">
              <w:rPr>
                <w:rFonts w:ascii="Calibri" w:hAnsi="Calibri"/>
                <w:sz w:val="22"/>
                <w:szCs w:val="22"/>
              </w:rPr>
              <w:t>Time x Group</w:t>
            </w:r>
          </w:p>
          <w:p w:rsidR="00C151BD" w:rsidRPr="00DA7017" w:rsidRDefault="00C151BD" w:rsidP="00C43687">
            <w:pPr>
              <w:jc w:val="center"/>
              <w:rPr>
                <w:rFonts w:ascii="Calibri" w:hAnsi="Calibri"/>
              </w:rPr>
            </w:pPr>
            <w:r w:rsidRPr="00DA7017">
              <w:rPr>
                <w:rFonts w:ascii="Calibri" w:hAnsi="Calibri"/>
                <w:sz w:val="22"/>
                <w:szCs w:val="22"/>
              </w:rPr>
              <w:t>(</w:t>
            </w:r>
            <w:r w:rsidRPr="00DA7017">
              <w:rPr>
                <w:rFonts w:ascii="Calibri" w:hAnsi="Calibri"/>
                <w:i/>
                <w:sz w:val="22"/>
                <w:szCs w:val="22"/>
              </w:rPr>
              <w:t>F</w:t>
            </w:r>
            <w:r w:rsidRPr="00DA7017">
              <w:rPr>
                <w:rFonts w:ascii="Calibri" w:hAnsi="Calibri"/>
                <w:sz w:val="22"/>
                <w:szCs w:val="22"/>
              </w:rPr>
              <w:t>)</w:t>
            </w:r>
          </w:p>
        </w:tc>
        <w:tc>
          <w:tcPr>
            <w:tcW w:w="1398" w:type="dxa"/>
            <w:tcBorders>
              <w:left w:val="nil"/>
              <w:bottom w:val="nil"/>
              <w:right w:val="nil"/>
            </w:tcBorders>
          </w:tcPr>
          <w:p w:rsidR="00C151BD" w:rsidRPr="00DA7017" w:rsidRDefault="00C151BD" w:rsidP="00C43687">
            <w:pPr>
              <w:rPr>
                <w:rFonts w:ascii="Calibri" w:hAnsi="Calibri"/>
              </w:rPr>
            </w:pPr>
          </w:p>
          <w:p w:rsidR="00C151BD" w:rsidRPr="00DA7017" w:rsidRDefault="00C151BD" w:rsidP="00C43687">
            <w:pPr>
              <w:jc w:val="center"/>
              <w:rPr>
                <w:rFonts w:ascii="Calibri" w:hAnsi="Calibri"/>
              </w:rPr>
            </w:pPr>
            <w:r>
              <w:rPr>
                <w:rFonts w:ascii="Calibri" w:hAnsi="Calibri"/>
                <w:sz w:val="22"/>
                <w:szCs w:val="22"/>
              </w:rPr>
              <w:t>Sig.</w:t>
            </w:r>
            <w:r w:rsidRPr="00DA7017">
              <w:rPr>
                <w:rFonts w:ascii="Calibri" w:hAnsi="Calibri"/>
                <w:sz w:val="22"/>
                <w:szCs w:val="22"/>
              </w:rPr>
              <w:t xml:space="preserve"> (</w:t>
            </w:r>
            <w:r>
              <w:rPr>
                <w:rFonts w:ascii="Calibri" w:hAnsi="Calibri"/>
                <w:i/>
                <w:sz w:val="22"/>
                <w:szCs w:val="22"/>
              </w:rPr>
              <w:t>p</w:t>
            </w:r>
            <w:r w:rsidRPr="00DA7017">
              <w:rPr>
                <w:rFonts w:ascii="Calibri" w:hAnsi="Calibri"/>
                <w:sz w:val="22"/>
                <w:szCs w:val="22"/>
              </w:rPr>
              <w:t>)</w:t>
            </w:r>
          </w:p>
        </w:tc>
      </w:tr>
      <w:tr w:rsidR="00C151BD" w:rsidTr="00C43687">
        <w:trPr>
          <w:trHeight w:val="166"/>
        </w:trPr>
        <w:tc>
          <w:tcPr>
            <w:tcW w:w="3016" w:type="dxa"/>
            <w:tcBorders>
              <w:left w:val="nil"/>
              <w:bottom w:val="nil"/>
              <w:right w:val="nil"/>
            </w:tcBorders>
          </w:tcPr>
          <w:p w:rsidR="00C151BD" w:rsidRPr="00DA7017" w:rsidRDefault="00C151BD" w:rsidP="00C43687">
            <w:pPr>
              <w:rPr>
                <w:rFonts w:ascii="Calibri" w:hAnsi="Calibri"/>
              </w:rPr>
            </w:pPr>
          </w:p>
        </w:tc>
        <w:tc>
          <w:tcPr>
            <w:tcW w:w="1772" w:type="dxa"/>
            <w:tcBorders>
              <w:left w:val="nil"/>
              <w:bottom w:val="nil"/>
              <w:right w:val="nil"/>
            </w:tcBorders>
          </w:tcPr>
          <w:p w:rsidR="00C151BD" w:rsidRPr="00DA7017" w:rsidRDefault="00C151BD" w:rsidP="00C43687">
            <w:pPr>
              <w:rPr>
                <w:rFonts w:ascii="Calibri" w:hAnsi="Calibri"/>
                <w:u w:val="single"/>
              </w:rPr>
            </w:pPr>
          </w:p>
        </w:tc>
        <w:tc>
          <w:tcPr>
            <w:tcW w:w="1428" w:type="dxa"/>
            <w:tcBorders>
              <w:left w:val="nil"/>
              <w:bottom w:val="nil"/>
              <w:right w:val="nil"/>
            </w:tcBorders>
          </w:tcPr>
          <w:p w:rsidR="00C151BD" w:rsidRPr="00DA7017" w:rsidRDefault="00C151BD" w:rsidP="00C43687">
            <w:pPr>
              <w:jc w:val="center"/>
              <w:rPr>
                <w:rFonts w:ascii="Calibri" w:hAnsi="Calibri"/>
              </w:rPr>
            </w:pPr>
          </w:p>
        </w:tc>
        <w:tc>
          <w:tcPr>
            <w:tcW w:w="1398" w:type="dxa"/>
            <w:tcBorders>
              <w:left w:val="nil"/>
              <w:bottom w:val="nil"/>
              <w:right w:val="nil"/>
            </w:tcBorders>
          </w:tcPr>
          <w:p w:rsidR="00C151BD" w:rsidRPr="00DA7017" w:rsidRDefault="00C151BD" w:rsidP="00C43687">
            <w:pPr>
              <w:rPr>
                <w:rFonts w:ascii="Calibri" w:hAnsi="Calibri"/>
              </w:rPr>
            </w:pPr>
          </w:p>
        </w:tc>
      </w:tr>
      <w:tr w:rsidR="00C151BD" w:rsidTr="00C43687">
        <w:trPr>
          <w:trHeight w:val="505"/>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Outcome measures and group</w:t>
            </w:r>
          </w:p>
          <w:p w:rsidR="00C151BD" w:rsidRPr="00DA7017" w:rsidRDefault="00C151BD" w:rsidP="00C43687">
            <w:pPr>
              <w:rPr>
                <w:rFonts w:ascii="Calibri" w:hAnsi="Calibri"/>
                <w:b/>
              </w:rPr>
            </w:pPr>
          </w:p>
        </w:tc>
        <w:tc>
          <w:tcPr>
            <w:tcW w:w="1772" w:type="dxa"/>
            <w:tcBorders>
              <w:top w:val="nil"/>
              <w:left w:val="nil"/>
              <w:bottom w:val="nil"/>
              <w:right w:val="nil"/>
            </w:tcBorders>
          </w:tcPr>
          <w:p w:rsidR="00C151BD" w:rsidRPr="00DA7017" w:rsidRDefault="00C151BD" w:rsidP="00C43687">
            <w:pPr>
              <w:rPr>
                <w:rFonts w:ascii="Calibri" w:hAnsi="Calibri"/>
                <w:i/>
              </w:rPr>
            </w:pPr>
            <w:r w:rsidRPr="00DA7017">
              <w:rPr>
                <w:rFonts w:ascii="Calibri" w:hAnsi="Calibri"/>
                <w:i/>
                <w:sz w:val="22"/>
                <w:szCs w:val="22"/>
              </w:rPr>
              <w:t xml:space="preserve">   M          SD</w:t>
            </w: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b/>
              </w:rPr>
            </w:pPr>
            <w:r w:rsidRPr="00DA7017">
              <w:rPr>
                <w:rFonts w:ascii="Calibri" w:hAnsi="Calibri"/>
                <w:b/>
                <w:sz w:val="22"/>
                <w:szCs w:val="22"/>
              </w:rPr>
              <w:t>BDI-II</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BA</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27.06        6.85</w:t>
            </w:r>
          </w:p>
        </w:tc>
        <w:tc>
          <w:tcPr>
            <w:tcW w:w="142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0.51</w:t>
            </w:r>
          </w:p>
        </w:tc>
        <w:tc>
          <w:tcPr>
            <w:tcW w:w="139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0.61</w:t>
            </w: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MBT</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30.30       10</w:t>
            </w:r>
            <w:r w:rsidRPr="00DA7017">
              <w:rPr>
                <w:rFonts w:ascii="Calibri" w:hAnsi="Calibri"/>
                <w:sz w:val="22"/>
                <w:szCs w:val="22"/>
              </w:rPr>
              <w:t>.81</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WLC</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30.00       12.42</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b/>
              </w:rPr>
            </w:pPr>
            <w:r w:rsidRPr="00DA7017">
              <w:rPr>
                <w:rFonts w:ascii="Calibri" w:hAnsi="Calibri"/>
                <w:b/>
                <w:sz w:val="22"/>
                <w:szCs w:val="22"/>
              </w:rPr>
              <w:t>PSS</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BA</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23.75        5.59</w:t>
            </w:r>
          </w:p>
        </w:tc>
        <w:tc>
          <w:tcPr>
            <w:tcW w:w="142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0.70</w:t>
            </w:r>
          </w:p>
        </w:tc>
        <w:tc>
          <w:tcPr>
            <w:tcW w:w="139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0.50</w:t>
            </w: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MBT</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25.85        6.77</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WLC</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25.93        5.03</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b/>
              </w:rPr>
            </w:pPr>
            <w:r w:rsidRPr="00DA7017">
              <w:rPr>
                <w:rFonts w:ascii="Calibri" w:hAnsi="Calibri"/>
                <w:b/>
                <w:sz w:val="22"/>
                <w:szCs w:val="22"/>
              </w:rPr>
              <w:t>RRS</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BA</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53.13        9.10</w:t>
            </w:r>
          </w:p>
        </w:tc>
        <w:tc>
          <w:tcPr>
            <w:tcW w:w="142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1.01</w:t>
            </w:r>
          </w:p>
        </w:tc>
        <w:tc>
          <w:tcPr>
            <w:tcW w:w="139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0.37</w:t>
            </w: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MBT</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55.10      11.41</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WLC</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58.79      12.34</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b/>
              </w:rPr>
            </w:pPr>
            <w:r w:rsidRPr="00DA7017">
              <w:rPr>
                <w:rFonts w:ascii="Calibri" w:hAnsi="Calibri"/>
                <w:b/>
                <w:sz w:val="22"/>
                <w:szCs w:val="22"/>
              </w:rPr>
              <w:t>HRSD</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BA</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13.81</w:t>
            </w:r>
            <w:r w:rsidRPr="00DA7017">
              <w:rPr>
                <w:rFonts w:ascii="Calibri" w:hAnsi="Calibri"/>
                <w:sz w:val="22"/>
                <w:szCs w:val="22"/>
              </w:rPr>
              <w:t xml:space="preserve">  </w:t>
            </w:r>
            <w:r>
              <w:rPr>
                <w:rFonts w:ascii="Calibri" w:hAnsi="Calibri"/>
                <w:sz w:val="22"/>
                <w:szCs w:val="22"/>
              </w:rPr>
              <w:t xml:space="preserve">      3.49</w:t>
            </w:r>
            <w:r w:rsidRPr="00DA7017">
              <w:rPr>
                <w:rFonts w:ascii="Calibri" w:hAnsi="Calibri"/>
                <w:sz w:val="22"/>
                <w:szCs w:val="22"/>
              </w:rPr>
              <w:t xml:space="preserve">  </w:t>
            </w:r>
          </w:p>
        </w:tc>
        <w:tc>
          <w:tcPr>
            <w:tcW w:w="142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0.13</w:t>
            </w:r>
          </w:p>
        </w:tc>
        <w:tc>
          <w:tcPr>
            <w:tcW w:w="139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0.88</w:t>
            </w: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MBT</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14.00</w:t>
            </w:r>
            <w:r w:rsidRPr="00DA7017">
              <w:rPr>
                <w:rFonts w:ascii="Calibri" w:hAnsi="Calibri"/>
                <w:sz w:val="22"/>
                <w:szCs w:val="22"/>
              </w:rPr>
              <w:t xml:space="preserve">    </w:t>
            </w:r>
            <w:r>
              <w:rPr>
                <w:rFonts w:ascii="Calibri" w:hAnsi="Calibri"/>
                <w:sz w:val="22"/>
                <w:szCs w:val="22"/>
              </w:rPr>
              <w:t xml:space="preserve">    4.38</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WLC</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14.50</w:t>
            </w:r>
            <w:r w:rsidRPr="00DA7017">
              <w:rPr>
                <w:rFonts w:ascii="Calibri" w:hAnsi="Calibri"/>
                <w:sz w:val="22"/>
                <w:szCs w:val="22"/>
              </w:rPr>
              <w:t xml:space="preserve">   </w:t>
            </w:r>
            <w:r>
              <w:rPr>
                <w:rFonts w:ascii="Calibri" w:hAnsi="Calibri"/>
                <w:sz w:val="22"/>
                <w:szCs w:val="22"/>
              </w:rPr>
              <w:t xml:space="preserve">     2.95</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b/>
              </w:rPr>
            </w:pPr>
            <w:r w:rsidRPr="00DA7017">
              <w:rPr>
                <w:rFonts w:ascii="Calibri" w:hAnsi="Calibri"/>
                <w:b/>
                <w:sz w:val="22"/>
                <w:szCs w:val="22"/>
              </w:rPr>
              <w:t>BAI</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BA</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17.50      12.80</w:t>
            </w:r>
          </w:p>
        </w:tc>
        <w:tc>
          <w:tcPr>
            <w:tcW w:w="1428" w:type="dxa"/>
            <w:vMerge w:val="restart"/>
            <w:tcBorders>
              <w:top w:val="nil"/>
              <w:left w:val="nil"/>
              <w:right w:val="nil"/>
            </w:tcBorders>
          </w:tcPr>
          <w:p w:rsidR="00C151BD" w:rsidRPr="00DA7017" w:rsidRDefault="00C151BD" w:rsidP="00C43687">
            <w:pPr>
              <w:rPr>
                <w:rFonts w:ascii="Calibri" w:hAnsi="Calibri"/>
              </w:rPr>
            </w:pPr>
            <w:r>
              <w:rPr>
                <w:rFonts w:ascii="Calibri" w:hAnsi="Calibri"/>
                <w:sz w:val="22"/>
                <w:szCs w:val="22"/>
              </w:rPr>
              <w:t>0.03</w:t>
            </w:r>
          </w:p>
        </w:tc>
        <w:tc>
          <w:tcPr>
            <w:tcW w:w="1398" w:type="dxa"/>
            <w:vMerge w:val="restart"/>
            <w:tcBorders>
              <w:top w:val="nil"/>
              <w:left w:val="nil"/>
              <w:right w:val="nil"/>
            </w:tcBorders>
          </w:tcPr>
          <w:p w:rsidR="00C151BD" w:rsidRPr="00DA7017" w:rsidRDefault="00C151BD" w:rsidP="00C43687">
            <w:pPr>
              <w:rPr>
                <w:rFonts w:ascii="Calibri" w:hAnsi="Calibri"/>
              </w:rPr>
            </w:pPr>
            <w:r>
              <w:rPr>
                <w:rFonts w:ascii="Calibri" w:hAnsi="Calibri"/>
                <w:sz w:val="22"/>
                <w:szCs w:val="22"/>
              </w:rPr>
              <w:t>0.97</w:t>
            </w: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MBT</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18.00        9.62</w:t>
            </w:r>
          </w:p>
        </w:tc>
        <w:tc>
          <w:tcPr>
            <w:tcW w:w="1428" w:type="dxa"/>
            <w:vMerge/>
            <w:tcBorders>
              <w:left w:val="nil"/>
              <w:right w:val="nil"/>
            </w:tcBorders>
          </w:tcPr>
          <w:p w:rsidR="00C151BD" w:rsidRPr="00DA7017" w:rsidRDefault="00C151BD" w:rsidP="00C43687">
            <w:pPr>
              <w:rPr>
                <w:rFonts w:ascii="Calibri" w:hAnsi="Calibri"/>
              </w:rPr>
            </w:pPr>
          </w:p>
        </w:tc>
        <w:tc>
          <w:tcPr>
            <w:tcW w:w="1398" w:type="dxa"/>
            <w:vMerge/>
            <w:tcBorders>
              <w:left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WLC</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 xml:space="preserve"> 18.57      12.79</w:t>
            </w:r>
          </w:p>
        </w:tc>
        <w:tc>
          <w:tcPr>
            <w:tcW w:w="1428" w:type="dxa"/>
            <w:vMerge/>
            <w:tcBorders>
              <w:left w:val="nil"/>
              <w:bottom w:val="nil"/>
              <w:right w:val="nil"/>
            </w:tcBorders>
          </w:tcPr>
          <w:p w:rsidR="00C151BD" w:rsidRPr="00DA7017" w:rsidRDefault="00C151BD" w:rsidP="00C43687">
            <w:pPr>
              <w:rPr>
                <w:rFonts w:ascii="Calibri" w:hAnsi="Calibri"/>
              </w:rPr>
            </w:pPr>
          </w:p>
        </w:tc>
        <w:tc>
          <w:tcPr>
            <w:tcW w:w="1398" w:type="dxa"/>
            <w:vMerge/>
            <w:tcBorders>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b/>
              </w:rPr>
            </w:pPr>
            <w:r>
              <w:rPr>
                <w:rFonts w:ascii="Calibri" w:hAnsi="Calibri"/>
                <w:b/>
                <w:sz w:val="22"/>
                <w:szCs w:val="22"/>
              </w:rPr>
              <w:t>FFMQ</w:t>
            </w:r>
          </w:p>
        </w:tc>
        <w:tc>
          <w:tcPr>
            <w:tcW w:w="1772" w:type="dxa"/>
            <w:tcBorders>
              <w:top w:val="nil"/>
              <w:left w:val="nil"/>
              <w:bottom w:val="nil"/>
              <w:right w:val="nil"/>
            </w:tcBorders>
          </w:tcPr>
          <w:p w:rsidR="00C151BD" w:rsidRPr="00DA7017" w:rsidRDefault="00C151BD" w:rsidP="00C43687">
            <w:pPr>
              <w:rPr>
                <w:rFonts w:ascii="Calibri" w:hAnsi="Calibri"/>
              </w:rPr>
            </w:pPr>
          </w:p>
        </w:tc>
        <w:tc>
          <w:tcPr>
            <w:tcW w:w="1428" w:type="dxa"/>
            <w:tcBorders>
              <w:top w:val="nil"/>
              <w:left w:val="nil"/>
              <w:bottom w:val="nil"/>
              <w:right w:val="nil"/>
            </w:tcBorders>
          </w:tcPr>
          <w:p w:rsidR="00C151BD" w:rsidRPr="00DA7017" w:rsidRDefault="00C151BD" w:rsidP="00C43687">
            <w:pPr>
              <w:rPr>
                <w:rFonts w:ascii="Calibri" w:hAnsi="Calibri"/>
              </w:rPr>
            </w:pPr>
          </w:p>
        </w:tc>
        <w:tc>
          <w:tcPr>
            <w:tcW w:w="1398" w:type="dxa"/>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66"/>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BA</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110.63     11.25</w:t>
            </w:r>
          </w:p>
        </w:tc>
        <w:tc>
          <w:tcPr>
            <w:tcW w:w="142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0.32</w:t>
            </w:r>
          </w:p>
        </w:tc>
        <w:tc>
          <w:tcPr>
            <w:tcW w:w="1398" w:type="dxa"/>
            <w:vMerge w:val="restart"/>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0.73</w:t>
            </w:r>
          </w:p>
        </w:tc>
      </w:tr>
      <w:tr w:rsidR="00C151BD" w:rsidTr="00C43687">
        <w:trPr>
          <w:trHeight w:val="173"/>
        </w:trPr>
        <w:tc>
          <w:tcPr>
            <w:tcW w:w="3016" w:type="dxa"/>
            <w:tcBorders>
              <w:top w:val="nil"/>
              <w:left w:val="nil"/>
              <w:bottom w:val="nil"/>
              <w:right w:val="nil"/>
            </w:tcBorders>
          </w:tcPr>
          <w:p w:rsidR="00C151BD" w:rsidRPr="00DA7017" w:rsidRDefault="00C151BD" w:rsidP="00C43687">
            <w:pPr>
              <w:rPr>
                <w:rFonts w:ascii="Calibri" w:hAnsi="Calibri"/>
              </w:rPr>
            </w:pPr>
            <w:r w:rsidRPr="00DA7017">
              <w:rPr>
                <w:rFonts w:ascii="Calibri" w:hAnsi="Calibri"/>
                <w:sz w:val="22"/>
                <w:szCs w:val="22"/>
              </w:rPr>
              <w:t>MBT</w:t>
            </w:r>
          </w:p>
        </w:tc>
        <w:tc>
          <w:tcPr>
            <w:tcW w:w="1772" w:type="dxa"/>
            <w:tcBorders>
              <w:top w:val="nil"/>
              <w:left w:val="nil"/>
              <w:bottom w:val="nil"/>
              <w:right w:val="nil"/>
            </w:tcBorders>
          </w:tcPr>
          <w:p w:rsidR="00C151BD" w:rsidRPr="00DA7017" w:rsidRDefault="00C151BD" w:rsidP="00C43687">
            <w:pPr>
              <w:rPr>
                <w:rFonts w:ascii="Calibri" w:hAnsi="Calibri"/>
              </w:rPr>
            </w:pPr>
            <w:r>
              <w:rPr>
                <w:rFonts w:ascii="Calibri" w:hAnsi="Calibri"/>
                <w:sz w:val="22"/>
                <w:szCs w:val="22"/>
              </w:rPr>
              <w:t>107.20     13.57</w:t>
            </w:r>
          </w:p>
        </w:tc>
        <w:tc>
          <w:tcPr>
            <w:tcW w:w="1428" w:type="dxa"/>
            <w:vMerge/>
            <w:tcBorders>
              <w:top w:val="nil"/>
              <w:left w:val="nil"/>
              <w:bottom w:val="nil"/>
              <w:right w:val="nil"/>
            </w:tcBorders>
          </w:tcPr>
          <w:p w:rsidR="00C151BD" w:rsidRPr="00DA7017" w:rsidRDefault="00C151BD" w:rsidP="00C43687">
            <w:pPr>
              <w:rPr>
                <w:rFonts w:ascii="Calibri" w:hAnsi="Calibri"/>
              </w:rPr>
            </w:pPr>
          </w:p>
        </w:tc>
        <w:tc>
          <w:tcPr>
            <w:tcW w:w="1398" w:type="dxa"/>
            <w:vMerge/>
            <w:tcBorders>
              <w:top w:val="nil"/>
              <w:left w:val="nil"/>
              <w:bottom w:val="nil"/>
              <w:right w:val="nil"/>
            </w:tcBorders>
          </w:tcPr>
          <w:p w:rsidR="00C151BD" w:rsidRPr="00DA7017" w:rsidRDefault="00C151BD" w:rsidP="00C43687">
            <w:pPr>
              <w:rPr>
                <w:rFonts w:ascii="Calibri" w:hAnsi="Calibri"/>
              </w:rPr>
            </w:pPr>
          </w:p>
        </w:tc>
      </w:tr>
      <w:tr w:rsidR="00C151BD" w:rsidTr="00C43687">
        <w:trPr>
          <w:trHeight w:val="173"/>
        </w:trPr>
        <w:tc>
          <w:tcPr>
            <w:tcW w:w="3016" w:type="dxa"/>
            <w:tcBorders>
              <w:top w:val="nil"/>
              <w:left w:val="nil"/>
              <w:right w:val="nil"/>
            </w:tcBorders>
          </w:tcPr>
          <w:p w:rsidR="00C151BD" w:rsidRPr="00DA7017" w:rsidRDefault="00C151BD" w:rsidP="00C43687">
            <w:pPr>
              <w:rPr>
                <w:rFonts w:ascii="Calibri" w:hAnsi="Calibri"/>
              </w:rPr>
            </w:pPr>
            <w:r w:rsidRPr="00DA7017">
              <w:rPr>
                <w:rFonts w:ascii="Calibri" w:hAnsi="Calibri"/>
                <w:sz w:val="22"/>
                <w:szCs w:val="22"/>
              </w:rPr>
              <w:t>WLC</w:t>
            </w:r>
          </w:p>
        </w:tc>
        <w:tc>
          <w:tcPr>
            <w:tcW w:w="1772" w:type="dxa"/>
            <w:tcBorders>
              <w:top w:val="nil"/>
              <w:left w:val="nil"/>
              <w:right w:val="nil"/>
            </w:tcBorders>
          </w:tcPr>
          <w:p w:rsidR="00C151BD" w:rsidRPr="00DA7017" w:rsidRDefault="00C151BD" w:rsidP="00C43687">
            <w:pPr>
              <w:rPr>
                <w:rFonts w:ascii="Calibri" w:hAnsi="Calibri"/>
              </w:rPr>
            </w:pPr>
            <w:r>
              <w:rPr>
                <w:rFonts w:ascii="Calibri" w:hAnsi="Calibri"/>
                <w:sz w:val="22"/>
                <w:szCs w:val="22"/>
              </w:rPr>
              <w:t>109.36     14.36</w:t>
            </w:r>
          </w:p>
        </w:tc>
        <w:tc>
          <w:tcPr>
            <w:tcW w:w="1428" w:type="dxa"/>
            <w:vMerge/>
            <w:tcBorders>
              <w:top w:val="nil"/>
              <w:left w:val="nil"/>
              <w:right w:val="nil"/>
            </w:tcBorders>
          </w:tcPr>
          <w:p w:rsidR="00C151BD" w:rsidRPr="00DA7017" w:rsidRDefault="00C151BD" w:rsidP="00C43687">
            <w:pPr>
              <w:rPr>
                <w:rFonts w:ascii="Calibri" w:hAnsi="Calibri"/>
              </w:rPr>
            </w:pPr>
          </w:p>
        </w:tc>
        <w:tc>
          <w:tcPr>
            <w:tcW w:w="1398" w:type="dxa"/>
            <w:vMerge/>
            <w:tcBorders>
              <w:top w:val="nil"/>
              <w:left w:val="nil"/>
              <w:right w:val="nil"/>
            </w:tcBorders>
          </w:tcPr>
          <w:p w:rsidR="00C151BD" w:rsidRPr="00DA7017" w:rsidRDefault="00C151BD" w:rsidP="00C43687">
            <w:pPr>
              <w:rPr>
                <w:rFonts w:ascii="Calibri" w:hAnsi="Calibri"/>
              </w:rPr>
            </w:pPr>
          </w:p>
        </w:tc>
      </w:tr>
    </w:tbl>
    <w:p w:rsidR="00C151BD" w:rsidRDefault="00C151BD" w:rsidP="00C151BD">
      <w:r>
        <w:rPr>
          <w:i/>
        </w:rPr>
        <w:t>Note</w:t>
      </w:r>
      <w:r w:rsidRPr="00851DE1">
        <w:rPr>
          <w:i/>
        </w:rPr>
        <w:t>.</w:t>
      </w:r>
      <w:r w:rsidRPr="003A2428">
        <w:t xml:space="preserve"> BDI-II = Beck Depression Inventory; </w:t>
      </w:r>
      <w:r>
        <w:t xml:space="preserve">PSS = </w:t>
      </w:r>
      <w:r w:rsidRPr="003A2428">
        <w:t>Perceived Stress Scale</w:t>
      </w:r>
      <w:r>
        <w:t>;</w:t>
      </w:r>
      <w:r w:rsidRPr="003A2428">
        <w:t xml:space="preserve"> </w:t>
      </w:r>
      <w:r>
        <w:t xml:space="preserve">RRS = </w:t>
      </w:r>
      <w:r w:rsidRPr="003A2428">
        <w:t>Ruminative Response Scale</w:t>
      </w:r>
      <w:r>
        <w:t>;</w:t>
      </w:r>
      <w:r w:rsidRPr="003A2428">
        <w:t xml:space="preserve"> </w:t>
      </w:r>
      <w:r>
        <w:t xml:space="preserve">HRSD = </w:t>
      </w:r>
      <w:r w:rsidRPr="003A2428">
        <w:t>Hamilton Rating Scale for Depression</w:t>
      </w:r>
      <w:r>
        <w:t>;</w:t>
      </w:r>
      <w:r w:rsidRPr="003A2428">
        <w:t xml:space="preserve"> </w:t>
      </w:r>
      <w:r>
        <w:t xml:space="preserve">BAI = </w:t>
      </w:r>
      <w:r w:rsidRPr="003A2428">
        <w:t xml:space="preserve">Beck Anxiety Inventory; </w:t>
      </w:r>
      <w:r>
        <w:t xml:space="preserve">FFMQ = </w:t>
      </w:r>
      <w:r w:rsidRPr="00846D77">
        <w:t>Five-Facet Mindfulness Questionnaire</w:t>
      </w:r>
      <w:r>
        <w:t>;</w:t>
      </w:r>
      <w:r w:rsidRPr="003A2428">
        <w:t xml:space="preserve"> BA = Behavioral Activation; MBT = Mindfulness-Based Therapy; WLC = Wait-List Condition.</w:t>
      </w:r>
      <w:r>
        <w:t xml:space="preserve"> Degrees of freedom = 2, 49 for all analyses. </w:t>
      </w:r>
    </w:p>
    <w:p w:rsidR="00C151BD" w:rsidRDefault="00C151BD" w:rsidP="00C151BD">
      <w:r>
        <w:t xml:space="preserve">* </w:t>
      </w:r>
      <w:r w:rsidRPr="00302F29">
        <w:rPr>
          <w:i/>
        </w:rPr>
        <w:t>p</w:t>
      </w:r>
      <w:r>
        <w:t xml:space="preserve"> &lt; .05. ** </w:t>
      </w:r>
      <w:r w:rsidRPr="00302F29">
        <w:rPr>
          <w:i/>
        </w:rPr>
        <w:t>p</w:t>
      </w:r>
      <w:r>
        <w:t xml:space="preserve"> &gt; .01.</w:t>
      </w:r>
    </w:p>
    <w:p w:rsidR="00C151BD" w:rsidRDefault="00C151BD" w:rsidP="00C151BD"/>
    <w:p w:rsidR="00C151BD" w:rsidRDefault="00C151BD" w:rsidP="00C151BD">
      <w:pPr>
        <w:spacing w:line="480" w:lineRule="auto"/>
        <w:ind w:left="720" w:hanging="720"/>
      </w:pPr>
    </w:p>
    <w:p w:rsidR="00C151BD" w:rsidRDefault="00C151BD" w:rsidP="00C151B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607"/>
        <w:gridCol w:w="1684"/>
        <w:gridCol w:w="1620"/>
        <w:gridCol w:w="964"/>
        <w:gridCol w:w="944"/>
      </w:tblGrid>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lastRenderedPageBreak/>
              <w:t>Table 3</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8856" w:type="dxa"/>
            <w:gridSpan w:val="6"/>
            <w:tcBorders>
              <w:top w:val="nil"/>
              <w:left w:val="nil"/>
              <w:right w:val="nil"/>
            </w:tcBorders>
          </w:tcPr>
          <w:p w:rsidR="00C151BD" w:rsidRPr="00113CBA" w:rsidRDefault="00C151BD" w:rsidP="00C43687">
            <w:pPr>
              <w:rPr>
                <w:rFonts w:ascii="Calibri" w:hAnsi="Calibri"/>
                <w:i/>
              </w:rPr>
            </w:pPr>
            <w:r w:rsidRPr="00113CBA">
              <w:rPr>
                <w:rFonts w:ascii="Calibri" w:hAnsi="Calibri"/>
                <w:i/>
                <w:sz w:val="22"/>
                <w:szCs w:val="22"/>
              </w:rPr>
              <w:t>Treatment Outcome as a Function of Group</w:t>
            </w:r>
          </w:p>
        </w:tc>
      </w:tr>
      <w:tr w:rsidR="00C151BD" w:rsidTr="00C43687">
        <w:tc>
          <w:tcPr>
            <w:tcW w:w="2037" w:type="dxa"/>
            <w:tcBorders>
              <w:left w:val="nil"/>
              <w:bottom w:val="nil"/>
              <w:right w:val="nil"/>
            </w:tcBorders>
          </w:tcPr>
          <w:p w:rsidR="00C151BD" w:rsidRPr="00113CBA" w:rsidRDefault="00C151BD" w:rsidP="00C43687">
            <w:pPr>
              <w:rPr>
                <w:rFonts w:ascii="Calibri" w:hAnsi="Calibri"/>
              </w:rPr>
            </w:pPr>
          </w:p>
          <w:p w:rsidR="00C151BD" w:rsidRPr="00113CBA" w:rsidRDefault="00C151BD" w:rsidP="00C43687">
            <w:pPr>
              <w:rPr>
                <w:rFonts w:ascii="Calibri" w:hAnsi="Calibri"/>
              </w:rPr>
            </w:pPr>
          </w:p>
        </w:tc>
        <w:tc>
          <w:tcPr>
            <w:tcW w:w="1607" w:type="dxa"/>
            <w:tcBorders>
              <w:left w:val="nil"/>
              <w:bottom w:val="nil"/>
              <w:right w:val="nil"/>
            </w:tcBorders>
          </w:tcPr>
          <w:p w:rsidR="00C151BD" w:rsidRPr="00113CBA" w:rsidRDefault="00C151BD" w:rsidP="00C43687">
            <w:pPr>
              <w:rPr>
                <w:rFonts w:ascii="Calibri" w:hAnsi="Calibri"/>
                <w:u w:val="single"/>
              </w:rPr>
            </w:pPr>
          </w:p>
          <w:p w:rsidR="00C151BD" w:rsidRPr="00113CBA" w:rsidRDefault="00C151BD" w:rsidP="00C43687">
            <w:pPr>
              <w:rPr>
                <w:rFonts w:ascii="Calibri" w:hAnsi="Calibri"/>
                <w:u w:val="single"/>
              </w:rPr>
            </w:pPr>
            <w:r w:rsidRPr="00113CBA">
              <w:rPr>
                <w:rFonts w:ascii="Calibri" w:hAnsi="Calibri"/>
                <w:sz w:val="22"/>
                <w:szCs w:val="22"/>
              </w:rPr>
              <w:t xml:space="preserve">  </w:t>
            </w:r>
            <w:r w:rsidRPr="00113CBA">
              <w:rPr>
                <w:rFonts w:ascii="Calibri" w:hAnsi="Calibri"/>
                <w:sz w:val="22"/>
                <w:szCs w:val="22"/>
                <w:u w:val="single"/>
              </w:rPr>
              <w:t>Pre-</w:t>
            </w:r>
          </w:p>
          <w:p w:rsidR="00C151BD" w:rsidRPr="00113CBA" w:rsidRDefault="00C151BD" w:rsidP="00C43687">
            <w:pPr>
              <w:rPr>
                <w:rFonts w:ascii="Calibri" w:hAnsi="Calibri"/>
                <w:u w:val="single"/>
              </w:rPr>
            </w:pPr>
            <w:r w:rsidRPr="00113CBA">
              <w:rPr>
                <w:rFonts w:ascii="Calibri" w:hAnsi="Calibri"/>
                <w:sz w:val="22"/>
                <w:szCs w:val="22"/>
              </w:rPr>
              <w:t xml:space="preserve">  </w:t>
            </w:r>
            <w:r w:rsidRPr="00113CBA">
              <w:rPr>
                <w:rFonts w:ascii="Calibri" w:hAnsi="Calibri"/>
                <w:sz w:val="22"/>
                <w:szCs w:val="22"/>
                <w:u w:val="single"/>
              </w:rPr>
              <w:t>treatment</w:t>
            </w:r>
          </w:p>
        </w:tc>
        <w:tc>
          <w:tcPr>
            <w:tcW w:w="1684" w:type="dxa"/>
            <w:tcBorders>
              <w:left w:val="nil"/>
              <w:bottom w:val="nil"/>
              <w:right w:val="nil"/>
            </w:tcBorders>
          </w:tcPr>
          <w:p w:rsidR="00C151BD" w:rsidRPr="00113CBA" w:rsidRDefault="00C151BD" w:rsidP="00C43687">
            <w:pPr>
              <w:rPr>
                <w:rFonts w:ascii="Calibri" w:hAnsi="Calibri"/>
                <w:u w:val="single"/>
              </w:rPr>
            </w:pPr>
          </w:p>
          <w:p w:rsidR="00C151BD" w:rsidRPr="00113CBA" w:rsidRDefault="00C151BD" w:rsidP="00C43687">
            <w:pPr>
              <w:rPr>
                <w:rFonts w:ascii="Calibri" w:hAnsi="Calibri"/>
                <w:u w:val="single"/>
              </w:rPr>
            </w:pPr>
            <w:r w:rsidRPr="00113CBA">
              <w:rPr>
                <w:rFonts w:ascii="Calibri" w:hAnsi="Calibri"/>
                <w:sz w:val="22"/>
                <w:szCs w:val="22"/>
              </w:rPr>
              <w:t xml:space="preserve">   </w:t>
            </w:r>
            <w:r w:rsidRPr="00113CBA">
              <w:rPr>
                <w:rFonts w:ascii="Calibri" w:hAnsi="Calibri"/>
                <w:sz w:val="22"/>
                <w:szCs w:val="22"/>
                <w:u w:val="single"/>
              </w:rPr>
              <w:t>Post-</w:t>
            </w:r>
          </w:p>
          <w:p w:rsidR="00C151BD" w:rsidRPr="00113CBA" w:rsidRDefault="00C151BD" w:rsidP="00C43687">
            <w:pPr>
              <w:rPr>
                <w:rFonts w:ascii="Calibri" w:hAnsi="Calibri"/>
                <w:u w:val="single"/>
              </w:rPr>
            </w:pPr>
            <w:r w:rsidRPr="00113CBA">
              <w:rPr>
                <w:rFonts w:ascii="Calibri" w:hAnsi="Calibri"/>
                <w:sz w:val="22"/>
                <w:szCs w:val="22"/>
              </w:rPr>
              <w:t xml:space="preserve">   </w:t>
            </w:r>
            <w:r w:rsidRPr="00113CBA">
              <w:rPr>
                <w:rFonts w:ascii="Calibri" w:hAnsi="Calibri"/>
                <w:sz w:val="22"/>
                <w:szCs w:val="22"/>
                <w:u w:val="single"/>
              </w:rPr>
              <w:t>treatment</w:t>
            </w:r>
          </w:p>
        </w:tc>
        <w:tc>
          <w:tcPr>
            <w:tcW w:w="1620" w:type="dxa"/>
            <w:tcBorders>
              <w:left w:val="nil"/>
              <w:bottom w:val="nil"/>
              <w:right w:val="nil"/>
            </w:tcBorders>
          </w:tcPr>
          <w:p w:rsidR="00C151BD" w:rsidRPr="00113CBA" w:rsidRDefault="00C151BD" w:rsidP="00C43687">
            <w:pPr>
              <w:jc w:val="center"/>
              <w:rPr>
                <w:rFonts w:ascii="Calibri" w:hAnsi="Calibri"/>
                <w:u w:val="single"/>
              </w:rPr>
            </w:pPr>
          </w:p>
          <w:p w:rsidR="00C151BD" w:rsidRPr="00113CBA" w:rsidRDefault="00C151BD" w:rsidP="00C43687">
            <w:pPr>
              <w:jc w:val="center"/>
              <w:rPr>
                <w:rFonts w:ascii="Calibri" w:hAnsi="Calibri"/>
                <w:u w:val="single"/>
              </w:rPr>
            </w:pPr>
            <w:r w:rsidRPr="00113CBA">
              <w:rPr>
                <w:rFonts w:ascii="Calibri" w:hAnsi="Calibri"/>
                <w:sz w:val="22"/>
                <w:szCs w:val="22"/>
                <w:u w:val="single"/>
              </w:rPr>
              <w:t>1-month follow-up</w:t>
            </w:r>
          </w:p>
        </w:tc>
        <w:tc>
          <w:tcPr>
            <w:tcW w:w="964" w:type="dxa"/>
            <w:tcBorders>
              <w:left w:val="nil"/>
              <w:bottom w:val="nil"/>
              <w:right w:val="nil"/>
            </w:tcBorders>
          </w:tcPr>
          <w:p w:rsidR="00C151BD" w:rsidRPr="00113CBA" w:rsidRDefault="00C151BD" w:rsidP="00C43687">
            <w:pPr>
              <w:jc w:val="center"/>
              <w:rPr>
                <w:rFonts w:ascii="Calibri" w:hAnsi="Calibri"/>
              </w:rPr>
            </w:pPr>
          </w:p>
          <w:p w:rsidR="00C151BD" w:rsidRPr="00113CBA" w:rsidRDefault="00C151BD" w:rsidP="00C43687">
            <w:pPr>
              <w:jc w:val="center"/>
              <w:rPr>
                <w:rFonts w:ascii="Calibri" w:hAnsi="Calibri"/>
              </w:rPr>
            </w:pPr>
            <w:r w:rsidRPr="00113CBA">
              <w:rPr>
                <w:rFonts w:ascii="Calibri" w:hAnsi="Calibri"/>
                <w:sz w:val="22"/>
                <w:szCs w:val="22"/>
              </w:rPr>
              <w:t>Time x Group</w:t>
            </w:r>
          </w:p>
          <w:p w:rsidR="00C151BD" w:rsidRPr="00113CBA" w:rsidRDefault="00C151BD" w:rsidP="00C43687">
            <w:pPr>
              <w:jc w:val="center"/>
              <w:rPr>
                <w:rFonts w:ascii="Calibri" w:hAnsi="Calibri"/>
              </w:rPr>
            </w:pPr>
            <w:r w:rsidRPr="00113CBA">
              <w:rPr>
                <w:rFonts w:ascii="Calibri" w:hAnsi="Calibri"/>
                <w:sz w:val="22"/>
                <w:szCs w:val="22"/>
              </w:rPr>
              <w:t>(</w:t>
            </w:r>
            <w:r w:rsidRPr="00113CBA">
              <w:rPr>
                <w:rFonts w:ascii="Calibri" w:hAnsi="Calibri"/>
                <w:i/>
                <w:sz w:val="22"/>
                <w:szCs w:val="22"/>
              </w:rPr>
              <w:t>F</w:t>
            </w:r>
            <w:r w:rsidRPr="00113CBA">
              <w:rPr>
                <w:rFonts w:ascii="Calibri" w:hAnsi="Calibri"/>
                <w:sz w:val="22"/>
                <w:szCs w:val="22"/>
              </w:rPr>
              <w:t>)</w:t>
            </w:r>
          </w:p>
        </w:tc>
        <w:tc>
          <w:tcPr>
            <w:tcW w:w="944" w:type="dxa"/>
            <w:tcBorders>
              <w:left w:val="nil"/>
              <w:bottom w:val="nil"/>
              <w:right w:val="nil"/>
            </w:tcBorders>
          </w:tcPr>
          <w:p w:rsidR="00C151BD" w:rsidRPr="00113CBA" w:rsidRDefault="00C151BD" w:rsidP="00C43687">
            <w:pPr>
              <w:rPr>
                <w:rFonts w:ascii="Calibri" w:hAnsi="Calibri"/>
              </w:rPr>
            </w:pPr>
          </w:p>
          <w:p w:rsidR="00C151BD" w:rsidRPr="00113CBA" w:rsidRDefault="00C151BD" w:rsidP="00C43687">
            <w:pPr>
              <w:rPr>
                <w:rFonts w:ascii="Calibri" w:hAnsi="Calibri"/>
              </w:rPr>
            </w:pPr>
            <w:r w:rsidRPr="00113CBA">
              <w:rPr>
                <w:rFonts w:ascii="Calibri" w:hAnsi="Calibri"/>
                <w:sz w:val="22"/>
                <w:szCs w:val="22"/>
              </w:rPr>
              <w:t>Effect size (</w:t>
            </w:r>
            <w:r w:rsidRPr="00113CBA">
              <w:rPr>
                <w:rFonts w:ascii="Calibri" w:hAnsi="Calibri"/>
                <w:i/>
                <w:sz w:val="22"/>
                <w:szCs w:val="22"/>
              </w:rPr>
              <w:t>d</w:t>
            </w:r>
            <w:r w:rsidRPr="00113CBA">
              <w:rPr>
                <w:rFonts w:ascii="Calibri" w:hAnsi="Calibri"/>
                <w:sz w:val="22"/>
                <w:szCs w:val="22"/>
              </w:rPr>
              <w:t>)</w:t>
            </w:r>
          </w:p>
        </w:tc>
      </w:tr>
      <w:tr w:rsidR="00C151BD" w:rsidTr="00C43687">
        <w:tc>
          <w:tcPr>
            <w:tcW w:w="2037" w:type="dxa"/>
            <w:tcBorders>
              <w:left w:val="nil"/>
              <w:bottom w:val="nil"/>
              <w:right w:val="nil"/>
            </w:tcBorders>
          </w:tcPr>
          <w:p w:rsidR="00C151BD" w:rsidRPr="00113CBA" w:rsidRDefault="00C151BD" w:rsidP="00C43687">
            <w:pPr>
              <w:rPr>
                <w:rFonts w:ascii="Calibri" w:hAnsi="Calibri"/>
              </w:rPr>
            </w:pPr>
          </w:p>
        </w:tc>
        <w:tc>
          <w:tcPr>
            <w:tcW w:w="1607" w:type="dxa"/>
            <w:tcBorders>
              <w:left w:val="nil"/>
              <w:bottom w:val="nil"/>
              <w:right w:val="nil"/>
            </w:tcBorders>
          </w:tcPr>
          <w:p w:rsidR="00C151BD" w:rsidRPr="00113CBA" w:rsidRDefault="00C151BD" w:rsidP="00C43687">
            <w:pPr>
              <w:rPr>
                <w:rFonts w:ascii="Calibri" w:hAnsi="Calibri"/>
                <w:u w:val="single"/>
              </w:rPr>
            </w:pPr>
          </w:p>
        </w:tc>
        <w:tc>
          <w:tcPr>
            <w:tcW w:w="1684" w:type="dxa"/>
            <w:tcBorders>
              <w:left w:val="nil"/>
              <w:bottom w:val="nil"/>
              <w:right w:val="nil"/>
            </w:tcBorders>
          </w:tcPr>
          <w:p w:rsidR="00C151BD" w:rsidRPr="00113CBA" w:rsidRDefault="00C151BD" w:rsidP="00C43687">
            <w:pPr>
              <w:rPr>
                <w:rFonts w:ascii="Calibri" w:hAnsi="Calibri"/>
                <w:u w:val="single"/>
              </w:rPr>
            </w:pPr>
          </w:p>
        </w:tc>
        <w:tc>
          <w:tcPr>
            <w:tcW w:w="1620" w:type="dxa"/>
            <w:tcBorders>
              <w:left w:val="nil"/>
              <w:bottom w:val="nil"/>
              <w:right w:val="nil"/>
            </w:tcBorders>
          </w:tcPr>
          <w:p w:rsidR="00C151BD" w:rsidRPr="00113CBA" w:rsidRDefault="00C151BD" w:rsidP="00C43687">
            <w:pPr>
              <w:jc w:val="center"/>
              <w:rPr>
                <w:rFonts w:ascii="Calibri" w:hAnsi="Calibri"/>
                <w:u w:val="single"/>
              </w:rPr>
            </w:pPr>
          </w:p>
        </w:tc>
        <w:tc>
          <w:tcPr>
            <w:tcW w:w="964" w:type="dxa"/>
            <w:tcBorders>
              <w:left w:val="nil"/>
              <w:bottom w:val="nil"/>
              <w:right w:val="nil"/>
            </w:tcBorders>
          </w:tcPr>
          <w:p w:rsidR="00C151BD" w:rsidRPr="00113CBA" w:rsidRDefault="00C151BD" w:rsidP="00C43687">
            <w:pPr>
              <w:jc w:val="center"/>
              <w:rPr>
                <w:rFonts w:ascii="Calibri" w:hAnsi="Calibri"/>
              </w:rPr>
            </w:pPr>
          </w:p>
        </w:tc>
        <w:tc>
          <w:tcPr>
            <w:tcW w:w="944" w:type="dxa"/>
            <w:tcBorders>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Outcome measures and group</w:t>
            </w:r>
          </w:p>
          <w:p w:rsidR="00C151BD" w:rsidRPr="00113CBA" w:rsidRDefault="00C151BD" w:rsidP="00C43687">
            <w:pPr>
              <w:rPr>
                <w:rFonts w:ascii="Calibri" w:hAnsi="Calibri"/>
                <w:b/>
              </w:rPr>
            </w:pPr>
          </w:p>
        </w:tc>
        <w:tc>
          <w:tcPr>
            <w:tcW w:w="1607" w:type="dxa"/>
            <w:tcBorders>
              <w:top w:val="nil"/>
              <w:left w:val="nil"/>
              <w:bottom w:val="nil"/>
              <w:right w:val="nil"/>
            </w:tcBorders>
          </w:tcPr>
          <w:p w:rsidR="00C151BD" w:rsidRPr="00113CBA" w:rsidRDefault="00C151BD" w:rsidP="00C43687">
            <w:pPr>
              <w:rPr>
                <w:rFonts w:ascii="Calibri" w:hAnsi="Calibri"/>
                <w:i/>
              </w:rPr>
            </w:pPr>
            <w:r w:rsidRPr="00113CBA">
              <w:rPr>
                <w:rFonts w:ascii="Calibri" w:hAnsi="Calibri"/>
                <w:i/>
                <w:sz w:val="22"/>
                <w:szCs w:val="22"/>
              </w:rPr>
              <w:t xml:space="preserve">   M          SD</w:t>
            </w:r>
          </w:p>
        </w:tc>
        <w:tc>
          <w:tcPr>
            <w:tcW w:w="1684" w:type="dxa"/>
            <w:tcBorders>
              <w:top w:val="nil"/>
              <w:left w:val="nil"/>
              <w:bottom w:val="nil"/>
              <w:right w:val="nil"/>
            </w:tcBorders>
          </w:tcPr>
          <w:p w:rsidR="00C151BD" w:rsidRPr="00113CBA" w:rsidRDefault="00C151BD" w:rsidP="00C43687">
            <w:pPr>
              <w:rPr>
                <w:rFonts w:ascii="Calibri" w:hAnsi="Calibri"/>
                <w:i/>
              </w:rPr>
            </w:pPr>
            <w:r w:rsidRPr="00113CBA">
              <w:rPr>
                <w:rFonts w:ascii="Calibri" w:hAnsi="Calibri"/>
                <w:i/>
                <w:sz w:val="22"/>
                <w:szCs w:val="22"/>
              </w:rPr>
              <w:t xml:space="preserve">   M         SD</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i/>
                <w:sz w:val="22"/>
                <w:szCs w:val="22"/>
              </w:rPr>
              <w:t xml:space="preserve">   M         SD</w:t>
            </w: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BDI-II</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BA</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27.21       7.17</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13.93     10.15 </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11.57     10.24</w:t>
            </w:r>
          </w:p>
        </w:tc>
        <w:tc>
          <w:tcPr>
            <w:tcW w:w="96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2.81*</w:t>
            </w:r>
          </w:p>
        </w:tc>
        <w:tc>
          <w:tcPr>
            <w:tcW w:w="94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0.74</w:t>
            </w: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MBT</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29.67       9.81</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16.50     12.80</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16.72     15.98</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WLC</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30.17     13.16</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25.50     11.83</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23.08     13.91</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HRSD</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BA</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13.93       3.71  </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 6.57        4.47</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 4.50        4.40</w:t>
            </w:r>
          </w:p>
        </w:tc>
        <w:tc>
          <w:tcPr>
            <w:tcW w:w="964" w:type="dxa"/>
            <w:vMerge w:val="restart"/>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5.92**</w:t>
            </w:r>
          </w:p>
        </w:tc>
        <w:tc>
          <w:tcPr>
            <w:tcW w:w="944" w:type="dxa"/>
            <w:vMerge w:val="restart"/>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1.07</w:t>
            </w: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MBT</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14.44       4.34</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 7.44        5.24</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 7.06        5.98</w:t>
            </w:r>
          </w:p>
        </w:tc>
        <w:tc>
          <w:tcPr>
            <w:tcW w:w="964" w:type="dxa"/>
            <w:vMerge/>
            <w:tcBorders>
              <w:left w:val="nil"/>
              <w:right w:val="nil"/>
            </w:tcBorders>
          </w:tcPr>
          <w:p w:rsidR="00C151BD" w:rsidRPr="00113CBA" w:rsidRDefault="00C151BD" w:rsidP="00C43687">
            <w:pPr>
              <w:rPr>
                <w:rFonts w:ascii="Calibri" w:hAnsi="Calibri"/>
              </w:rPr>
            </w:pPr>
          </w:p>
        </w:tc>
        <w:tc>
          <w:tcPr>
            <w:tcW w:w="944" w:type="dxa"/>
            <w:vMerge/>
            <w:tcBorders>
              <w:left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WLC</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14.67       2.81</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13.08       4.85</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11.83       5.81</w:t>
            </w:r>
          </w:p>
        </w:tc>
        <w:tc>
          <w:tcPr>
            <w:tcW w:w="964" w:type="dxa"/>
            <w:vMerge/>
            <w:tcBorders>
              <w:left w:val="nil"/>
              <w:bottom w:val="nil"/>
              <w:right w:val="nil"/>
            </w:tcBorders>
          </w:tcPr>
          <w:p w:rsidR="00C151BD" w:rsidRPr="00113CBA" w:rsidRDefault="00C151BD" w:rsidP="00C43687">
            <w:pPr>
              <w:rPr>
                <w:rFonts w:ascii="Calibri" w:hAnsi="Calibri"/>
              </w:rPr>
            </w:pPr>
          </w:p>
        </w:tc>
        <w:tc>
          <w:tcPr>
            <w:tcW w:w="944" w:type="dxa"/>
            <w:vMerge/>
            <w:tcBorders>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PSS</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BA</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24.00       5.95</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19.14       5.89</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17.50       3.94</w:t>
            </w:r>
          </w:p>
        </w:tc>
        <w:tc>
          <w:tcPr>
            <w:tcW w:w="96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2.68*</w:t>
            </w:r>
          </w:p>
        </w:tc>
        <w:tc>
          <w:tcPr>
            <w:tcW w:w="94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0.72</w:t>
            </w: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MBT</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25.50       6.99</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20.44       8.16</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18.06       5.33</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WLC</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25.92       4.83</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25.00       4.47</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25.92       2.57</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RRS</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BA</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51.43       8.41</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42.50     10.73</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39.43     16.52</w:t>
            </w:r>
          </w:p>
        </w:tc>
        <w:tc>
          <w:tcPr>
            <w:tcW w:w="96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2.83*</w:t>
            </w:r>
          </w:p>
        </w:tc>
        <w:tc>
          <w:tcPr>
            <w:tcW w:w="94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0.74</w:t>
            </w: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MBT</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54.33     11.48</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43.94     13.46</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44.67     15.10</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WLC</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57.50     12.28</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57.17       8.39</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57.08     10.53</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FFMQ</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BA</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109.93   10.67</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113.00    12.76 </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95.29     13.66</w:t>
            </w:r>
          </w:p>
        </w:tc>
        <w:tc>
          <w:tcPr>
            <w:tcW w:w="964" w:type="dxa"/>
            <w:vMerge w:val="restart"/>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2.65*</w:t>
            </w:r>
          </w:p>
        </w:tc>
        <w:tc>
          <w:tcPr>
            <w:tcW w:w="944" w:type="dxa"/>
            <w:vMerge w:val="restart"/>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 xml:space="preserve"> 0.72</w:t>
            </w: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MBT</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107.67   12.69</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119.61    20.06</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104.78   15.79</w:t>
            </w:r>
          </w:p>
        </w:tc>
        <w:tc>
          <w:tcPr>
            <w:tcW w:w="964" w:type="dxa"/>
            <w:vMerge/>
            <w:tcBorders>
              <w:left w:val="nil"/>
              <w:right w:val="nil"/>
            </w:tcBorders>
          </w:tcPr>
          <w:p w:rsidR="00C151BD" w:rsidRPr="00113CBA" w:rsidRDefault="00C151BD" w:rsidP="00C43687">
            <w:pPr>
              <w:rPr>
                <w:rFonts w:ascii="Calibri" w:hAnsi="Calibri"/>
              </w:rPr>
            </w:pPr>
          </w:p>
        </w:tc>
        <w:tc>
          <w:tcPr>
            <w:tcW w:w="944" w:type="dxa"/>
            <w:vMerge/>
            <w:tcBorders>
              <w:left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WLC</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109.00   15.57</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108.92    14.29</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85.58     19.43</w:t>
            </w:r>
          </w:p>
        </w:tc>
        <w:tc>
          <w:tcPr>
            <w:tcW w:w="964" w:type="dxa"/>
            <w:vMerge/>
            <w:tcBorders>
              <w:left w:val="nil"/>
              <w:bottom w:val="nil"/>
              <w:right w:val="nil"/>
            </w:tcBorders>
          </w:tcPr>
          <w:p w:rsidR="00C151BD" w:rsidRPr="00113CBA" w:rsidRDefault="00C151BD" w:rsidP="00C43687">
            <w:pPr>
              <w:rPr>
                <w:rFonts w:ascii="Calibri" w:hAnsi="Calibri"/>
              </w:rPr>
            </w:pPr>
          </w:p>
        </w:tc>
        <w:tc>
          <w:tcPr>
            <w:tcW w:w="944" w:type="dxa"/>
            <w:vMerge/>
            <w:tcBorders>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b/>
              </w:rPr>
            </w:pPr>
            <w:r w:rsidRPr="00113CBA">
              <w:rPr>
                <w:rFonts w:ascii="Calibri" w:hAnsi="Calibri"/>
                <w:b/>
                <w:sz w:val="22"/>
                <w:szCs w:val="22"/>
              </w:rPr>
              <w:t>BAI</w:t>
            </w:r>
          </w:p>
        </w:tc>
        <w:tc>
          <w:tcPr>
            <w:tcW w:w="1607" w:type="dxa"/>
            <w:tcBorders>
              <w:top w:val="nil"/>
              <w:left w:val="nil"/>
              <w:bottom w:val="nil"/>
              <w:right w:val="nil"/>
            </w:tcBorders>
          </w:tcPr>
          <w:p w:rsidR="00C151BD" w:rsidRPr="00113CBA" w:rsidRDefault="00C151BD" w:rsidP="00C43687">
            <w:pPr>
              <w:rPr>
                <w:rFonts w:ascii="Calibri" w:hAnsi="Calibri"/>
              </w:rPr>
            </w:pPr>
          </w:p>
        </w:tc>
        <w:tc>
          <w:tcPr>
            <w:tcW w:w="1684" w:type="dxa"/>
            <w:tcBorders>
              <w:top w:val="nil"/>
              <w:left w:val="nil"/>
              <w:bottom w:val="nil"/>
              <w:right w:val="nil"/>
            </w:tcBorders>
          </w:tcPr>
          <w:p w:rsidR="00C151BD" w:rsidRPr="00113CBA" w:rsidRDefault="00C151BD" w:rsidP="00C43687">
            <w:pPr>
              <w:rPr>
                <w:rFonts w:ascii="Calibri" w:hAnsi="Calibri"/>
              </w:rPr>
            </w:pPr>
          </w:p>
        </w:tc>
        <w:tc>
          <w:tcPr>
            <w:tcW w:w="1620" w:type="dxa"/>
            <w:tcBorders>
              <w:top w:val="nil"/>
              <w:left w:val="nil"/>
              <w:bottom w:val="nil"/>
              <w:right w:val="nil"/>
            </w:tcBorders>
          </w:tcPr>
          <w:p w:rsidR="00C151BD" w:rsidRPr="00113CBA" w:rsidRDefault="00C151BD" w:rsidP="00C43687">
            <w:pPr>
              <w:rPr>
                <w:rFonts w:ascii="Calibri" w:hAnsi="Calibri"/>
              </w:rPr>
            </w:pPr>
          </w:p>
        </w:tc>
        <w:tc>
          <w:tcPr>
            <w:tcW w:w="964" w:type="dxa"/>
            <w:tcBorders>
              <w:top w:val="nil"/>
              <w:left w:val="nil"/>
              <w:bottom w:val="nil"/>
              <w:right w:val="nil"/>
            </w:tcBorders>
          </w:tcPr>
          <w:p w:rsidR="00C151BD" w:rsidRPr="00113CBA" w:rsidRDefault="00C151BD" w:rsidP="00C43687">
            <w:pPr>
              <w:rPr>
                <w:rFonts w:ascii="Calibri" w:hAnsi="Calibri"/>
              </w:rPr>
            </w:pPr>
          </w:p>
        </w:tc>
        <w:tc>
          <w:tcPr>
            <w:tcW w:w="944" w:type="dxa"/>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BA</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15.86     10.50</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12.21       8.63</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 xml:space="preserve"> 9.43        7.76</w:t>
            </w:r>
          </w:p>
        </w:tc>
        <w:tc>
          <w:tcPr>
            <w:tcW w:w="96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0.31</w:t>
            </w:r>
          </w:p>
        </w:tc>
        <w:tc>
          <w:tcPr>
            <w:tcW w:w="944" w:type="dxa"/>
            <w:vMerge w:val="restart"/>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0.25</w:t>
            </w:r>
          </w:p>
        </w:tc>
      </w:tr>
      <w:tr w:rsidR="00C151BD" w:rsidTr="00C43687">
        <w:tc>
          <w:tcPr>
            <w:tcW w:w="203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MBT</w:t>
            </w:r>
          </w:p>
        </w:tc>
        <w:tc>
          <w:tcPr>
            <w:tcW w:w="1607"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17.50       9.97</w:t>
            </w:r>
          </w:p>
        </w:tc>
        <w:tc>
          <w:tcPr>
            <w:tcW w:w="1684"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12.06       8.91</w:t>
            </w:r>
          </w:p>
        </w:tc>
        <w:tc>
          <w:tcPr>
            <w:tcW w:w="1620" w:type="dxa"/>
            <w:tcBorders>
              <w:top w:val="nil"/>
              <w:left w:val="nil"/>
              <w:bottom w:val="nil"/>
              <w:right w:val="nil"/>
            </w:tcBorders>
          </w:tcPr>
          <w:p w:rsidR="00C151BD" w:rsidRPr="00113CBA" w:rsidRDefault="00C151BD" w:rsidP="00C43687">
            <w:pPr>
              <w:rPr>
                <w:rFonts w:ascii="Calibri" w:hAnsi="Calibri"/>
              </w:rPr>
            </w:pPr>
            <w:r w:rsidRPr="00113CBA">
              <w:rPr>
                <w:rFonts w:ascii="Calibri" w:hAnsi="Calibri"/>
                <w:sz w:val="22"/>
                <w:szCs w:val="22"/>
              </w:rPr>
              <w:t>11.39     10.40</w:t>
            </w:r>
          </w:p>
        </w:tc>
        <w:tc>
          <w:tcPr>
            <w:tcW w:w="964" w:type="dxa"/>
            <w:vMerge/>
            <w:tcBorders>
              <w:top w:val="nil"/>
              <w:left w:val="nil"/>
              <w:bottom w:val="nil"/>
              <w:right w:val="nil"/>
            </w:tcBorders>
          </w:tcPr>
          <w:p w:rsidR="00C151BD" w:rsidRPr="00113CBA" w:rsidRDefault="00C151BD" w:rsidP="00C43687">
            <w:pPr>
              <w:rPr>
                <w:rFonts w:ascii="Calibri" w:hAnsi="Calibri"/>
              </w:rPr>
            </w:pPr>
          </w:p>
        </w:tc>
        <w:tc>
          <w:tcPr>
            <w:tcW w:w="944" w:type="dxa"/>
            <w:vMerge/>
            <w:tcBorders>
              <w:top w:val="nil"/>
              <w:left w:val="nil"/>
              <w:bottom w:val="nil"/>
              <w:right w:val="nil"/>
            </w:tcBorders>
          </w:tcPr>
          <w:p w:rsidR="00C151BD" w:rsidRPr="00113CBA" w:rsidRDefault="00C151BD" w:rsidP="00C43687">
            <w:pPr>
              <w:rPr>
                <w:rFonts w:ascii="Calibri" w:hAnsi="Calibri"/>
              </w:rPr>
            </w:pPr>
          </w:p>
        </w:tc>
      </w:tr>
      <w:tr w:rsidR="00C151BD" w:rsidTr="00C43687">
        <w:tc>
          <w:tcPr>
            <w:tcW w:w="2037" w:type="dxa"/>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WLC</w:t>
            </w:r>
          </w:p>
        </w:tc>
        <w:tc>
          <w:tcPr>
            <w:tcW w:w="1607" w:type="dxa"/>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18.92    13.27</w:t>
            </w:r>
          </w:p>
        </w:tc>
        <w:tc>
          <w:tcPr>
            <w:tcW w:w="1684" w:type="dxa"/>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16.05       9.19</w:t>
            </w:r>
          </w:p>
        </w:tc>
        <w:tc>
          <w:tcPr>
            <w:tcW w:w="1620" w:type="dxa"/>
            <w:tcBorders>
              <w:top w:val="nil"/>
              <w:left w:val="nil"/>
              <w:right w:val="nil"/>
            </w:tcBorders>
          </w:tcPr>
          <w:p w:rsidR="00C151BD" w:rsidRPr="00113CBA" w:rsidRDefault="00C151BD" w:rsidP="00C43687">
            <w:pPr>
              <w:rPr>
                <w:rFonts w:ascii="Calibri" w:hAnsi="Calibri"/>
              </w:rPr>
            </w:pPr>
            <w:r w:rsidRPr="00113CBA">
              <w:rPr>
                <w:rFonts w:ascii="Calibri" w:hAnsi="Calibri"/>
                <w:sz w:val="22"/>
                <w:szCs w:val="22"/>
              </w:rPr>
              <w:t>14.08     12.33</w:t>
            </w:r>
          </w:p>
        </w:tc>
        <w:tc>
          <w:tcPr>
            <w:tcW w:w="964" w:type="dxa"/>
            <w:vMerge/>
            <w:tcBorders>
              <w:top w:val="nil"/>
              <w:left w:val="nil"/>
              <w:right w:val="nil"/>
            </w:tcBorders>
          </w:tcPr>
          <w:p w:rsidR="00C151BD" w:rsidRPr="00113CBA" w:rsidRDefault="00C151BD" w:rsidP="00C43687">
            <w:pPr>
              <w:rPr>
                <w:rFonts w:ascii="Calibri" w:hAnsi="Calibri"/>
              </w:rPr>
            </w:pPr>
          </w:p>
        </w:tc>
        <w:tc>
          <w:tcPr>
            <w:tcW w:w="944" w:type="dxa"/>
            <w:vMerge/>
            <w:tcBorders>
              <w:top w:val="nil"/>
              <w:left w:val="nil"/>
              <w:right w:val="nil"/>
            </w:tcBorders>
          </w:tcPr>
          <w:p w:rsidR="00C151BD" w:rsidRPr="00113CBA" w:rsidRDefault="00C151BD" w:rsidP="00C43687">
            <w:pPr>
              <w:rPr>
                <w:rFonts w:ascii="Calibri" w:hAnsi="Calibri"/>
              </w:rPr>
            </w:pPr>
          </w:p>
        </w:tc>
      </w:tr>
    </w:tbl>
    <w:p w:rsidR="00C151BD" w:rsidRDefault="00C151BD" w:rsidP="00C151BD">
      <w:r>
        <w:rPr>
          <w:i/>
        </w:rPr>
        <w:t>Note</w:t>
      </w:r>
      <w:r w:rsidRPr="00851DE1">
        <w:rPr>
          <w:i/>
        </w:rPr>
        <w:t>.</w:t>
      </w:r>
      <w:r w:rsidRPr="003A2428">
        <w:t xml:space="preserve"> BDI-II = Beck Depression Inventory; </w:t>
      </w:r>
      <w:r>
        <w:t xml:space="preserve">PSS = </w:t>
      </w:r>
      <w:r w:rsidRPr="003A2428">
        <w:t>Perceived Stress Scale</w:t>
      </w:r>
      <w:r>
        <w:t>;</w:t>
      </w:r>
      <w:r w:rsidRPr="003A2428">
        <w:t xml:space="preserve"> </w:t>
      </w:r>
      <w:r>
        <w:t xml:space="preserve">RRS = </w:t>
      </w:r>
      <w:r w:rsidRPr="003A2428">
        <w:t>Ruminative Response Scale</w:t>
      </w:r>
      <w:r>
        <w:t>;</w:t>
      </w:r>
      <w:r w:rsidRPr="003A2428">
        <w:t xml:space="preserve"> </w:t>
      </w:r>
      <w:r>
        <w:t xml:space="preserve">HRSD = </w:t>
      </w:r>
      <w:r w:rsidRPr="003A2428">
        <w:t>Hamilton Rating Scale for Depression</w:t>
      </w:r>
      <w:r>
        <w:t>;</w:t>
      </w:r>
      <w:r w:rsidRPr="003A2428">
        <w:t xml:space="preserve"> </w:t>
      </w:r>
      <w:r>
        <w:t xml:space="preserve">FFMQ = </w:t>
      </w:r>
      <w:r w:rsidRPr="00846D77">
        <w:t>Five-Facet Mindfulness Questionnaire</w:t>
      </w:r>
      <w:r>
        <w:t xml:space="preserve">; BAI = </w:t>
      </w:r>
      <w:r w:rsidRPr="003A2428">
        <w:t>Beck Anxiety Inventory; BA = Behavioral Activation; MBT = Mindfulness-Based Therapy; WLC = Wait-List Condition.</w:t>
      </w:r>
      <w:r>
        <w:t xml:space="preserve"> Degrees of freedom = 4, 82 for all analyses. </w:t>
      </w:r>
    </w:p>
    <w:p w:rsidR="00C151BD" w:rsidRDefault="00C151BD" w:rsidP="00C151BD">
      <w:r>
        <w:t xml:space="preserve">* </w:t>
      </w:r>
      <w:r w:rsidRPr="00302F29">
        <w:rPr>
          <w:i/>
        </w:rPr>
        <w:t>p</w:t>
      </w:r>
      <w:r>
        <w:t xml:space="preserve"> &lt; .05. ** </w:t>
      </w:r>
      <w:r w:rsidRPr="00302F29">
        <w:rPr>
          <w:i/>
        </w:rPr>
        <w:t>p</w:t>
      </w:r>
      <w:r>
        <w:t xml:space="preserve"> &gt; .01.</w:t>
      </w:r>
    </w:p>
    <w:p w:rsidR="00C151BD" w:rsidRDefault="00C151BD" w:rsidP="00C151BD">
      <w:pPr>
        <w:spacing w:line="480" w:lineRule="auto"/>
      </w:pPr>
    </w:p>
    <w:p w:rsidR="00F22446" w:rsidRDefault="00B206C0" w:rsidP="0014791E">
      <w:pPr>
        <w:spacing w:line="480" w:lineRule="auto"/>
        <w:ind w:left="720" w:hanging="720"/>
      </w:pPr>
      <w:r>
        <w:rPr>
          <w:noProof/>
        </w:rPr>
        <w:lastRenderedPageBreak/>
        <mc:AlternateContent>
          <mc:Choice Requires="wpg">
            <w:drawing>
              <wp:inline distT="0" distB="0" distL="0" distR="0">
                <wp:extent cx="5486400" cy="7658100"/>
                <wp:effectExtent l="0" t="0" r="19050" b="19050"/>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86400" cy="7658100"/>
                          <a:chOff x="2526" y="3564"/>
                          <a:chExt cx="7200" cy="10338"/>
                        </a:xfrm>
                      </wpg:grpSpPr>
                      <wps:wsp>
                        <wps:cNvPr id="4" name="AutoShape 3"/>
                        <wps:cNvSpPr>
                          <a:spLocks noChangeAspect="1" noChangeArrowheads="1" noTextEdit="1"/>
                        </wps:cNvSpPr>
                        <wps:spPr bwMode="auto">
                          <a:xfrm>
                            <a:off x="2526" y="3564"/>
                            <a:ext cx="7200" cy="10338"/>
                          </a:xfrm>
                          <a:prstGeom prst="rect">
                            <a:avLst/>
                          </a:prstGeom>
                          <a:noFill/>
                          <a:ln w="12700">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bodyPr rot="0" vert="horz" wrap="square" lIns="91440" tIns="45720" rIns="91440" bIns="45720" anchor="t" anchorCtr="0" upright="1">
                          <a:noAutofit/>
                        </wps:bodyPr>
                      </wps:wsp>
                      <wps:wsp>
                        <wps:cNvPr id="5" name="Rectangle 4"/>
                        <wps:cNvSpPr>
                          <a:spLocks noChangeArrowheads="1"/>
                        </wps:cNvSpPr>
                        <wps:spPr bwMode="auto">
                          <a:xfrm>
                            <a:off x="4476" y="4027"/>
                            <a:ext cx="3300" cy="617"/>
                          </a:xfrm>
                          <a:prstGeom prst="rect">
                            <a:avLst/>
                          </a:prstGeom>
                          <a:solidFill>
                            <a:srgbClr val="FFFFFF"/>
                          </a:solidFill>
                          <a:ln w="9525">
                            <a:solidFill>
                              <a:srgbClr val="000000"/>
                            </a:solidFill>
                            <a:miter lim="800000"/>
                            <a:headEnd/>
                            <a:tailEnd/>
                          </a:ln>
                        </wps:spPr>
                        <wps:txbx>
                          <w:txbxContent>
                            <w:p w:rsidR="00C43687" w:rsidRDefault="00C43687" w:rsidP="00883C41">
                              <w:r>
                                <w:t xml:space="preserve">     Assessed for eligibility (n = 56)</w:t>
                              </w:r>
                            </w:p>
                          </w:txbxContent>
                        </wps:txbx>
                        <wps:bodyPr rot="0" vert="horz" wrap="square" lIns="91440" tIns="45720" rIns="91440" bIns="45720" anchor="t" anchorCtr="0" upright="1">
                          <a:noAutofit/>
                        </wps:bodyPr>
                      </wps:wsp>
                      <wps:wsp>
                        <wps:cNvPr id="6" name="Line 5"/>
                        <wps:cNvCnPr/>
                        <wps:spPr bwMode="auto">
                          <a:xfrm>
                            <a:off x="5976" y="4644"/>
                            <a:ext cx="1" cy="2777"/>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7" name="Line 6"/>
                        <wps:cNvCnPr/>
                        <wps:spPr bwMode="auto">
                          <a:xfrm>
                            <a:off x="5976" y="6033"/>
                            <a:ext cx="1050" cy="1"/>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8" name="Rectangle 7"/>
                        <wps:cNvSpPr>
                          <a:spLocks noChangeArrowheads="1"/>
                        </wps:cNvSpPr>
                        <wps:spPr bwMode="auto">
                          <a:xfrm>
                            <a:off x="7026" y="5107"/>
                            <a:ext cx="2550" cy="2005"/>
                          </a:xfrm>
                          <a:prstGeom prst="rect">
                            <a:avLst/>
                          </a:prstGeom>
                          <a:solidFill>
                            <a:srgbClr val="FFFFFF"/>
                          </a:solidFill>
                          <a:ln w="9525">
                            <a:solidFill>
                              <a:srgbClr val="000000"/>
                            </a:solidFill>
                            <a:miter lim="800000"/>
                            <a:headEnd/>
                            <a:tailEnd/>
                          </a:ln>
                        </wps:spPr>
                        <wps:txbx>
                          <w:txbxContent>
                            <w:p w:rsidR="00C43687" w:rsidRPr="00A402B7" w:rsidRDefault="00C43687" w:rsidP="00883C41">
                              <w:pPr>
                                <w:rPr>
                                  <w:b/>
                                  <w:sz w:val="20"/>
                                  <w:szCs w:val="20"/>
                                </w:rPr>
                              </w:pPr>
                              <w:r>
                                <w:rPr>
                                  <w:b/>
                                  <w:sz w:val="20"/>
                                  <w:szCs w:val="20"/>
                                </w:rPr>
                                <w:t>Excluded: Screening (n = 6</w:t>
                              </w:r>
                              <w:r w:rsidRPr="00A402B7">
                                <w:rPr>
                                  <w:b/>
                                  <w:sz w:val="20"/>
                                  <w:szCs w:val="20"/>
                                </w:rPr>
                                <w:t>)</w:t>
                              </w:r>
                            </w:p>
                            <w:p w:rsidR="00C43687" w:rsidRPr="00F02F5C" w:rsidRDefault="00C43687" w:rsidP="00883C41">
                              <w:pPr>
                                <w:numPr>
                                  <w:ilvl w:val="0"/>
                                  <w:numId w:val="19"/>
                                </w:numPr>
                                <w:rPr>
                                  <w:sz w:val="20"/>
                                  <w:szCs w:val="20"/>
                                </w:rPr>
                              </w:pPr>
                              <w:r w:rsidRPr="00F02F5C">
                                <w:rPr>
                                  <w:sz w:val="20"/>
                                  <w:szCs w:val="20"/>
                                </w:rPr>
                                <w:t>S</w:t>
                              </w:r>
                              <w:r w:rsidRPr="00D45770">
                                <w:rPr>
                                  <w:sz w:val="20"/>
                                  <w:szCs w:val="20"/>
                                </w:rPr>
                                <w:t>creened negative on BDI-II</w:t>
                              </w:r>
                              <w:r>
                                <w:rPr>
                                  <w:sz w:val="20"/>
                                  <w:szCs w:val="20"/>
                                </w:rPr>
                                <w:t xml:space="preserve"> (n = 3)</w:t>
                              </w:r>
                            </w:p>
                            <w:p w:rsidR="00C43687" w:rsidRPr="00F02F5C" w:rsidRDefault="00C43687" w:rsidP="005D7CB0">
                              <w:pPr>
                                <w:numPr>
                                  <w:ilvl w:val="0"/>
                                  <w:numId w:val="19"/>
                                </w:numPr>
                                <w:rPr>
                                  <w:sz w:val="20"/>
                                  <w:szCs w:val="20"/>
                                </w:rPr>
                              </w:pPr>
                              <w:r>
                                <w:rPr>
                                  <w:sz w:val="20"/>
                                  <w:szCs w:val="20"/>
                                </w:rPr>
                                <w:t>Current alcohol/</w:t>
                              </w:r>
                              <w:r w:rsidRPr="00F02F5C">
                                <w:rPr>
                                  <w:sz w:val="20"/>
                                  <w:szCs w:val="20"/>
                                </w:rPr>
                                <w:t xml:space="preserve"> sub</w:t>
                              </w:r>
                              <w:r>
                                <w:rPr>
                                  <w:sz w:val="20"/>
                                  <w:szCs w:val="20"/>
                                </w:rPr>
                                <w:t>stance dependence</w:t>
                              </w:r>
                              <w:r w:rsidRPr="00F02F5C">
                                <w:rPr>
                                  <w:sz w:val="20"/>
                                  <w:szCs w:val="20"/>
                                </w:rPr>
                                <w:t xml:space="preserve"> </w:t>
                              </w:r>
                              <w:r>
                                <w:rPr>
                                  <w:sz w:val="20"/>
                                  <w:szCs w:val="20"/>
                                </w:rPr>
                                <w:t xml:space="preserve">  </w:t>
                              </w:r>
                              <w:r w:rsidRPr="00F02F5C">
                                <w:rPr>
                                  <w:sz w:val="20"/>
                                  <w:szCs w:val="20"/>
                                </w:rPr>
                                <w:t>(n = 1)</w:t>
                              </w:r>
                            </w:p>
                            <w:p w:rsidR="00C43687" w:rsidRPr="00F02F5C" w:rsidRDefault="00C43687" w:rsidP="00883C41">
                              <w:pPr>
                                <w:numPr>
                                  <w:ilvl w:val="0"/>
                                  <w:numId w:val="19"/>
                                </w:numPr>
                                <w:rPr>
                                  <w:sz w:val="22"/>
                                  <w:szCs w:val="22"/>
                                </w:rPr>
                              </w:pPr>
                              <w:r>
                                <w:rPr>
                                  <w:sz w:val="20"/>
                                  <w:szCs w:val="20"/>
                                </w:rPr>
                                <w:t>Active in therapy (n =1)</w:t>
                              </w:r>
                            </w:p>
                            <w:p w:rsidR="00C43687" w:rsidRPr="00D45770" w:rsidRDefault="00C43687" w:rsidP="00883C41">
                              <w:pPr>
                                <w:numPr>
                                  <w:ilvl w:val="0"/>
                                  <w:numId w:val="19"/>
                                </w:numPr>
                                <w:rPr>
                                  <w:sz w:val="22"/>
                                  <w:szCs w:val="22"/>
                                </w:rPr>
                              </w:pPr>
                              <w:r>
                                <w:rPr>
                                  <w:sz w:val="20"/>
                                  <w:szCs w:val="20"/>
                                </w:rPr>
                                <w:t>Hospitalized (n = 1)</w:t>
                              </w:r>
                            </w:p>
                          </w:txbxContent>
                        </wps:txbx>
                        <wps:bodyPr rot="0" vert="horz" wrap="square" lIns="91440" tIns="45720" rIns="91440" bIns="45720" anchor="t" anchorCtr="0" upright="1">
                          <a:noAutofit/>
                        </wps:bodyPr>
                      </wps:wsp>
                      <wps:wsp>
                        <wps:cNvPr id="9" name="Rectangle 8"/>
                        <wps:cNvSpPr>
                          <a:spLocks noChangeArrowheads="1"/>
                        </wps:cNvSpPr>
                        <wps:spPr bwMode="auto">
                          <a:xfrm>
                            <a:off x="5076" y="7421"/>
                            <a:ext cx="2100" cy="617"/>
                          </a:xfrm>
                          <a:prstGeom prst="rect">
                            <a:avLst/>
                          </a:prstGeom>
                          <a:solidFill>
                            <a:srgbClr val="FFFFFF"/>
                          </a:solidFill>
                          <a:ln w="9525">
                            <a:solidFill>
                              <a:srgbClr val="000000"/>
                            </a:solidFill>
                            <a:miter lim="800000"/>
                            <a:headEnd/>
                            <a:tailEnd/>
                          </a:ln>
                        </wps:spPr>
                        <wps:txbx>
                          <w:txbxContent>
                            <w:p w:rsidR="00C43687" w:rsidRPr="00F1100E" w:rsidRDefault="00C43687" w:rsidP="00883C41">
                              <w:pPr>
                                <w:rPr>
                                  <w:sz w:val="22"/>
                                  <w:szCs w:val="22"/>
                                </w:rPr>
                              </w:pPr>
                              <w:r w:rsidRPr="00F1100E">
                                <w:rPr>
                                  <w:sz w:val="22"/>
                                  <w:szCs w:val="22"/>
                                </w:rPr>
                                <w:t>Randomized (n = 50)</w:t>
                              </w:r>
                            </w:p>
                          </w:txbxContent>
                        </wps:txbx>
                        <wps:bodyPr rot="0" vert="horz" wrap="square" lIns="91440" tIns="45720" rIns="91440" bIns="45720" anchor="t" anchorCtr="0" upright="1">
                          <a:noAutofit/>
                        </wps:bodyPr>
                      </wps:wsp>
                      <wps:wsp>
                        <wps:cNvPr id="10" name="Line 9"/>
                        <wps:cNvCnPr/>
                        <wps:spPr bwMode="auto">
                          <a:xfrm>
                            <a:off x="5976" y="8038"/>
                            <a:ext cx="1" cy="772"/>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11" name="Line 10"/>
                        <wps:cNvCnPr/>
                        <wps:spPr bwMode="auto">
                          <a:xfrm flipH="1">
                            <a:off x="4026" y="8810"/>
                            <a:ext cx="1950"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12" name="Line 11"/>
                        <wps:cNvCnPr/>
                        <wps:spPr bwMode="auto">
                          <a:xfrm>
                            <a:off x="5976" y="8810"/>
                            <a:ext cx="2400"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13" name="Line 12"/>
                        <wps:cNvCnPr/>
                        <wps:spPr bwMode="auto">
                          <a:xfrm>
                            <a:off x="4026" y="8810"/>
                            <a:ext cx="0" cy="308"/>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14" name="Line 13"/>
                        <wps:cNvCnPr/>
                        <wps:spPr bwMode="auto">
                          <a:xfrm>
                            <a:off x="8376" y="8810"/>
                            <a:ext cx="0" cy="308"/>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15" name="Line 14"/>
                        <wps:cNvCnPr/>
                        <wps:spPr bwMode="auto">
                          <a:xfrm>
                            <a:off x="6126" y="8810"/>
                            <a:ext cx="1" cy="308"/>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16" name="Rectangle 15"/>
                        <wps:cNvSpPr>
                          <a:spLocks noChangeArrowheads="1"/>
                        </wps:cNvSpPr>
                        <wps:spPr bwMode="auto">
                          <a:xfrm>
                            <a:off x="3426" y="9118"/>
                            <a:ext cx="1350" cy="926"/>
                          </a:xfrm>
                          <a:prstGeom prst="rect">
                            <a:avLst/>
                          </a:prstGeom>
                          <a:solidFill>
                            <a:srgbClr val="FFFFFF"/>
                          </a:solidFill>
                          <a:ln w="9525">
                            <a:solidFill>
                              <a:srgbClr val="000000"/>
                            </a:solidFill>
                            <a:miter lim="800000"/>
                            <a:headEnd/>
                            <a:tailEnd/>
                          </a:ln>
                        </wps:spPr>
                        <wps:txbx>
                          <w:txbxContent>
                            <w:p w:rsidR="00C43687" w:rsidRPr="00F1100E" w:rsidRDefault="00C43687" w:rsidP="00883C41">
                              <w:pPr>
                                <w:jc w:val="center"/>
                                <w:rPr>
                                  <w:sz w:val="22"/>
                                  <w:szCs w:val="22"/>
                                </w:rPr>
                              </w:pPr>
                              <w:r w:rsidRPr="00F1100E">
                                <w:rPr>
                                  <w:sz w:val="22"/>
                                  <w:szCs w:val="22"/>
                                </w:rPr>
                                <w:t>Allocated to BA (n =16)</w:t>
                              </w:r>
                            </w:p>
                          </w:txbxContent>
                        </wps:txbx>
                        <wps:bodyPr rot="0" vert="horz" wrap="square" lIns="91440" tIns="45720" rIns="91440" bIns="45720" anchor="t" anchorCtr="0" upright="1">
                          <a:noAutofit/>
                        </wps:bodyPr>
                      </wps:wsp>
                      <wps:wsp>
                        <wps:cNvPr id="17" name="Rectangle 16"/>
                        <wps:cNvSpPr>
                          <a:spLocks noChangeArrowheads="1"/>
                        </wps:cNvSpPr>
                        <wps:spPr bwMode="auto">
                          <a:xfrm>
                            <a:off x="5526" y="9118"/>
                            <a:ext cx="1350" cy="926"/>
                          </a:xfrm>
                          <a:prstGeom prst="rect">
                            <a:avLst/>
                          </a:prstGeom>
                          <a:solidFill>
                            <a:srgbClr val="FFFFFF"/>
                          </a:solidFill>
                          <a:ln w="9525">
                            <a:solidFill>
                              <a:srgbClr val="000000"/>
                            </a:solidFill>
                            <a:miter lim="800000"/>
                            <a:headEnd/>
                            <a:tailEnd/>
                          </a:ln>
                        </wps:spPr>
                        <wps:txbx>
                          <w:txbxContent>
                            <w:p w:rsidR="00C43687" w:rsidRPr="00F1100E" w:rsidRDefault="00C43687" w:rsidP="00883C41">
                              <w:pPr>
                                <w:jc w:val="center"/>
                                <w:rPr>
                                  <w:sz w:val="22"/>
                                  <w:szCs w:val="22"/>
                                </w:rPr>
                              </w:pPr>
                              <w:r w:rsidRPr="00F1100E">
                                <w:rPr>
                                  <w:sz w:val="22"/>
                                  <w:szCs w:val="22"/>
                                </w:rPr>
                                <w:t>Allocated to MBT (n = 20)</w:t>
                              </w:r>
                            </w:p>
                          </w:txbxContent>
                        </wps:txbx>
                        <wps:bodyPr rot="0" vert="horz" wrap="square" lIns="91440" tIns="45720" rIns="91440" bIns="45720" anchor="t" anchorCtr="0" upright="1">
                          <a:noAutofit/>
                        </wps:bodyPr>
                      </wps:wsp>
                      <wps:wsp>
                        <wps:cNvPr id="18" name="Rectangle 17"/>
                        <wps:cNvSpPr>
                          <a:spLocks noChangeArrowheads="1"/>
                        </wps:cNvSpPr>
                        <wps:spPr bwMode="auto">
                          <a:xfrm>
                            <a:off x="7626" y="9118"/>
                            <a:ext cx="1350" cy="926"/>
                          </a:xfrm>
                          <a:prstGeom prst="rect">
                            <a:avLst/>
                          </a:prstGeom>
                          <a:solidFill>
                            <a:srgbClr val="FFFFFF"/>
                          </a:solidFill>
                          <a:ln w="9525">
                            <a:solidFill>
                              <a:srgbClr val="000000"/>
                            </a:solidFill>
                            <a:miter lim="800000"/>
                            <a:headEnd/>
                            <a:tailEnd/>
                          </a:ln>
                        </wps:spPr>
                        <wps:txbx>
                          <w:txbxContent>
                            <w:p w:rsidR="00C43687" w:rsidRPr="00A402B7" w:rsidRDefault="00C43687" w:rsidP="00883C41">
                              <w:pPr>
                                <w:jc w:val="center"/>
                                <w:rPr>
                                  <w:sz w:val="22"/>
                                  <w:szCs w:val="22"/>
                                </w:rPr>
                              </w:pPr>
                              <w:r w:rsidRPr="00A402B7">
                                <w:rPr>
                                  <w:sz w:val="22"/>
                                  <w:szCs w:val="22"/>
                                </w:rPr>
                                <w:t>Allocated to WLC (n = 14)</w:t>
                              </w:r>
                            </w:p>
                          </w:txbxContent>
                        </wps:txbx>
                        <wps:bodyPr rot="0" vert="horz" wrap="square" lIns="91440" tIns="45720" rIns="91440" bIns="45720" anchor="t" anchorCtr="0" upright="1">
                          <a:noAutofit/>
                        </wps:bodyPr>
                      </wps:wsp>
                      <wps:wsp>
                        <wps:cNvPr id="19" name="Line 18"/>
                        <wps:cNvCnPr/>
                        <wps:spPr bwMode="auto">
                          <a:xfrm>
                            <a:off x="4026" y="10044"/>
                            <a:ext cx="0" cy="309"/>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20" name="Line 19"/>
                        <wps:cNvCnPr/>
                        <wps:spPr bwMode="auto">
                          <a:xfrm>
                            <a:off x="6276" y="10045"/>
                            <a:ext cx="1" cy="308"/>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21" name="Line 20"/>
                        <wps:cNvCnPr/>
                        <wps:spPr bwMode="auto">
                          <a:xfrm>
                            <a:off x="8376" y="10044"/>
                            <a:ext cx="0" cy="309"/>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22" name="Rectangle 21"/>
                        <wps:cNvSpPr>
                          <a:spLocks noChangeArrowheads="1"/>
                        </wps:cNvSpPr>
                        <wps:spPr bwMode="auto">
                          <a:xfrm>
                            <a:off x="3426" y="10353"/>
                            <a:ext cx="1950" cy="1080"/>
                          </a:xfrm>
                          <a:prstGeom prst="rect">
                            <a:avLst/>
                          </a:prstGeom>
                          <a:solidFill>
                            <a:srgbClr val="FFFFFF"/>
                          </a:solidFill>
                          <a:ln w="9525">
                            <a:solidFill>
                              <a:srgbClr val="000000"/>
                            </a:solidFill>
                            <a:miter lim="800000"/>
                            <a:headEnd/>
                            <a:tailEnd/>
                          </a:ln>
                        </wps:spPr>
                        <wps:txbx>
                          <w:txbxContent>
                            <w:p w:rsidR="00C43687" w:rsidRPr="00A402B7" w:rsidRDefault="00C43687" w:rsidP="00883C41">
                              <w:pPr>
                                <w:rPr>
                                  <w:sz w:val="22"/>
                                  <w:szCs w:val="22"/>
                                </w:rPr>
                              </w:pPr>
                              <w:r w:rsidRPr="00A402B7">
                                <w:rPr>
                                  <w:sz w:val="22"/>
                                  <w:szCs w:val="22"/>
                                </w:rPr>
                                <w:t>Lost to attrition:</w:t>
                              </w:r>
                            </w:p>
                            <w:p w:rsidR="00C43687" w:rsidRDefault="00C43687" w:rsidP="00883C41">
                              <w:pPr>
                                <w:rPr>
                                  <w:sz w:val="20"/>
                                  <w:szCs w:val="20"/>
                                </w:rPr>
                              </w:pPr>
                              <w:r>
                                <w:rPr>
                                  <w:sz w:val="20"/>
                                  <w:szCs w:val="20"/>
                                </w:rPr>
                                <w:t xml:space="preserve">∙ </w:t>
                              </w:r>
                              <w:r w:rsidRPr="00A402B7">
                                <w:rPr>
                                  <w:sz w:val="20"/>
                                  <w:szCs w:val="20"/>
                                </w:rPr>
                                <w:t xml:space="preserve">Post-treatment assessment </w:t>
                              </w:r>
                              <w:r>
                                <w:rPr>
                                  <w:sz w:val="20"/>
                                  <w:szCs w:val="20"/>
                                </w:rPr>
                                <w:t>(n = 1)</w:t>
                              </w:r>
                            </w:p>
                            <w:p w:rsidR="00C43687" w:rsidRDefault="00C43687" w:rsidP="00883C41">
                              <w:pPr>
                                <w:rPr>
                                  <w:sz w:val="20"/>
                                  <w:szCs w:val="20"/>
                                </w:rPr>
                              </w:pPr>
                              <w:r>
                                <w:rPr>
                                  <w:sz w:val="20"/>
                                  <w:szCs w:val="20"/>
                                </w:rPr>
                                <w:t>∙ 1-mo. follow-up (n = 1)</w:t>
                              </w:r>
                            </w:p>
                            <w:p w:rsidR="00C43687" w:rsidRPr="00A402B7" w:rsidRDefault="00C43687" w:rsidP="00883C41">
                              <w:pPr>
                                <w:rPr>
                                  <w:sz w:val="20"/>
                                  <w:szCs w:val="20"/>
                                </w:rPr>
                              </w:pPr>
                            </w:p>
                          </w:txbxContent>
                        </wps:txbx>
                        <wps:bodyPr rot="0" vert="horz" wrap="square" lIns="91440" tIns="45720" rIns="91440" bIns="45720" anchor="t" anchorCtr="0" upright="1">
                          <a:noAutofit/>
                        </wps:bodyPr>
                      </wps:wsp>
                      <wps:wsp>
                        <wps:cNvPr id="23" name="Rectangle 22"/>
                        <wps:cNvSpPr>
                          <a:spLocks noChangeArrowheads="1"/>
                        </wps:cNvSpPr>
                        <wps:spPr bwMode="auto">
                          <a:xfrm>
                            <a:off x="5526" y="10353"/>
                            <a:ext cx="1950" cy="1080"/>
                          </a:xfrm>
                          <a:prstGeom prst="rect">
                            <a:avLst/>
                          </a:prstGeom>
                          <a:solidFill>
                            <a:srgbClr val="FFFFFF"/>
                          </a:solidFill>
                          <a:ln w="9525">
                            <a:solidFill>
                              <a:srgbClr val="000000"/>
                            </a:solidFill>
                            <a:miter lim="800000"/>
                            <a:headEnd/>
                            <a:tailEnd/>
                          </a:ln>
                        </wps:spPr>
                        <wps:txbx>
                          <w:txbxContent>
                            <w:p w:rsidR="00C43687" w:rsidRPr="00A402B7" w:rsidRDefault="00C43687" w:rsidP="00883C41">
                              <w:pPr>
                                <w:rPr>
                                  <w:sz w:val="22"/>
                                  <w:szCs w:val="22"/>
                                </w:rPr>
                              </w:pPr>
                              <w:r w:rsidRPr="00A402B7">
                                <w:rPr>
                                  <w:sz w:val="22"/>
                                  <w:szCs w:val="22"/>
                                </w:rPr>
                                <w:t>Lost to attrition:</w:t>
                              </w:r>
                            </w:p>
                            <w:p w:rsidR="00C43687" w:rsidRDefault="00C43687" w:rsidP="00883C41">
                              <w:pPr>
                                <w:rPr>
                                  <w:sz w:val="20"/>
                                  <w:szCs w:val="20"/>
                                </w:rPr>
                              </w:pPr>
                              <w:r>
                                <w:rPr>
                                  <w:sz w:val="20"/>
                                  <w:szCs w:val="20"/>
                                </w:rPr>
                                <w:t xml:space="preserve">∙ </w:t>
                              </w:r>
                              <w:r w:rsidRPr="00A402B7">
                                <w:rPr>
                                  <w:sz w:val="20"/>
                                  <w:szCs w:val="20"/>
                                </w:rPr>
                                <w:t xml:space="preserve">Post-treatment assessment </w:t>
                              </w:r>
                              <w:r>
                                <w:rPr>
                                  <w:sz w:val="20"/>
                                  <w:szCs w:val="20"/>
                                </w:rPr>
                                <w:t>(n = 2)</w:t>
                              </w:r>
                            </w:p>
                            <w:p w:rsidR="00C43687" w:rsidRPr="00A402B7" w:rsidRDefault="00C43687" w:rsidP="00883C41">
                              <w:pPr>
                                <w:rPr>
                                  <w:sz w:val="20"/>
                                  <w:szCs w:val="20"/>
                                </w:rPr>
                              </w:pPr>
                              <w:r>
                                <w:rPr>
                                  <w:sz w:val="20"/>
                                  <w:szCs w:val="20"/>
                                </w:rPr>
                                <w:t>∙ 1-mo. follow-up (n = 0)</w:t>
                              </w:r>
                            </w:p>
                          </w:txbxContent>
                        </wps:txbx>
                        <wps:bodyPr rot="0" vert="horz" wrap="square" lIns="91440" tIns="45720" rIns="91440" bIns="45720" anchor="t" anchorCtr="0" upright="1">
                          <a:noAutofit/>
                        </wps:bodyPr>
                      </wps:wsp>
                      <wps:wsp>
                        <wps:cNvPr id="24" name="Rectangle 23"/>
                        <wps:cNvSpPr>
                          <a:spLocks noChangeArrowheads="1"/>
                        </wps:cNvSpPr>
                        <wps:spPr bwMode="auto">
                          <a:xfrm>
                            <a:off x="7626" y="10353"/>
                            <a:ext cx="1950" cy="1080"/>
                          </a:xfrm>
                          <a:prstGeom prst="rect">
                            <a:avLst/>
                          </a:prstGeom>
                          <a:solidFill>
                            <a:srgbClr val="FFFFFF"/>
                          </a:solidFill>
                          <a:ln w="9525">
                            <a:solidFill>
                              <a:srgbClr val="000000"/>
                            </a:solidFill>
                            <a:miter lim="800000"/>
                            <a:headEnd/>
                            <a:tailEnd/>
                          </a:ln>
                        </wps:spPr>
                        <wps:txbx>
                          <w:txbxContent>
                            <w:p w:rsidR="00C43687" w:rsidRPr="00A402B7" w:rsidRDefault="00C43687" w:rsidP="00883C41">
                              <w:pPr>
                                <w:rPr>
                                  <w:sz w:val="22"/>
                                  <w:szCs w:val="22"/>
                                </w:rPr>
                              </w:pPr>
                              <w:r w:rsidRPr="00A402B7">
                                <w:rPr>
                                  <w:sz w:val="22"/>
                                  <w:szCs w:val="22"/>
                                </w:rPr>
                                <w:t>Lost to attrition:</w:t>
                              </w:r>
                            </w:p>
                            <w:p w:rsidR="00C43687" w:rsidRDefault="00C43687" w:rsidP="00883C41">
                              <w:pPr>
                                <w:rPr>
                                  <w:sz w:val="20"/>
                                  <w:szCs w:val="20"/>
                                </w:rPr>
                              </w:pPr>
                              <w:r>
                                <w:rPr>
                                  <w:sz w:val="20"/>
                                  <w:szCs w:val="20"/>
                                </w:rPr>
                                <w:t xml:space="preserve">∙ </w:t>
                              </w:r>
                              <w:r w:rsidRPr="00A402B7">
                                <w:rPr>
                                  <w:sz w:val="20"/>
                                  <w:szCs w:val="20"/>
                                </w:rPr>
                                <w:t xml:space="preserve">Post-treatment assessment </w:t>
                              </w:r>
                              <w:r>
                                <w:rPr>
                                  <w:sz w:val="20"/>
                                  <w:szCs w:val="20"/>
                                </w:rPr>
                                <w:t>(n = 1)</w:t>
                              </w:r>
                            </w:p>
                            <w:p w:rsidR="00C43687" w:rsidRPr="00A402B7" w:rsidRDefault="00C43687" w:rsidP="00883C41">
                              <w:pPr>
                                <w:rPr>
                                  <w:sz w:val="20"/>
                                  <w:szCs w:val="20"/>
                                </w:rPr>
                              </w:pPr>
                              <w:r>
                                <w:rPr>
                                  <w:sz w:val="20"/>
                                  <w:szCs w:val="20"/>
                                </w:rPr>
                                <w:t>∙ 1-mo. follow-up (n = 1)</w:t>
                              </w:r>
                            </w:p>
                            <w:p w:rsidR="00C43687" w:rsidRPr="00A402B7" w:rsidRDefault="00C43687" w:rsidP="00883C41">
                              <w:pPr>
                                <w:rPr>
                                  <w:sz w:val="20"/>
                                  <w:szCs w:val="20"/>
                                </w:rPr>
                              </w:pPr>
                            </w:p>
                          </w:txbxContent>
                        </wps:txbx>
                        <wps:bodyPr rot="0" vert="horz" wrap="square" lIns="91440" tIns="45720" rIns="91440" bIns="45720" anchor="t" anchorCtr="0" upright="1">
                          <a:noAutofit/>
                        </wps:bodyPr>
                      </wps:wsp>
                      <wps:wsp>
                        <wps:cNvPr id="25" name="Line 24"/>
                        <wps:cNvCnPr/>
                        <wps:spPr bwMode="auto">
                          <a:xfrm>
                            <a:off x="8526" y="11433"/>
                            <a:ext cx="1" cy="771"/>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26" name="Line 25"/>
                        <wps:cNvCnPr/>
                        <wps:spPr bwMode="auto">
                          <a:xfrm>
                            <a:off x="6426" y="11433"/>
                            <a:ext cx="1" cy="771"/>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27" name="Line 26"/>
                        <wps:cNvCnPr/>
                        <wps:spPr bwMode="auto">
                          <a:xfrm>
                            <a:off x="4326" y="11433"/>
                            <a:ext cx="1" cy="771"/>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wps:wsp>
                        <wps:cNvPr id="28" name="Rectangle 27"/>
                        <wps:cNvSpPr>
                          <a:spLocks noChangeArrowheads="1"/>
                        </wps:cNvSpPr>
                        <wps:spPr bwMode="auto">
                          <a:xfrm>
                            <a:off x="3726" y="12204"/>
                            <a:ext cx="1350" cy="926"/>
                          </a:xfrm>
                          <a:prstGeom prst="rect">
                            <a:avLst/>
                          </a:prstGeom>
                          <a:solidFill>
                            <a:srgbClr val="FFFFFF"/>
                          </a:solidFill>
                          <a:ln w="9525">
                            <a:solidFill>
                              <a:srgbClr val="000000"/>
                            </a:solidFill>
                            <a:miter lim="800000"/>
                            <a:headEnd/>
                            <a:tailEnd/>
                          </a:ln>
                        </wps:spPr>
                        <wps:txbx>
                          <w:txbxContent>
                            <w:p w:rsidR="00C43687" w:rsidRPr="00727C89" w:rsidRDefault="00C43687" w:rsidP="00883C41">
                              <w:pPr>
                                <w:jc w:val="center"/>
                                <w:rPr>
                                  <w:sz w:val="22"/>
                                  <w:szCs w:val="22"/>
                                </w:rPr>
                              </w:pPr>
                              <w:r>
                                <w:rPr>
                                  <w:sz w:val="22"/>
                                  <w:szCs w:val="22"/>
                                </w:rPr>
                                <w:t>Included in data</w:t>
                              </w:r>
                              <w:r w:rsidRPr="00727C89">
                                <w:rPr>
                                  <w:sz w:val="22"/>
                                  <w:szCs w:val="22"/>
                                </w:rPr>
                                <w:t xml:space="preserve"> analysis (n = 14)</w:t>
                              </w:r>
                            </w:p>
                          </w:txbxContent>
                        </wps:txbx>
                        <wps:bodyPr rot="0" vert="horz" wrap="square" lIns="91440" tIns="45720" rIns="91440" bIns="45720" anchor="t" anchorCtr="0" upright="1">
                          <a:noAutofit/>
                        </wps:bodyPr>
                      </wps:wsp>
                      <wps:wsp>
                        <wps:cNvPr id="29" name="Rectangle 28"/>
                        <wps:cNvSpPr>
                          <a:spLocks noChangeArrowheads="1"/>
                        </wps:cNvSpPr>
                        <wps:spPr bwMode="auto">
                          <a:xfrm>
                            <a:off x="5826" y="12204"/>
                            <a:ext cx="1350" cy="926"/>
                          </a:xfrm>
                          <a:prstGeom prst="rect">
                            <a:avLst/>
                          </a:prstGeom>
                          <a:solidFill>
                            <a:srgbClr val="FFFFFF"/>
                          </a:solidFill>
                          <a:ln w="9525">
                            <a:solidFill>
                              <a:srgbClr val="000000"/>
                            </a:solidFill>
                            <a:miter lim="800000"/>
                            <a:headEnd/>
                            <a:tailEnd/>
                          </a:ln>
                        </wps:spPr>
                        <wps:txbx>
                          <w:txbxContent>
                            <w:p w:rsidR="00C43687" w:rsidRPr="00727C89" w:rsidRDefault="00C43687" w:rsidP="00883C41">
                              <w:pPr>
                                <w:jc w:val="center"/>
                                <w:rPr>
                                  <w:sz w:val="22"/>
                                  <w:szCs w:val="22"/>
                                </w:rPr>
                              </w:pPr>
                              <w:r w:rsidRPr="00727C89">
                                <w:rPr>
                                  <w:sz w:val="22"/>
                                  <w:szCs w:val="22"/>
                                </w:rPr>
                                <w:t xml:space="preserve">Included in </w:t>
                              </w:r>
                              <w:r>
                                <w:rPr>
                                  <w:sz w:val="22"/>
                                  <w:szCs w:val="22"/>
                                </w:rPr>
                                <w:t>data</w:t>
                              </w:r>
                              <w:r w:rsidRPr="00727C89">
                                <w:rPr>
                                  <w:sz w:val="22"/>
                                  <w:szCs w:val="22"/>
                                </w:rPr>
                                <w:t xml:space="preserve"> analysis (n = </w:t>
                              </w:r>
                              <w:r>
                                <w:rPr>
                                  <w:sz w:val="22"/>
                                  <w:szCs w:val="22"/>
                                </w:rPr>
                                <w:t>18</w:t>
                              </w:r>
                              <w:r w:rsidRPr="00727C89">
                                <w:rPr>
                                  <w:sz w:val="22"/>
                                  <w:szCs w:val="22"/>
                                </w:rPr>
                                <w:t>)</w:t>
                              </w:r>
                            </w:p>
                          </w:txbxContent>
                        </wps:txbx>
                        <wps:bodyPr rot="0" vert="horz" wrap="square" lIns="91440" tIns="45720" rIns="91440" bIns="45720" anchor="t" anchorCtr="0" upright="1">
                          <a:noAutofit/>
                        </wps:bodyPr>
                      </wps:wsp>
                      <wps:wsp>
                        <wps:cNvPr id="30" name="Rectangle 29"/>
                        <wps:cNvSpPr>
                          <a:spLocks noChangeArrowheads="1"/>
                        </wps:cNvSpPr>
                        <wps:spPr bwMode="auto">
                          <a:xfrm>
                            <a:off x="7926" y="12204"/>
                            <a:ext cx="1350" cy="927"/>
                          </a:xfrm>
                          <a:prstGeom prst="rect">
                            <a:avLst/>
                          </a:prstGeom>
                          <a:solidFill>
                            <a:srgbClr val="FFFFFF"/>
                          </a:solidFill>
                          <a:ln w="9525">
                            <a:solidFill>
                              <a:srgbClr val="000000"/>
                            </a:solidFill>
                            <a:miter lim="800000"/>
                            <a:headEnd/>
                            <a:tailEnd/>
                          </a:ln>
                        </wps:spPr>
                        <wps:txbx>
                          <w:txbxContent>
                            <w:p w:rsidR="00C43687" w:rsidRPr="00727C89" w:rsidRDefault="00C43687" w:rsidP="00883C41">
                              <w:pPr>
                                <w:jc w:val="center"/>
                                <w:rPr>
                                  <w:sz w:val="22"/>
                                  <w:szCs w:val="22"/>
                                </w:rPr>
                              </w:pPr>
                              <w:r w:rsidRPr="00727C89">
                                <w:rPr>
                                  <w:sz w:val="22"/>
                                  <w:szCs w:val="22"/>
                                </w:rPr>
                                <w:t xml:space="preserve">Included in </w:t>
                              </w:r>
                              <w:r>
                                <w:rPr>
                                  <w:sz w:val="22"/>
                                  <w:szCs w:val="22"/>
                                </w:rPr>
                                <w:t>data</w:t>
                              </w:r>
                              <w:r w:rsidRPr="00727C89">
                                <w:rPr>
                                  <w:sz w:val="22"/>
                                  <w:szCs w:val="22"/>
                                </w:rPr>
                                <w:t xml:space="preserve"> analysis (n = </w:t>
                              </w:r>
                              <w:r>
                                <w:rPr>
                                  <w:sz w:val="22"/>
                                  <w:szCs w:val="22"/>
                                </w:rPr>
                                <w:t>12</w:t>
                              </w:r>
                              <w:r w:rsidRPr="00727C89">
                                <w:rPr>
                                  <w:sz w:val="22"/>
                                  <w:szCs w:val="22"/>
                                </w:rPr>
                                <w:t>)</w:t>
                              </w:r>
                            </w:p>
                          </w:txbxContent>
                        </wps:txbx>
                        <wps:bodyPr rot="0" vert="horz" wrap="square" lIns="91440" tIns="45720" rIns="91440" bIns="45720" anchor="t" anchorCtr="0" upright="1">
                          <a:noAutofit/>
                        </wps:bodyPr>
                      </wps:wsp>
                    </wpg:wgp>
                  </a:graphicData>
                </a:graphic>
              </wp:inline>
            </w:drawing>
          </mc:Choice>
          <mc:Fallback>
            <w:pict>
              <v:group id="Group 2" o:spid="_x0000_s1026" style="width:6in;height:603pt;mso-position-horizontal-relative:char;mso-position-vertical-relative:line" coordorigin="2526,3564" coordsize="7200,1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">
                <o:lock v:ext="edit" aspectratio="t"/>
                <v:rect id="AutoShape 3" o:spid="_x0000_s1027" style="position:absolute;left:2526;top:3564;width:7200;height:10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hAcMA&#10;AADaAAAADwAAAGRycy9kb3ducmV2LnhtbESPQYvCMBSE78L+h/CEvYimuipajbIIC+JBsIp4fDTP&#10;tti8lCRq/febhQWPw8x8wyzXranFg5yvLCsYDhIQxLnVFRcKTsef/gyED8gaa8uk4EUe1quPzhJT&#10;bZ98oEcWChEh7FNUUIbQpFL6vCSDfmAb4uhdrTMYonSF1A6fEW5qOUqSqTRYcVwosaFNSfktuxsF&#10;u/EkuYTz0B5nt6/53tW983R3V+qz234vQARqwzv8395qBWP4uxJv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fhAcMAAADaAAAADwAAAAAAAAAAAAAAAACYAgAAZHJzL2Rv&#10;d25yZXYueG1sUEsFBgAAAAAEAAQA9QAAAIgDAAAAAA==&#10;" filled="f" strokeweight="1pt">
                  <o:lock v:ext="edit" aspectratio="t" text="t"/>
                </v:rect>
                <v:rect id="Rectangle 4" o:spid="_x0000_s1028" style="position:absolute;left:4476;top:4027;width:3300;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C43687" w:rsidRDefault="00C43687" w:rsidP="00883C41">
                        <w:r>
                          <w:t xml:space="preserve">     Assessed for eligibility (n = 56)</w:t>
                        </w:r>
                      </w:p>
                    </w:txbxContent>
                  </v:textbox>
                </v:rect>
                <v:line id="Line 5" o:spid="_x0000_s1029" style="position:absolute;visibility:visible;mso-wrap-style:square" from="5976,4644" to="5977,7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6" o:spid="_x0000_s1030" style="position:absolute;visibility:visible;mso-wrap-style:square" from="5976,6033" to="7026,6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rect id="Rectangle 7" o:spid="_x0000_s1031" style="position:absolute;left:7026;top:5107;width:2550;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C43687" w:rsidRPr="00A402B7" w:rsidRDefault="00C43687" w:rsidP="00883C41">
                        <w:pPr>
                          <w:rPr>
                            <w:b/>
                            <w:sz w:val="20"/>
                            <w:szCs w:val="20"/>
                          </w:rPr>
                        </w:pPr>
                        <w:r>
                          <w:rPr>
                            <w:b/>
                            <w:sz w:val="20"/>
                            <w:szCs w:val="20"/>
                          </w:rPr>
                          <w:t>Excluded: Screening (n = 6</w:t>
                        </w:r>
                        <w:r w:rsidRPr="00A402B7">
                          <w:rPr>
                            <w:b/>
                            <w:sz w:val="20"/>
                            <w:szCs w:val="20"/>
                          </w:rPr>
                          <w:t>)</w:t>
                        </w:r>
                      </w:p>
                      <w:p w:rsidR="00C43687" w:rsidRPr="00F02F5C" w:rsidRDefault="00C43687" w:rsidP="00883C41">
                        <w:pPr>
                          <w:numPr>
                            <w:ilvl w:val="0"/>
                            <w:numId w:val="19"/>
                          </w:numPr>
                          <w:rPr>
                            <w:sz w:val="20"/>
                            <w:szCs w:val="20"/>
                          </w:rPr>
                        </w:pPr>
                        <w:r w:rsidRPr="00F02F5C">
                          <w:rPr>
                            <w:sz w:val="20"/>
                            <w:szCs w:val="20"/>
                          </w:rPr>
                          <w:t>S</w:t>
                        </w:r>
                        <w:r w:rsidRPr="00D45770">
                          <w:rPr>
                            <w:sz w:val="20"/>
                            <w:szCs w:val="20"/>
                          </w:rPr>
                          <w:t>creened negative on BDI-II</w:t>
                        </w:r>
                        <w:r>
                          <w:rPr>
                            <w:sz w:val="20"/>
                            <w:szCs w:val="20"/>
                          </w:rPr>
                          <w:t xml:space="preserve"> (n = 3)</w:t>
                        </w:r>
                      </w:p>
                      <w:p w:rsidR="00C43687" w:rsidRPr="00F02F5C" w:rsidRDefault="00C43687" w:rsidP="005D7CB0">
                        <w:pPr>
                          <w:numPr>
                            <w:ilvl w:val="0"/>
                            <w:numId w:val="19"/>
                          </w:numPr>
                          <w:rPr>
                            <w:sz w:val="20"/>
                            <w:szCs w:val="20"/>
                          </w:rPr>
                        </w:pPr>
                        <w:r>
                          <w:rPr>
                            <w:sz w:val="20"/>
                            <w:szCs w:val="20"/>
                          </w:rPr>
                          <w:t>Current alcohol/</w:t>
                        </w:r>
                        <w:r w:rsidRPr="00F02F5C">
                          <w:rPr>
                            <w:sz w:val="20"/>
                            <w:szCs w:val="20"/>
                          </w:rPr>
                          <w:t xml:space="preserve"> sub</w:t>
                        </w:r>
                        <w:r>
                          <w:rPr>
                            <w:sz w:val="20"/>
                            <w:szCs w:val="20"/>
                          </w:rPr>
                          <w:t>stance dependence</w:t>
                        </w:r>
                        <w:r w:rsidRPr="00F02F5C">
                          <w:rPr>
                            <w:sz w:val="20"/>
                            <w:szCs w:val="20"/>
                          </w:rPr>
                          <w:t xml:space="preserve"> </w:t>
                        </w:r>
                        <w:r>
                          <w:rPr>
                            <w:sz w:val="20"/>
                            <w:szCs w:val="20"/>
                          </w:rPr>
                          <w:t xml:space="preserve">  </w:t>
                        </w:r>
                        <w:r w:rsidRPr="00F02F5C">
                          <w:rPr>
                            <w:sz w:val="20"/>
                            <w:szCs w:val="20"/>
                          </w:rPr>
                          <w:t>(n = 1)</w:t>
                        </w:r>
                      </w:p>
                      <w:p w:rsidR="00C43687" w:rsidRPr="00F02F5C" w:rsidRDefault="00C43687" w:rsidP="00883C41">
                        <w:pPr>
                          <w:numPr>
                            <w:ilvl w:val="0"/>
                            <w:numId w:val="19"/>
                          </w:numPr>
                          <w:rPr>
                            <w:sz w:val="22"/>
                            <w:szCs w:val="22"/>
                          </w:rPr>
                        </w:pPr>
                        <w:r>
                          <w:rPr>
                            <w:sz w:val="20"/>
                            <w:szCs w:val="20"/>
                          </w:rPr>
                          <w:t>Active in therapy (n =1)</w:t>
                        </w:r>
                      </w:p>
                      <w:p w:rsidR="00C43687" w:rsidRPr="00D45770" w:rsidRDefault="00C43687" w:rsidP="00883C41">
                        <w:pPr>
                          <w:numPr>
                            <w:ilvl w:val="0"/>
                            <w:numId w:val="19"/>
                          </w:numPr>
                          <w:rPr>
                            <w:sz w:val="22"/>
                            <w:szCs w:val="22"/>
                          </w:rPr>
                        </w:pPr>
                        <w:r>
                          <w:rPr>
                            <w:sz w:val="20"/>
                            <w:szCs w:val="20"/>
                          </w:rPr>
                          <w:t>Hospitalized (n = 1)</w:t>
                        </w:r>
                      </w:p>
                    </w:txbxContent>
                  </v:textbox>
                </v:rect>
                <v:rect id="Rectangle 8" o:spid="_x0000_s1032" style="position:absolute;left:5076;top:7421;width:2100;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C43687" w:rsidRPr="00F1100E" w:rsidRDefault="00C43687" w:rsidP="00883C41">
                        <w:pPr>
                          <w:rPr>
                            <w:sz w:val="22"/>
                            <w:szCs w:val="22"/>
                          </w:rPr>
                        </w:pPr>
                        <w:r w:rsidRPr="00F1100E">
                          <w:rPr>
                            <w:sz w:val="22"/>
                            <w:szCs w:val="22"/>
                          </w:rPr>
                          <w:t>Randomized (n = 50)</w:t>
                        </w:r>
                      </w:p>
                    </w:txbxContent>
                  </v:textbox>
                </v:rect>
                <v:line id="Line 9" o:spid="_x0000_s1033" style="position:absolute;visibility:visible;mso-wrap-style:square" from="5976,8038" to="5977,8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0" o:spid="_x0000_s1034" style="position:absolute;flip:x;visibility:visible;mso-wrap-style:square" from="4026,8810" to="5976,8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1" o:spid="_x0000_s1035" style="position:absolute;visibility:visible;mso-wrap-style:square" from="5976,8810" to="8376,8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2" o:spid="_x0000_s1036" style="position:absolute;visibility:visible;mso-wrap-style:square" from="4026,8810" to="4026,9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3" o:spid="_x0000_s1037" style="position:absolute;visibility:visible;mso-wrap-style:square" from="8376,8810" to="8376,9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4" o:spid="_x0000_s1038" style="position:absolute;visibility:visible;mso-wrap-style:square" from="6126,8810" to="6127,9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Rectangle 15" o:spid="_x0000_s1039" style="position:absolute;left:3426;top:9118;width:1350;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C43687" w:rsidRPr="00F1100E" w:rsidRDefault="00C43687" w:rsidP="00883C41">
                        <w:pPr>
                          <w:jc w:val="center"/>
                          <w:rPr>
                            <w:sz w:val="22"/>
                            <w:szCs w:val="22"/>
                          </w:rPr>
                        </w:pPr>
                        <w:r w:rsidRPr="00F1100E">
                          <w:rPr>
                            <w:sz w:val="22"/>
                            <w:szCs w:val="22"/>
                          </w:rPr>
                          <w:t>Allocated to BA (n =16)</w:t>
                        </w:r>
                      </w:p>
                    </w:txbxContent>
                  </v:textbox>
                </v:rect>
                <v:rect id="Rectangle 16" o:spid="_x0000_s1040" style="position:absolute;left:5526;top:9118;width:1350;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C43687" w:rsidRPr="00F1100E" w:rsidRDefault="00C43687" w:rsidP="00883C41">
                        <w:pPr>
                          <w:jc w:val="center"/>
                          <w:rPr>
                            <w:sz w:val="22"/>
                            <w:szCs w:val="22"/>
                          </w:rPr>
                        </w:pPr>
                        <w:r w:rsidRPr="00F1100E">
                          <w:rPr>
                            <w:sz w:val="22"/>
                            <w:szCs w:val="22"/>
                          </w:rPr>
                          <w:t>Allocated to MBT (n = 20)</w:t>
                        </w:r>
                      </w:p>
                    </w:txbxContent>
                  </v:textbox>
                </v:rect>
                <v:rect id="Rectangle 17" o:spid="_x0000_s1041" style="position:absolute;left:7626;top:9118;width:1350;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C43687" w:rsidRPr="00A402B7" w:rsidRDefault="00C43687" w:rsidP="00883C41">
                        <w:pPr>
                          <w:jc w:val="center"/>
                          <w:rPr>
                            <w:sz w:val="22"/>
                            <w:szCs w:val="22"/>
                          </w:rPr>
                        </w:pPr>
                        <w:r w:rsidRPr="00A402B7">
                          <w:rPr>
                            <w:sz w:val="22"/>
                            <w:szCs w:val="22"/>
                          </w:rPr>
                          <w:t>Allocated to WLC (n = 14)</w:t>
                        </w:r>
                      </w:p>
                    </w:txbxContent>
                  </v:textbox>
                </v:rect>
                <v:line id="Line 18" o:spid="_x0000_s1042" style="position:absolute;visibility:visible;mso-wrap-style:square" from="4026,10044" to="4026,10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9" o:spid="_x0000_s1043" style="position:absolute;visibility:visible;mso-wrap-style:square" from="6276,10045" to="6277,10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0" o:spid="_x0000_s1044" style="position:absolute;visibility:visible;mso-wrap-style:square" from="8376,10044" to="8376,10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rect id="Rectangle 21" o:spid="_x0000_s1045" style="position:absolute;left:3426;top:10353;width:195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C43687" w:rsidRPr="00A402B7" w:rsidRDefault="00C43687" w:rsidP="00883C41">
                        <w:pPr>
                          <w:rPr>
                            <w:sz w:val="22"/>
                            <w:szCs w:val="22"/>
                          </w:rPr>
                        </w:pPr>
                        <w:r w:rsidRPr="00A402B7">
                          <w:rPr>
                            <w:sz w:val="22"/>
                            <w:szCs w:val="22"/>
                          </w:rPr>
                          <w:t>Lost to attrition:</w:t>
                        </w:r>
                      </w:p>
                      <w:p w:rsidR="00C43687" w:rsidRDefault="00C43687" w:rsidP="00883C41">
                        <w:pPr>
                          <w:rPr>
                            <w:sz w:val="20"/>
                            <w:szCs w:val="20"/>
                          </w:rPr>
                        </w:pPr>
                        <w:r>
                          <w:rPr>
                            <w:sz w:val="20"/>
                            <w:szCs w:val="20"/>
                          </w:rPr>
                          <w:t xml:space="preserve">∙ </w:t>
                        </w:r>
                        <w:r w:rsidRPr="00A402B7">
                          <w:rPr>
                            <w:sz w:val="20"/>
                            <w:szCs w:val="20"/>
                          </w:rPr>
                          <w:t xml:space="preserve">Post-treatment assessment </w:t>
                        </w:r>
                        <w:r>
                          <w:rPr>
                            <w:sz w:val="20"/>
                            <w:szCs w:val="20"/>
                          </w:rPr>
                          <w:t>(n = 1)</w:t>
                        </w:r>
                      </w:p>
                      <w:p w:rsidR="00C43687" w:rsidRDefault="00C43687" w:rsidP="00883C41">
                        <w:pPr>
                          <w:rPr>
                            <w:sz w:val="20"/>
                            <w:szCs w:val="20"/>
                          </w:rPr>
                        </w:pPr>
                        <w:r>
                          <w:rPr>
                            <w:sz w:val="20"/>
                            <w:szCs w:val="20"/>
                          </w:rPr>
                          <w:t>∙ 1-mo. follow-up (n = 1)</w:t>
                        </w:r>
                      </w:p>
                      <w:p w:rsidR="00C43687" w:rsidRPr="00A402B7" w:rsidRDefault="00C43687" w:rsidP="00883C41">
                        <w:pPr>
                          <w:rPr>
                            <w:sz w:val="20"/>
                            <w:szCs w:val="20"/>
                          </w:rPr>
                        </w:pPr>
                      </w:p>
                    </w:txbxContent>
                  </v:textbox>
                </v:rect>
                <v:rect id="Rectangle 22" o:spid="_x0000_s1046" style="position:absolute;left:5526;top:10353;width:195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C43687" w:rsidRPr="00A402B7" w:rsidRDefault="00C43687" w:rsidP="00883C41">
                        <w:pPr>
                          <w:rPr>
                            <w:sz w:val="22"/>
                            <w:szCs w:val="22"/>
                          </w:rPr>
                        </w:pPr>
                        <w:r w:rsidRPr="00A402B7">
                          <w:rPr>
                            <w:sz w:val="22"/>
                            <w:szCs w:val="22"/>
                          </w:rPr>
                          <w:t>Lost to attrition:</w:t>
                        </w:r>
                      </w:p>
                      <w:p w:rsidR="00C43687" w:rsidRDefault="00C43687" w:rsidP="00883C41">
                        <w:pPr>
                          <w:rPr>
                            <w:sz w:val="20"/>
                            <w:szCs w:val="20"/>
                          </w:rPr>
                        </w:pPr>
                        <w:r>
                          <w:rPr>
                            <w:sz w:val="20"/>
                            <w:szCs w:val="20"/>
                          </w:rPr>
                          <w:t xml:space="preserve">∙ </w:t>
                        </w:r>
                        <w:r w:rsidRPr="00A402B7">
                          <w:rPr>
                            <w:sz w:val="20"/>
                            <w:szCs w:val="20"/>
                          </w:rPr>
                          <w:t xml:space="preserve">Post-treatment assessment </w:t>
                        </w:r>
                        <w:r>
                          <w:rPr>
                            <w:sz w:val="20"/>
                            <w:szCs w:val="20"/>
                          </w:rPr>
                          <w:t>(n = 2)</w:t>
                        </w:r>
                      </w:p>
                      <w:p w:rsidR="00C43687" w:rsidRPr="00A402B7" w:rsidRDefault="00C43687" w:rsidP="00883C41">
                        <w:pPr>
                          <w:rPr>
                            <w:sz w:val="20"/>
                            <w:szCs w:val="20"/>
                          </w:rPr>
                        </w:pPr>
                        <w:r>
                          <w:rPr>
                            <w:sz w:val="20"/>
                            <w:szCs w:val="20"/>
                          </w:rPr>
                          <w:t>∙ 1-mo. follow-up (n = 0)</w:t>
                        </w:r>
                      </w:p>
                    </w:txbxContent>
                  </v:textbox>
                </v:rect>
                <v:rect id="Rectangle 23" o:spid="_x0000_s1047" style="position:absolute;left:7626;top:10353;width:195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C43687" w:rsidRPr="00A402B7" w:rsidRDefault="00C43687" w:rsidP="00883C41">
                        <w:pPr>
                          <w:rPr>
                            <w:sz w:val="22"/>
                            <w:szCs w:val="22"/>
                          </w:rPr>
                        </w:pPr>
                        <w:r w:rsidRPr="00A402B7">
                          <w:rPr>
                            <w:sz w:val="22"/>
                            <w:szCs w:val="22"/>
                          </w:rPr>
                          <w:t>Lost to attrition:</w:t>
                        </w:r>
                      </w:p>
                      <w:p w:rsidR="00C43687" w:rsidRDefault="00C43687" w:rsidP="00883C41">
                        <w:pPr>
                          <w:rPr>
                            <w:sz w:val="20"/>
                            <w:szCs w:val="20"/>
                          </w:rPr>
                        </w:pPr>
                        <w:r>
                          <w:rPr>
                            <w:sz w:val="20"/>
                            <w:szCs w:val="20"/>
                          </w:rPr>
                          <w:t xml:space="preserve">∙ </w:t>
                        </w:r>
                        <w:r w:rsidRPr="00A402B7">
                          <w:rPr>
                            <w:sz w:val="20"/>
                            <w:szCs w:val="20"/>
                          </w:rPr>
                          <w:t xml:space="preserve">Post-treatment assessment </w:t>
                        </w:r>
                        <w:r>
                          <w:rPr>
                            <w:sz w:val="20"/>
                            <w:szCs w:val="20"/>
                          </w:rPr>
                          <w:t>(n = 1)</w:t>
                        </w:r>
                      </w:p>
                      <w:p w:rsidR="00C43687" w:rsidRPr="00A402B7" w:rsidRDefault="00C43687" w:rsidP="00883C41">
                        <w:pPr>
                          <w:rPr>
                            <w:sz w:val="20"/>
                            <w:szCs w:val="20"/>
                          </w:rPr>
                        </w:pPr>
                        <w:r>
                          <w:rPr>
                            <w:sz w:val="20"/>
                            <w:szCs w:val="20"/>
                          </w:rPr>
                          <w:t>∙ 1-mo. follow-up (n = 1)</w:t>
                        </w:r>
                      </w:p>
                      <w:p w:rsidR="00C43687" w:rsidRPr="00A402B7" w:rsidRDefault="00C43687" w:rsidP="00883C41">
                        <w:pPr>
                          <w:rPr>
                            <w:sz w:val="20"/>
                            <w:szCs w:val="20"/>
                          </w:rPr>
                        </w:pPr>
                      </w:p>
                    </w:txbxContent>
                  </v:textbox>
                </v:rect>
                <v:line id="Line 24" o:spid="_x0000_s1048" style="position:absolute;visibility:visible;mso-wrap-style:square" from="8526,11433" to="8527,1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5" o:spid="_x0000_s1049" style="position:absolute;visibility:visible;mso-wrap-style:square" from="6426,11433" to="6427,1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26" o:spid="_x0000_s1050" style="position:absolute;visibility:visible;mso-wrap-style:square" from="4326,11433" to="4327,1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rect id="Rectangle 27" o:spid="_x0000_s1051" style="position:absolute;left:3726;top:12204;width:1350;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C43687" w:rsidRPr="00727C89" w:rsidRDefault="00C43687" w:rsidP="00883C41">
                        <w:pPr>
                          <w:jc w:val="center"/>
                          <w:rPr>
                            <w:sz w:val="22"/>
                            <w:szCs w:val="22"/>
                          </w:rPr>
                        </w:pPr>
                        <w:r>
                          <w:rPr>
                            <w:sz w:val="22"/>
                            <w:szCs w:val="22"/>
                          </w:rPr>
                          <w:t>Included in data</w:t>
                        </w:r>
                        <w:r w:rsidRPr="00727C89">
                          <w:rPr>
                            <w:sz w:val="22"/>
                            <w:szCs w:val="22"/>
                          </w:rPr>
                          <w:t xml:space="preserve"> analysis (n = 14)</w:t>
                        </w:r>
                      </w:p>
                    </w:txbxContent>
                  </v:textbox>
                </v:rect>
                <v:rect id="Rectangle 28" o:spid="_x0000_s1052" style="position:absolute;left:5826;top:12204;width:1350;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C43687" w:rsidRPr="00727C89" w:rsidRDefault="00C43687" w:rsidP="00883C41">
                        <w:pPr>
                          <w:jc w:val="center"/>
                          <w:rPr>
                            <w:sz w:val="22"/>
                            <w:szCs w:val="22"/>
                          </w:rPr>
                        </w:pPr>
                        <w:r w:rsidRPr="00727C89">
                          <w:rPr>
                            <w:sz w:val="22"/>
                            <w:szCs w:val="22"/>
                          </w:rPr>
                          <w:t xml:space="preserve">Included in </w:t>
                        </w:r>
                        <w:r>
                          <w:rPr>
                            <w:sz w:val="22"/>
                            <w:szCs w:val="22"/>
                          </w:rPr>
                          <w:t>data</w:t>
                        </w:r>
                        <w:r w:rsidRPr="00727C89">
                          <w:rPr>
                            <w:sz w:val="22"/>
                            <w:szCs w:val="22"/>
                          </w:rPr>
                          <w:t xml:space="preserve"> analysis (n = </w:t>
                        </w:r>
                        <w:r>
                          <w:rPr>
                            <w:sz w:val="22"/>
                            <w:szCs w:val="22"/>
                          </w:rPr>
                          <w:t>18</w:t>
                        </w:r>
                        <w:r w:rsidRPr="00727C89">
                          <w:rPr>
                            <w:sz w:val="22"/>
                            <w:szCs w:val="22"/>
                          </w:rPr>
                          <w:t>)</w:t>
                        </w:r>
                      </w:p>
                    </w:txbxContent>
                  </v:textbox>
                </v:rect>
                <v:rect id="Rectangle 29" o:spid="_x0000_s1053" style="position:absolute;left:7926;top:12204;width:1350;height: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C43687" w:rsidRPr="00727C89" w:rsidRDefault="00C43687" w:rsidP="00883C41">
                        <w:pPr>
                          <w:jc w:val="center"/>
                          <w:rPr>
                            <w:sz w:val="22"/>
                            <w:szCs w:val="22"/>
                          </w:rPr>
                        </w:pPr>
                        <w:r w:rsidRPr="00727C89">
                          <w:rPr>
                            <w:sz w:val="22"/>
                            <w:szCs w:val="22"/>
                          </w:rPr>
                          <w:t xml:space="preserve">Included in </w:t>
                        </w:r>
                        <w:r>
                          <w:rPr>
                            <w:sz w:val="22"/>
                            <w:szCs w:val="22"/>
                          </w:rPr>
                          <w:t>data</w:t>
                        </w:r>
                        <w:r w:rsidRPr="00727C89">
                          <w:rPr>
                            <w:sz w:val="22"/>
                            <w:szCs w:val="22"/>
                          </w:rPr>
                          <w:t xml:space="preserve"> analysis (n = </w:t>
                        </w:r>
                        <w:r>
                          <w:rPr>
                            <w:sz w:val="22"/>
                            <w:szCs w:val="22"/>
                          </w:rPr>
                          <w:t>12</w:t>
                        </w:r>
                        <w:r w:rsidRPr="00727C89">
                          <w:rPr>
                            <w:sz w:val="22"/>
                            <w:szCs w:val="22"/>
                          </w:rPr>
                          <w:t>)</w:t>
                        </w:r>
                      </w:p>
                    </w:txbxContent>
                  </v:textbox>
                </v:rect>
                <w10:anchorlock/>
              </v:group>
            </w:pict>
          </mc:Fallback>
        </mc:AlternateContent>
      </w:r>
    </w:p>
    <w:p w:rsidR="00F22446" w:rsidRPr="00FE2868" w:rsidRDefault="00FE2868" w:rsidP="009C747E">
      <w:pPr>
        <w:spacing w:line="480" w:lineRule="auto"/>
      </w:pPr>
      <w:r w:rsidRPr="00FE2868">
        <w:t xml:space="preserve">Figure 1. </w:t>
      </w:r>
      <w:r w:rsidR="00C66AD9">
        <w:t>Consort</w:t>
      </w:r>
    </w:p>
    <w:p w:rsidR="00F22446" w:rsidRDefault="00F22446">
      <w:r>
        <w:br w:type="page"/>
      </w:r>
      <w:r w:rsidR="00B206C0" w:rsidRPr="002B0D4B">
        <w:rPr>
          <w:noProof/>
        </w:rPr>
        <w:lastRenderedPageBreak/>
        <w:drawing>
          <wp:inline distT="0" distB="0" distL="0" distR="0">
            <wp:extent cx="4705350" cy="3924300"/>
            <wp:effectExtent l="0" t="0" r="0" b="0"/>
            <wp:docPr id="2"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6AD9" w:rsidRDefault="00C66AD9"/>
    <w:p w:rsidR="00C66AD9" w:rsidRPr="00C66AD9" w:rsidRDefault="00C66AD9" w:rsidP="00C66AD9">
      <w:r>
        <w:t>Figure 2. BDI-II Response and Remission Rates</w:t>
      </w:r>
    </w:p>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Pr="00C66AD9" w:rsidRDefault="00C66AD9" w:rsidP="00C66AD9"/>
    <w:p w:rsidR="00C66AD9" w:rsidRDefault="00C66AD9"/>
    <w:p w:rsidR="00C66AD9" w:rsidRDefault="00C66AD9"/>
    <w:p w:rsidR="00C66AD9" w:rsidRDefault="00C66AD9" w:rsidP="00C66AD9">
      <w:pPr>
        <w:tabs>
          <w:tab w:val="left" w:pos="2160"/>
        </w:tabs>
      </w:pPr>
      <w:r>
        <w:tab/>
      </w:r>
    </w:p>
    <w:p w:rsidR="00F22446" w:rsidRDefault="00F22446">
      <w:r w:rsidRPr="00C66AD9">
        <w:br w:type="page"/>
      </w:r>
      <w:r w:rsidR="00B206C0" w:rsidRPr="002B0D4B">
        <w:rPr>
          <w:noProof/>
        </w:rPr>
        <w:lastRenderedPageBreak/>
        <w:drawing>
          <wp:inline distT="0" distB="0" distL="0" distR="0">
            <wp:extent cx="4705350" cy="3924300"/>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97146" w:rsidRDefault="00C66AD9" w:rsidP="00883C41">
      <w:r>
        <w:t>Figure 3. HRSD</w:t>
      </w:r>
      <w:r w:rsidRPr="00C66AD9">
        <w:t xml:space="preserve"> Response and Remission Rates </w:t>
      </w:r>
      <w:r w:rsidR="00F22446">
        <w:br w:type="page"/>
      </w:r>
    </w:p>
    <w:p w:rsidR="00897146" w:rsidRPr="00897146" w:rsidRDefault="00897146" w:rsidP="00897146">
      <w:pPr>
        <w:spacing w:line="480" w:lineRule="auto"/>
        <w:jc w:val="center"/>
        <w:rPr>
          <w:b/>
        </w:rPr>
      </w:pPr>
      <w:r>
        <w:rPr>
          <w:b/>
        </w:rPr>
        <w:lastRenderedPageBreak/>
        <w:t>VITA</w:t>
      </w:r>
    </w:p>
    <w:p w:rsidR="00897146" w:rsidRPr="00897146" w:rsidRDefault="00897146" w:rsidP="00314019">
      <w:pPr>
        <w:spacing w:line="480" w:lineRule="auto"/>
        <w:ind w:firstLine="720"/>
      </w:pPr>
      <w:r w:rsidRPr="00897146">
        <w:t>Crystal Constance McIndoo was born in Huntington Beach, CA. She earned her Master of Science in Clinical Psychology at California State University, Fullerton in 2010 and received her Doctor of Philosophy in Clinical Psychology at the University of Tennessee in 2015. She practiced as a therapist in training at the UT Psychological Clinic (Knoxville, TN) and Cherokee Health Systems (Powell, TN). She graduated with high honors from California State University, Fullerton (2010) and completed a practicum traineeship at Counseling and Psychological Services (Fullerton, CA). Her research and clinical interests include utilizing behavioral, cognit</w:t>
      </w:r>
      <w:r>
        <w:t>ive, and mindfulness approaches</w:t>
      </w:r>
      <w:r w:rsidRPr="00897146">
        <w:t xml:space="preserve"> in the treatment of mood and anxiety disorders, and co-comorbid health conditions. She conducts treatment outcome research on the efficacy of behavioral activation and mindfulness-based-stress-reduction interventions to treat clinical depression and anxiety. </w:t>
      </w:r>
      <w:r>
        <w:t xml:space="preserve">As of June 24, 2015, </w:t>
      </w:r>
      <w:r w:rsidRPr="00897146">
        <w:t>Crystal has completed her internship at the Portland Veteran</w:t>
      </w:r>
      <w:r>
        <w:t>s</w:t>
      </w:r>
      <w:r w:rsidRPr="00897146">
        <w:t xml:space="preserve"> Affairs Medical Center (Portland, OR).</w:t>
      </w:r>
    </w:p>
    <w:p w:rsidR="00F22446" w:rsidRDefault="00F22446" w:rsidP="00897146">
      <w:pPr>
        <w:spacing w:line="480" w:lineRule="auto"/>
        <w:ind w:left="720" w:hanging="720"/>
      </w:pPr>
    </w:p>
    <w:p w:rsidR="00402AB2" w:rsidRDefault="00402AB2" w:rsidP="0014791E">
      <w:pPr>
        <w:spacing w:line="480" w:lineRule="auto"/>
        <w:ind w:left="720" w:hanging="720"/>
      </w:pPr>
    </w:p>
    <w:p w:rsidR="00402AB2" w:rsidRDefault="00402AB2" w:rsidP="00402AB2">
      <w:pPr>
        <w:spacing w:line="480" w:lineRule="auto"/>
        <w:ind w:left="720" w:hanging="720"/>
        <w:jc w:val="center"/>
      </w:pPr>
    </w:p>
    <w:p w:rsidR="00897146" w:rsidRPr="00897146" w:rsidRDefault="00897146" w:rsidP="00402AB2">
      <w:pPr>
        <w:spacing w:line="480" w:lineRule="auto"/>
        <w:ind w:left="720" w:hanging="720"/>
        <w:jc w:val="center"/>
      </w:pPr>
    </w:p>
    <w:sectPr w:rsidR="00897146" w:rsidRPr="00897146" w:rsidSect="00B27D8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2B5" w:rsidRDefault="007222B5">
      <w:r>
        <w:separator/>
      </w:r>
    </w:p>
  </w:endnote>
  <w:endnote w:type="continuationSeparator" w:id="0">
    <w:p w:rsidR="007222B5" w:rsidRDefault="0072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Lucida Grande Greek">
    <w:altName w:val="Times New Roman"/>
    <w:panose1 w:val="00000000000000000000"/>
    <w:charset w:val="A1"/>
    <w:family w:val="auto"/>
    <w:notTrueType/>
    <w:pitch w:val="variable"/>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736767"/>
      <w:docPartObj>
        <w:docPartGallery w:val="Page Numbers (Bottom of Page)"/>
        <w:docPartUnique/>
      </w:docPartObj>
    </w:sdtPr>
    <w:sdtEndPr>
      <w:rPr>
        <w:noProof/>
      </w:rPr>
    </w:sdtEndPr>
    <w:sdtContent>
      <w:p w:rsidR="00C43687" w:rsidRDefault="00C43687">
        <w:pPr>
          <w:pStyle w:val="Footer"/>
          <w:jc w:val="center"/>
        </w:pPr>
        <w:r>
          <w:fldChar w:fldCharType="begin"/>
        </w:r>
        <w:r>
          <w:instrText xml:space="preserve"> PAGE   \* MERGEFORMAT </w:instrText>
        </w:r>
        <w:r>
          <w:fldChar w:fldCharType="separate"/>
        </w:r>
        <w:r w:rsidR="00A15736">
          <w:rPr>
            <w:noProof/>
          </w:rPr>
          <w:t>14</w:t>
        </w:r>
        <w:r>
          <w:rPr>
            <w:noProof/>
          </w:rPr>
          <w:fldChar w:fldCharType="end"/>
        </w:r>
      </w:p>
    </w:sdtContent>
  </w:sdt>
  <w:p w:rsidR="00C43687" w:rsidRDefault="00C436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687" w:rsidRDefault="00C4368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A15736">
      <w:rPr>
        <w:caps/>
        <w:noProof/>
        <w:color w:val="4F81BD" w:themeColor="accent1"/>
      </w:rPr>
      <w:t>1</w:t>
    </w:r>
    <w:r>
      <w:rPr>
        <w:caps/>
        <w:noProof/>
        <w:color w:val="4F81BD" w:themeColor="accent1"/>
      </w:rPr>
      <w:fldChar w:fldCharType="end"/>
    </w:r>
  </w:p>
  <w:p w:rsidR="00C43687" w:rsidRDefault="00C436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2B5" w:rsidRDefault="007222B5">
      <w:r>
        <w:separator/>
      </w:r>
    </w:p>
  </w:footnote>
  <w:footnote w:type="continuationSeparator" w:id="0">
    <w:p w:rsidR="007222B5" w:rsidRDefault="00722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C6337"/>
    <w:multiLevelType w:val="hybridMultilevel"/>
    <w:tmpl w:val="DE9A73F8"/>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C9C7447"/>
    <w:multiLevelType w:val="hybridMultilevel"/>
    <w:tmpl w:val="26F85FF4"/>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EC24C24"/>
    <w:multiLevelType w:val="hybridMultilevel"/>
    <w:tmpl w:val="DE2CC908"/>
    <w:lvl w:ilvl="0" w:tplc="BE68176C">
      <w:start w:val="1"/>
      <w:numFmt w:val="decimal"/>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3">
    <w:nsid w:val="0F600AC7"/>
    <w:multiLevelType w:val="hybridMultilevel"/>
    <w:tmpl w:val="3092BCBA"/>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0F067A8"/>
    <w:multiLevelType w:val="hybridMultilevel"/>
    <w:tmpl w:val="766CA8CC"/>
    <w:lvl w:ilvl="0" w:tplc="C92E8E04">
      <w:start w:val="1"/>
      <w:numFmt w:val="decimal"/>
      <w:lvlText w:val="%1.)"/>
      <w:lvlJc w:val="left"/>
      <w:pPr>
        <w:tabs>
          <w:tab w:val="num" w:pos="1800"/>
        </w:tabs>
        <w:ind w:left="1800" w:hanging="360"/>
      </w:pPr>
      <w:rPr>
        <w:rFonts w:cs="Times New Roman" w:hint="default"/>
      </w:rPr>
    </w:lvl>
    <w:lvl w:ilvl="1" w:tplc="49BE6448">
      <w:start w:val="1"/>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5">
    <w:nsid w:val="1F4C5ADD"/>
    <w:multiLevelType w:val="hybridMultilevel"/>
    <w:tmpl w:val="49DAB000"/>
    <w:lvl w:ilvl="0" w:tplc="8CB8D342">
      <w:start w:val="1"/>
      <w:numFmt w:val="decimal"/>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6">
    <w:nsid w:val="2C5A4690"/>
    <w:multiLevelType w:val="hybridMultilevel"/>
    <w:tmpl w:val="BF163ED6"/>
    <w:lvl w:ilvl="0" w:tplc="FBD6DC1A">
      <w:start w:val="1"/>
      <w:numFmt w:val="decimal"/>
      <w:lvlText w:val="%1)"/>
      <w:lvlJc w:val="left"/>
      <w:pPr>
        <w:tabs>
          <w:tab w:val="num" w:pos="1695"/>
        </w:tabs>
        <w:ind w:left="1695" w:hanging="975"/>
      </w:pPr>
      <w:rPr>
        <w:rFonts w:cs="Times New Roman" w:hint="default"/>
        <w:b w:val="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2D874B2C"/>
    <w:multiLevelType w:val="hybridMultilevel"/>
    <w:tmpl w:val="BAC81822"/>
    <w:lvl w:ilvl="0" w:tplc="48E4D90E">
      <w:start w:val="1"/>
      <w:numFmt w:val="decimal"/>
      <w:lvlText w:val="%1.)"/>
      <w:lvlJc w:val="left"/>
      <w:pPr>
        <w:tabs>
          <w:tab w:val="num" w:pos="1935"/>
        </w:tabs>
        <w:ind w:left="1935" w:hanging="375"/>
      </w:pPr>
      <w:rPr>
        <w:rFonts w:cs="Times New Roman" w:hint="default"/>
      </w:rPr>
    </w:lvl>
    <w:lvl w:ilvl="1" w:tplc="4328CC1E">
      <w:start w:val="1"/>
      <w:numFmt w:val="decimal"/>
      <w:lvlText w:val="%2.)"/>
      <w:lvlJc w:val="left"/>
      <w:pPr>
        <w:tabs>
          <w:tab w:val="num" w:pos="2640"/>
        </w:tabs>
        <w:ind w:left="2640" w:hanging="360"/>
      </w:pPr>
      <w:rPr>
        <w:rFonts w:cs="Times New Roman" w:hint="default"/>
      </w:rPr>
    </w:lvl>
    <w:lvl w:ilvl="2" w:tplc="0409001B">
      <w:start w:val="1"/>
      <w:numFmt w:val="lowerRoman"/>
      <w:lvlText w:val="%3."/>
      <w:lvlJc w:val="right"/>
      <w:pPr>
        <w:tabs>
          <w:tab w:val="num" w:pos="3360"/>
        </w:tabs>
        <w:ind w:left="3360" w:hanging="180"/>
      </w:pPr>
      <w:rPr>
        <w:rFonts w:cs="Times New Roman"/>
      </w:rPr>
    </w:lvl>
    <w:lvl w:ilvl="3" w:tplc="0409000F">
      <w:start w:val="1"/>
      <w:numFmt w:val="decimal"/>
      <w:lvlText w:val="%4."/>
      <w:lvlJc w:val="left"/>
      <w:pPr>
        <w:tabs>
          <w:tab w:val="num" w:pos="4080"/>
        </w:tabs>
        <w:ind w:left="4080" w:hanging="360"/>
      </w:pPr>
      <w:rPr>
        <w:rFonts w:cs="Times New Roman"/>
      </w:rPr>
    </w:lvl>
    <w:lvl w:ilvl="4" w:tplc="04090019">
      <w:start w:val="1"/>
      <w:numFmt w:val="lowerLetter"/>
      <w:lvlText w:val="%5."/>
      <w:lvlJc w:val="left"/>
      <w:pPr>
        <w:tabs>
          <w:tab w:val="num" w:pos="4800"/>
        </w:tabs>
        <w:ind w:left="4800" w:hanging="360"/>
      </w:pPr>
      <w:rPr>
        <w:rFonts w:cs="Times New Roman"/>
      </w:rPr>
    </w:lvl>
    <w:lvl w:ilvl="5" w:tplc="0409001B">
      <w:start w:val="1"/>
      <w:numFmt w:val="lowerRoman"/>
      <w:lvlText w:val="%6."/>
      <w:lvlJc w:val="right"/>
      <w:pPr>
        <w:tabs>
          <w:tab w:val="num" w:pos="5520"/>
        </w:tabs>
        <w:ind w:left="5520" w:hanging="180"/>
      </w:pPr>
      <w:rPr>
        <w:rFonts w:cs="Times New Roman"/>
      </w:rPr>
    </w:lvl>
    <w:lvl w:ilvl="6" w:tplc="0409000F">
      <w:start w:val="1"/>
      <w:numFmt w:val="decimal"/>
      <w:lvlText w:val="%7."/>
      <w:lvlJc w:val="left"/>
      <w:pPr>
        <w:tabs>
          <w:tab w:val="num" w:pos="6240"/>
        </w:tabs>
        <w:ind w:left="6240" w:hanging="360"/>
      </w:pPr>
      <w:rPr>
        <w:rFonts w:cs="Times New Roman"/>
      </w:rPr>
    </w:lvl>
    <w:lvl w:ilvl="7" w:tplc="04090019">
      <w:start w:val="1"/>
      <w:numFmt w:val="lowerLetter"/>
      <w:lvlText w:val="%8."/>
      <w:lvlJc w:val="left"/>
      <w:pPr>
        <w:tabs>
          <w:tab w:val="num" w:pos="6960"/>
        </w:tabs>
        <w:ind w:left="6960" w:hanging="360"/>
      </w:pPr>
      <w:rPr>
        <w:rFonts w:cs="Times New Roman"/>
      </w:rPr>
    </w:lvl>
    <w:lvl w:ilvl="8" w:tplc="0409001B">
      <w:start w:val="1"/>
      <w:numFmt w:val="lowerRoman"/>
      <w:lvlText w:val="%9."/>
      <w:lvlJc w:val="right"/>
      <w:pPr>
        <w:tabs>
          <w:tab w:val="num" w:pos="7680"/>
        </w:tabs>
        <w:ind w:left="7680" w:hanging="180"/>
      </w:pPr>
      <w:rPr>
        <w:rFonts w:cs="Times New Roman"/>
      </w:rPr>
    </w:lvl>
  </w:abstractNum>
  <w:abstractNum w:abstractNumId="8">
    <w:nsid w:val="33EF1548"/>
    <w:multiLevelType w:val="hybridMultilevel"/>
    <w:tmpl w:val="28CA3F88"/>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39BE74D1"/>
    <w:multiLevelType w:val="hybridMultilevel"/>
    <w:tmpl w:val="FEBCF4D0"/>
    <w:lvl w:ilvl="0" w:tplc="1AD00FC2">
      <w:start w:val="2"/>
      <w:numFmt w:val="decimal"/>
      <w:lvlText w:val="%1.)"/>
      <w:lvlJc w:val="left"/>
      <w:pPr>
        <w:tabs>
          <w:tab w:val="num" w:pos="1815"/>
        </w:tabs>
        <w:ind w:left="1815" w:hanging="375"/>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0">
    <w:nsid w:val="49A21368"/>
    <w:multiLevelType w:val="hybridMultilevel"/>
    <w:tmpl w:val="D72AF2B0"/>
    <w:lvl w:ilvl="0" w:tplc="930CDA14">
      <w:start w:val="1"/>
      <w:numFmt w:val="decimal"/>
      <w:lvlText w:val="%1.)"/>
      <w:lvlJc w:val="left"/>
      <w:pPr>
        <w:tabs>
          <w:tab w:val="num" w:pos="1860"/>
        </w:tabs>
        <w:ind w:left="1860" w:hanging="360"/>
      </w:pPr>
      <w:rPr>
        <w:rFonts w:cs="Times New Roman" w:hint="default"/>
      </w:rPr>
    </w:lvl>
    <w:lvl w:ilvl="1" w:tplc="04090019">
      <w:start w:val="1"/>
      <w:numFmt w:val="lowerLetter"/>
      <w:lvlText w:val="%2."/>
      <w:lvlJc w:val="left"/>
      <w:pPr>
        <w:tabs>
          <w:tab w:val="num" w:pos="2580"/>
        </w:tabs>
        <w:ind w:left="2580" w:hanging="360"/>
      </w:pPr>
      <w:rPr>
        <w:rFonts w:cs="Times New Roman"/>
      </w:rPr>
    </w:lvl>
    <w:lvl w:ilvl="2" w:tplc="0409001B">
      <w:start w:val="1"/>
      <w:numFmt w:val="lowerRoman"/>
      <w:lvlText w:val="%3."/>
      <w:lvlJc w:val="right"/>
      <w:pPr>
        <w:tabs>
          <w:tab w:val="num" w:pos="3300"/>
        </w:tabs>
        <w:ind w:left="3300" w:hanging="180"/>
      </w:pPr>
      <w:rPr>
        <w:rFonts w:cs="Times New Roman"/>
      </w:rPr>
    </w:lvl>
    <w:lvl w:ilvl="3" w:tplc="0409000F">
      <w:start w:val="1"/>
      <w:numFmt w:val="decimal"/>
      <w:lvlText w:val="%4."/>
      <w:lvlJc w:val="left"/>
      <w:pPr>
        <w:tabs>
          <w:tab w:val="num" w:pos="4020"/>
        </w:tabs>
        <w:ind w:left="4020" w:hanging="360"/>
      </w:pPr>
      <w:rPr>
        <w:rFonts w:cs="Times New Roman"/>
      </w:rPr>
    </w:lvl>
    <w:lvl w:ilvl="4" w:tplc="04090019">
      <w:start w:val="1"/>
      <w:numFmt w:val="lowerLetter"/>
      <w:lvlText w:val="%5."/>
      <w:lvlJc w:val="left"/>
      <w:pPr>
        <w:tabs>
          <w:tab w:val="num" w:pos="4740"/>
        </w:tabs>
        <w:ind w:left="4740" w:hanging="360"/>
      </w:pPr>
      <w:rPr>
        <w:rFonts w:cs="Times New Roman"/>
      </w:rPr>
    </w:lvl>
    <w:lvl w:ilvl="5" w:tplc="0409001B">
      <w:start w:val="1"/>
      <w:numFmt w:val="lowerRoman"/>
      <w:lvlText w:val="%6."/>
      <w:lvlJc w:val="right"/>
      <w:pPr>
        <w:tabs>
          <w:tab w:val="num" w:pos="5460"/>
        </w:tabs>
        <w:ind w:left="5460" w:hanging="180"/>
      </w:pPr>
      <w:rPr>
        <w:rFonts w:cs="Times New Roman"/>
      </w:rPr>
    </w:lvl>
    <w:lvl w:ilvl="6" w:tplc="0409000F">
      <w:start w:val="1"/>
      <w:numFmt w:val="decimal"/>
      <w:lvlText w:val="%7."/>
      <w:lvlJc w:val="left"/>
      <w:pPr>
        <w:tabs>
          <w:tab w:val="num" w:pos="6180"/>
        </w:tabs>
        <w:ind w:left="6180" w:hanging="360"/>
      </w:pPr>
      <w:rPr>
        <w:rFonts w:cs="Times New Roman"/>
      </w:rPr>
    </w:lvl>
    <w:lvl w:ilvl="7" w:tplc="04090019">
      <w:start w:val="1"/>
      <w:numFmt w:val="lowerLetter"/>
      <w:lvlText w:val="%8."/>
      <w:lvlJc w:val="left"/>
      <w:pPr>
        <w:tabs>
          <w:tab w:val="num" w:pos="6900"/>
        </w:tabs>
        <w:ind w:left="6900" w:hanging="360"/>
      </w:pPr>
      <w:rPr>
        <w:rFonts w:cs="Times New Roman"/>
      </w:rPr>
    </w:lvl>
    <w:lvl w:ilvl="8" w:tplc="0409001B">
      <w:start w:val="1"/>
      <w:numFmt w:val="lowerRoman"/>
      <w:lvlText w:val="%9."/>
      <w:lvlJc w:val="right"/>
      <w:pPr>
        <w:tabs>
          <w:tab w:val="num" w:pos="7620"/>
        </w:tabs>
        <w:ind w:left="7620" w:hanging="180"/>
      </w:pPr>
      <w:rPr>
        <w:rFonts w:cs="Times New Roman"/>
      </w:rPr>
    </w:lvl>
  </w:abstractNum>
  <w:abstractNum w:abstractNumId="11">
    <w:nsid w:val="50FC1C65"/>
    <w:multiLevelType w:val="hybridMultilevel"/>
    <w:tmpl w:val="04D81D32"/>
    <w:lvl w:ilvl="0" w:tplc="8AC646B6">
      <w:start w:val="2"/>
      <w:numFmt w:val="decimal"/>
      <w:lvlText w:val="%1.)"/>
      <w:lvlJc w:val="left"/>
      <w:pPr>
        <w:tabs>
          <w:tab w:val="num" w:pos="1275"/>
        </w:tabs>
        <w:ind w:left="1275" w:hanging="375"/>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12">
    <w:nsid w:val="55B415B0"/>
    <w:multiLevelType w:val="hybridMultilevel"/>
    <w:tmpl w:val="6812DBF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
    <w:nsid w:val="55C416AA"/>
    <w:multiLevelType w:val="hybridMultilevel"/>
    <w:tmpl w:val="3B3619E0"/>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20349C4"/>
    <w:multiLevelType w:val="hybridMultilevel"/>
    <w:tmpl w:val="3DFC6156"/>
    <w:lvl w:ilvl="0" w:tplc="03621526">
      <w:start w:val="1"/>
      <w:numFmt w:val="bullet"/>
      <w:lvlText w:val="∙"/>
      <w:lvlJc w:val="left"/>
      <w:pPr>
        <w:tabs>
          <w:tab w:val="num" w:pos="720"/>
        </w:tabs>
        <w:ind w:left="720" w:hanging="360"/>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77C3513"/>
    <w:multiLevelType w:val="hybridMultilevel"/>
    <w:tmpl w:val="B4FA72BC"/>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787F7984"/>
    <w:multiLevelType w:val="hybridMultilevel"/>
    <w:tmpl w:val="38DE06CC"/>
    <w:lvl w:ilvl="0" w:tplc="A0963712">
      <w:start w:val="1"/>
      <w:numFmt w:val="decimal"/>
      <w:lvlText w:val="%1.)"/>
      <w:lvlJc w:val="left"/>
      <w:pPr>
        <w:tabs>
          <w:tab w:val="num" w:pos="2535"/>
        </w:tabs>
        <w:ind w:left="25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7A543F5B"/>
    <w:multiLevelType w:val="hybridMultilevel"/>
    <w:tmpl w:val="36E0B908"/>
    <w:lvl w:ilvl="0" w:tplc="2452E650">
      <w:start w:val="1"/>
      <w:numFmt w:val="decimal"/>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8">
    <w:nsid w:val="7D9A6240"/>
    <w:multiLevelType w:val="hybridMultilevel"/>
    <w:tmpl w:val="DED8B2EE"/>
    <w:lvl w:ilvl="0" w:tplc="A0963712">
      <w:start w:val="1"/>
      <w:numFmt w:val="decimal"/>
      <w:lvlText w:val="%1.)"/>
      <w:lvlJc w:val="left"/>
      <w:pPr>
        <w:tabs>
          <w:tab w:val="num" w:pos="2535"/>
        </w:tabs>
        <w:ind w:left="2535" w:hanging="375"/>
      </w:pPr>
      <w:rPr>
        <w:rFonts w:cs="Times New Roman" w:hint="default"/>
      </w:rPr>
    </w:lvl>
    <w:lvl w:ilvl="1" w:tplc="0409000F">
      <w:start w:val="1"/>
      <w:numFmt w:val="decimal"/>
      <w:lvlText w:val="%2."/>
      <w:lvlJc w:val="left"/>
      <w:pPr>
        <w:tabs>
          <w:tab w:val="num" w:pos="3240"/>
        </w:tabs>
        <w:ind w:left="3240" w:hanging="360"/>
      </w:pPr>
      <w:rPr>
        <w:rFonts w:cs="Times New Roman" w:hint="default"/>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num w:numId="1">
    <w:abstractNumId w:val="6"/>
  </w:num>
  <w:num w:numId="2">
    <w:abstractNumId w:val="12"/>
  </w:num>
  <w:num w:numId="3">
    <w:abstractNumId w:val="11"/>
  </w:num>
  <w:num w:numId="4">
    <w:abstractNumId w:val="9"/>
  </w:num>
  <w:num w:numId="5">
    <w:abstractNumId w:val="7"/>
  </w:num>
  <w:num w:numId="6">
    <w:abstractNumId w:val="18"/>
  </w:num>
  <w:num w:numId="7">
    <w:abstractNumId w:val="4"/>
  </w:num>
  <w:num w:numId="8">
    <w:abstractNumId w:val="10"/>
  </w:num>
  <w:num w:numId="9">
    <w:abstractNumId w:val="17"/>
  </w:num>
  <w:num w:numId="10">
    <w:abstractNumId w:val="2"/>
  </w:num>
  <w:num w:numId="11">
    <w:abstractNumId w:val="5"/>
  </w:num>
  <w:num w:numId="12">
    <w:abstractNumId w:val="16"/>
  </w:num>
  <w:num w:numId="13">
    <w:abstractNumId w:val="1"/>
  </w:num>
  <w:num w:numId="14">
    <w:abstractNumId w:val="13"/>
  </w:num>
  <w:num w:numId="15">
    <w:abstractNumId w:val="15"/>
  </w:num>
  <w:num w:numId="16">
    <w:abstractNumId w:val="3"/>
  </w:num>
  <w:num w:numId="17">
    <w:abstractNumId w:val="8"/>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24"/>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9E"/>
    <w:rsid w:val="00001DA6"/>
    <w:rsid w:val="00002BA9"/>
    <w:rsid w:val="000033E5"/>
    <w:rsid w:val="00004D27"/>
    <w:rsid w:val="00005EA2"/>
    <w:rsid w:val="000064A3"/>
    <w:rsid w:val="00007D77"/>
    <w:rsid w:val="00010B5E"/>
    <w:rsid w:val="00013AD6"/>
    <w:rsid w:val="00013D0F"/>
    <w:rsid w:val="000150B0"/>
    <w:rsid w:val="00015333"/>
    <w:rsid w:val="0002020A"/>
    <w:rsid w:val="00020D67"/>
    <w:rsid w:val="00020FAC"/>
    <w:rsid w:val="000220D6"/>
    <w:rsid w:val="00027420"/>
    <w:rsid w:val="000274E8"/>
    <w:rsid w:val="00027C53"/>
    <w:rsid w:val="00032D94"/>
    <w:rsid w:val="00032F95"/>
    <w:rsid w:val="0003429F"/>
    <w:rsid w:val="00034507"/>
    <w:rsid w:val="00034E4F"/>
    <w:rsid w:val="00036B48"/>
    <w:rsid w:val="000372E4"/>
    <w:rsid w:val="00037387"/>
    <w:rsid w:val="00040486"/>
    <w:rsid w:val="00043DFE"/>
    <w:rsid w:val="0004632F"/>
    <w:rsid w:val="000465D5"/>
    <w:rsid w:val="00047B90"/>
    <w:rsid w:val="00051456"/>
    <w:rsid w:val="00051574"/>
    <w:rsid w:val="00053AC7"/>
    <w:rsid w:val="00054154"/>
    <w:rsid w:val="0005437C"/>
    <w:rsid w:val="0005488C"/>
    <w:rsid w:val="0005737C"/>
    <w:rsid w:val="00062B0E"/>
    <w:rsid w:val="0006526F"/>
    <w:rsid w:val="000654AB"/>
    <w:rsid w:val="00066B4B"/>
    <w:rsid w:val="0006787F"/>
    <w:rsid w:val="000717A2"/>
    <w:rsid w:val="000718B0"/>
    <w:rsid w:val="00071F4B"/>
    <w:rsid w:val="0007317D"/>
    <w:rsid w:val="000744EB"/>
    <w:rsid w:val="00077C13"/>
    <w:rsid w:val="000826A8"/>
    <w:rsid w:val="00083E50"/>
    <w:rsid w:val="000917A4"/>
    <w:rsid w:val="0009499F"/>
    <w:rsid w:val="0009716E"/>
    <w:rsid w:val="00097B54"/>
    <w:rsid w:val="000A02C7"/>
    <w:rsid w:val="000A23C1"/>
    <w:rsid w:val="000A280A"/>
    <w:rsid w:val="000A2B23"/>
    <w:rsid w:val="000A3060"/>
    <w:rsid w:val="000A3690"/>
    <w:rsid w:val="000A53F6"/>
    <w:rsid w:val="000A5E3E"/>
    <w:rsid w:val="000A6A68"/>
    <w:rsid w:val="000A7A1F"/>
    <w:rsid w:val="000B46B0"/>
    <w:rsid w:val="000B6A72"/>
    <w:rsid w:val="000C4BAE"/>
    <w:rsid w:val="000C66F6"/>
    <w:rsid w:val="000C7BB2"/>
    <w:rsid w:val="000C7DB9"/>
    <w:rsid w:val="000D0744"/>
    <w:rsid w:val="000D1920"/>
    <w:rsid w:val="000D2CF5"/>
    <w:rsid w:val="000D35BF"/>
    <w:rsid w:val="000D4A8B"/>
    <w:rsid w:val="000D763E"/>
    <w:rsid w:val="000E2A00"/>
    <w:rsid w:val="000E3FEC"/>
    <w:rsid w:val="000E4F11"/>
    <w:rsid w:val="000E5EE1"/>
    <w:rsid w:val="000F239E"/>
    <w:rsid w:val="000F27E2"/>
    <w:rsid w:val="000F4054"/>
    <w:rsid w:val="000F76D5"/>
    <w:rsid w:val="00100A7A"/>
    <w:rsid w:val="00101E83"/>
    <w:rsid w:val="0010336B"/>
    <w:rsid w:val="00104328"/>
    <w:rsid w:val="00104368"/>
    <w:rsid w:val="001056DE"/>
    <w:rsid w:val="001070AF"/>
    <w:rsid w:val="0010783E"/>
    <w:rsid w:val="00113CBA"/>
    <w:rsid w:val="00113E73"/>
    <w:rsid w:val="00114A50"/>
    <w:rsid w:val="00125194"/>
    <w:rsid w:val="00125349"/>
    <w:rsid w:val="00126AC5"/>
    <w:rsid w:val="00131709"/>
    <w:rsid w:val="00133711"/>
    <w:rsid w:val="0013554D"/>
    <w:rsid w:val="00142812"/>
    <w:rsid w:val="001471EB"/>
    <w:rsid w:val="0014791E"/>
    <w:rsid w:val="00151659"/>
    <w:rsid w:val="00151D9A"/>
    <w:rsid w:val="00153CBC"/>
    <w:rsid w:val="0015517B"/>
    <w:rsid w:val="00157469"/>
    <w:rsid w:val="001579ED"/>
    <w:rsid w:val="00161721"/>
    <w:rsid w:val="00161C90"/>
    <w:rsid w:val="001636CE"/>
    <w:rsid w:val="00165294"/>
    <w:rsid w:val="00167822"/>
    <w:rsid w:val="00174780"/>
    <w:rsid w:val="001758B9"/>
    <w:rsid w:val="001773A8"/>
    <w:rsid w:val="00177E7B"/>
    <w:rsid w:val="00180A8E"/>
    <w:rsid w:val="001855F0"/>
    <w:rsid w:val="00185D23"/>
    <w:rsid w:val="00186B05"/>
    <w:rsid w:val="00187622"/>
    <w:rsid w:val="00187744"/>
    <w:rsid w:val="00187BED"/>
    <w:rsid w:val="001918AD"/>
    <w:rsid w:val="00192521"/>
    <w:rsid w:val="00192695"/>
    <w:rsid w:val="00194A06"/>
    <w:rsid w:val="00194A76"/>
    <w:rsid w:val="0019573C"/>
    <w:rsid w:val="00197A3D"/>
    <w:rsid w:val="00197C4B"/>
    <w:rsid w:val="001A0505"/>
    <w:rsid w:val="001A104C"/>
    <w:rsid w:val="001A1255"/>
    <w:rsid w:val="001A31C4"/>
    <w:rsid w:val="001A3C44"/>
    <w:rsid w:val="001A3F6A"/>
    <w:rsid w:val="001A603A"/>
    <w:rsid w:val="001A6524"/>
    <w:rsid w:val="001A7909"/>
    <w:rsid w:val="001B013F"/>
    <w:rsid w:val="001B0CC1"/>
    <w:rsid w:val="001B1054"/>
    <w:rsid w:val="001B2BDA"/>
    <w:rsid w:val="001B4276"/>
    <w:rsid w:val="001B49AB"/>
    <w:rsid w:val="001B49F5"/>
    <w:rsid w:val="001B4DE1"/>
    <w:rsid w:val="001B5C2F"/>
    <w:rsid w:val="001B77D1"/>
    <w:rsid w:val="001B796B"/>
    <w:rsid w:val="001C0EA9"/>
    <w:rsid w:val="001C30E9"/>
    <w:rsid w:val="001C6E07"/>
    <w:rsid w:val="001D0444"/>
    <w:rsid w:val="001D3489"/>
    <w:rsid w:val="001D3649"/>
    <w:rsid w:val="001D559F"/>
    <w:rsid w:val="001D586E"/>
    <w:rsid w:val="001D722F"/>
    <w:rsid w:val="001E09CB"/>
    <w:rsid w:val="001E27C9"/>
    <w:rsid w:val="001E2AD2"/>
    <w:rsid w:val="001E2FEA"/>
    <w:rsid w:val="001E6758"/>
    <w:rsid w:val="001E69B8"/>
    <w:rsid w:val="001E6A5D"/>
    <w:rsid w:val="001F0342"/>
    <w:rsid w:val="001F2F65"/>
    <w:rsid w:val="001F51D8"/>
    <w:rsid w:val="00201622"/>
    <w:rsid w:val="00202452"/>
    <w:rsid w:val="00204840"/>
    <w:rsid w:val="00204F26"/>
    <w:rsid w:val="00205B02"/>
    <w:rsid w:val="00207D2D"/>
    <w:rsid w:val="00211767"/>
    <w:rsid w:val="002121DF"/>
    <w:rsid w:val="0021638C"/>
    <w:rsid w:val="002166DE"/>
    <w:rsid w:val="00216867"/>
    <w:rsid w:val="002211DB"/>
    <w:rsid w:val="002226A4"/>
    <w:rsid w:val="00224BB3"/>
    <w:rsid w:val="00226BAE"/>
    <w:rsid w:val="002339B6"/>
    <w:rsid w:val="002341D7"/>
    <w:rsid w:val="002352AC"/>
    <w:rsid w:val="002366A0"/>
    <w:rsid w:val="0024328B"/>
    <w:rsid w:val="0024458E"/>
    <w:rsid w:val="002516D5"/>
    <w:rsid w:val="0025271F"/>
    <w:rsid w:val="00252A81"/>
    <w:rsid w:val="00256A06"/>
    <w:rsid w:val="00256DC2"/>
    <w:rsid w:val="00257266"/>
    <w:rsid w:val="0026266D"/>
    <w:rsid w:val="00263FAB"/>
    <w:rsid w:val="00265F7B"/>
    <w:rsid w:val="0026641B"/>
    <w:rsid w:val="00267887"/>
    <w:rsid w:val="002679E7"/>
    <w:rsid w:val="002705E1"/>
    <w:rsid w:val="002708EA"/>
    <w:rsid w:val="00272E87"/>
    <w:rsid w:val="0027304A"/>
    <w:rsid w:val="00274C1D"/>
    <w:rsid w:val="00276087"/>
    <w:rsid w:val="002800F8"/>
    <w:rsid w:val="00281953"/>
    <w:rsid w:val="00281EBF"/>
    <w:rsid w:val="00282CA3"/>
    <w:rsid w:val="002858B6"/>
    <w:rsid w:val="0028666D"/>
    <w:rsid w:val="0029151F"/>
    <w:rsid w:val="0029335F"/>
    <w:rsid w:val="0029425F"/>
    <w:rsid w:val="00294FD8"/>
    <w:rsid w:val="002961EA"/>
    <w:rsid w:val="002A15EE"/>
    <w:rsid w:val="002A1E6D"/>
    <w:rsid w:val="002A3278"/>
    <w:rsid w:val="002A4521"/>
    <w:rsid w:val="002A4D95"/>
    <w:rsid w:val="002A5D00"/>
    <w:rsid w:val="002A60BB"/>
    <w:rsid w:val="002A6C3B"/>
    <w:rsid w:val="002B058D"/>
    <w:rsid w:val="002B0D4B"/>
    <w:rsid w:val="002B2330"/>
    <w:rsid w:val="002B609B"/>
    <w:rsid w:val="002B64AF"/>
    <w:rsid w:val="002B66B4"/>
    <w:rsid w:val="002C31D9"/>
    <w:rsid w:val="002C355E"/>
    <w:rsid w:val="002C4D25"/>
    <w:rsid w:val="002C5197"/>
    <w:rsid w:val="002D0212"/>
    <w:rsid w:val="002D3613"/>
    <w:rsid w:val="002D451A"/>
    <w:rsid w:val="002D69C2"/>
    <w:rsid w:val="002D78C4"/>
    <w:rsid w:val="002E0BE3"/>
    <w:rsid w:val="002E267E"/>
    <w:rsid w:val="002E3290"/>
    <w:rsid w:val="002E3B1D"/>
    <w:rsid w:val="002E5E48"/>
    <w:rsid w:val="002E6FFF"/>
    <w:rsid w:val="002F1536"/>
    <w:rsid w:val="002F2E12"/>
    <w:rsid w:val="002F6EFF"/>
    <w:rsid w:val="00302F29"/>
    <w:rsid w:val="003042B5"/>
    <w:rsid w:val="003058A1"/>
    <w:rsid w:val="003059EF"/>
    <w:rsid w:val="003063D3"/>
    <w:rsid w:val="00312C0C"/>
    <w:rsid w:val="00314019"/>
    <w:rsid w:val="0031480C"/>
    <w:rsid w:val="003160F8"/>
    <w:rsid w:val="00317236"/>
    <w:rsid w:val="003172E0"/>
    <w:rsid w:val="00317D72"/>
    <w:rsid w:val="003203E7"/>
    <w:rsid w:val="003215C6"/>
    <w:rsid w:val="003226F6"/>
    <w:rsid w:val="003247CC"/>
    <w:rsid w:val="00331133"/>
    <w:rsid w:val="00335A16"/>
    <w:rsid w:val="00342667"/>
    <w:rsid w:val="00343435"/>
    <w:rsid w:val="003449DD"/>
    <w:rsid w:val="00344E0A"/>
    <w:rsid w:val="003450D1"/>
    <w:rsid w:val="00347327"/>
    <w:rsid w:val="003514B6"/>
    <w:rsid w:val="003539A8"/>
    <w:rsid w:val="00353BF2"/>
    <w:rsid w:val="003543E4"/>
    <w:rsid w:val="00356091"/>
    <w:rsid w:val="003570DA"/>
    <w:rsid w:val="00360A4B"/>
    <w:rsid w:val="00361FC1"/>
    <w:rsid w:val="003623D7"/>
    <w:rsid w:val="0036249E"/>
    <w:rsid w:val="003630DE"/>
    <w:rsid w:val="00364294"/>
    <w:rsid w:val="00366C91"/>
    <w:rsid w:val="003672C6"/>
    <w:rsid w:val="0037696E"/>
    <w:rsid w:val="0037707C"/>
    <w:rsid w:val="00381D9E"/>
    <w:rsid w:val="003828BB"/>
    <w:rsid w:val="00382BC5"/>
    <w:rsid w:val="0038465F"/>
    <w:rsid w:val="003849AE"/>
    <w:rsid w:val="00384FF3"/>
    <w:rsid w:val="00392820"/>
    <w:rsid w:val="00395F9B"/>
    <w:rsid w:val="003A1F92"/>
    <w:rsid w:val="003A2428"/>
    <w:rsid w:val="003A37A3"/>
    <w:rsid w:val="003A4A0D"/>
    <w:rsid w:val="003B068B"/>
    <w:rsid w:val="003B1E8C"/>
    <w:rsid w:val="003B4245"/>
    <w:rsid w:val="003B459D"/>
    <w:rsid w:val="003B62ED"/>
    <w:rsid w:val="003B7E02"/>
    <w:rsid w:val="003C03E3"/>
    <w:rsid w:val="003C1A17"/>
    <w:rsid w:val="003C29A8"/>
    <w:rsid w:val="003C5692"/>
    <w:rsid w:val="003C58A5"/>
    <w:rsid w:val="003C5C08"/>
    <w:rsid w:val="003C6263"/>
    <w:rsid w:val="003C7E95"/>
    <w:rsid w:val="003D03D8"/>
    <w:rsid w:val="003D18ED"/>
    <w:rsid w:val="003D43B3"/>
    <w:rsid w:val="003D4645"/>
    <w:rsid w:val="003D5276"/>
    <w:rsid w:val="003D7A18"/>
    <w:rsid w:val="003E08B5"/>
    <w:rsid w:val="003E0AB6"/>
    <w:rsid w:val="003E2A46"/>
    <w:rsid w:val="003E3A63"/>
    <w:rsid w:val="003E68BF"/>
    <w:rsid w:val="003E731F"/>
    <w:rsid w:val="003F0B27"/>
    <w:rsid w:val="003F218C"/>
    <w:rsid w:val="003F2AC7"/>
    <w:rsid w:val="00400095"/>
    <w:rsid w:val="004008C6"/>
    <w:rsid w:val="00401198"/>
    <w:rsid w:val="00402828"/>
    <w:rsid w:val="00402AB2"/>
    <w:rsid w:val="004031A5"/>
    <w:rsid w:val="00403D0C"/>
    <w:rsid w:val="004061FB"/>
    <w:rsid w:val="00407B05"/>
    <w:rsid w:val="0041162A"/>
    <w:rsid w:val="00411B3A"/>
    <w:rsid w:val="00412B06"/>
    <w:rsid w:val="00412D00"/>
    <w:rsid w:val="004146B7"/>
    <w:rsid w:val="0041510D"/>
    <w:rsid w:val="004165C1"/>
    <w:rsid w:val="0041683D"/>
    <w:rsid w:val="00417525"/>
    <w:rsid w:val="00421B9F"/>
    <w:rsid w:val="004226D3"/>
    <w:rsid w:val="00425DA0"/>
    <w:rsid w:val="0042704C"/>
    <w:rsid w:val="0042787A"/>
    <w:rsid w:val="00430133"/>
    <w:rsid w:val="004304B0"/>
    <w:rsid w:val="0043091E"/>
    <w:rsid w:val="00432A60"/>
    <w:rsid w:val="00432F98"/>
    <w:rsid w:val="00436707"/>
    <w:rsid w:val="00437932"/>
    <w:rsid w:val="00444D9C"/>
    <w:rsid w:val="004450F5"/>
    <w:rsid w:val="0044586E"/>
    <w:rsid w:val="00446A66"/>
    <w:rsid w:val="00447A22"/>
    <w:rsid w:val="004506BA"/>
    <w:rsid w:val="00450B9D"/>
    <w:rsid w:val="004524C0"/>
    <w:rsid w:val="00461B89"/>
    <w:rsid w:val="00462940"/>
    <w:rsid w:val="00462E98"/>
    <w:rsid w:val="004638FE"/>
    <w:rsid w:val="00463EB4"/>
    <w:rsid w:val="00467D91"/>
    <w:rsid w:val="00471ECF"/>
    <w:rsid w:val="004721C5"/>
    <w:rsid w:val="00474846"/>
    <w:rsid w:val="00480100"/>
    <w:rsid w:val="00483761"/>
    <w:rsid w:val="004840E3"/>
    <w:rsid w:val="004842FE"/>
    <w:rsid w:val="00484A4C"/>
    <w:rsid w:val="00490B12"/>
    <w:rsid w:val="0049133B"/>
    <w:rsid w:val="00494205"/>
    <w:rsid w:val="00494654"/>
    <w:rsid w:val="004947D7"/>
    <w:rsid w:val="004A30F1"/>
    <w:rsid w:val="004A3654"/>
    <w:rsid w:val="004A6A96"/>
    <w:rsid w:val="004B04D4"/>
    <w:rsid w:val="004B51AE"/>
    <w:rsid w:val="004B589B"/>
    <w:rsid w:val="004B630E"/>
    <w:rsid w:val="004C18C3"/>
    <w:rsid w:val="004C31B3"/>
    <w:rsid w:val="004C41F6"/>
    <w:rsid w:val="004D442B"/>
    <w:rsid w:val="004D56B8"/>
    <w:rsid w:val="004D633F"/>
    <w:rsid w:val="004E127F"/>
    <w:rsid w:val="004E5F83"/>
    <w:rsid w:val="004E6349"/>
    <w:rsid w:val="004E7359"/>
    <w:rsid w:val="004F003D"/>
    <w:rsid w:val="004F027D"/>
    <w:rsid w:val="004F2AEA"/>
    <w:rsid w:val="004F2E5F"/>
    <w:rsid w:val="004F32DD"/>
    <w:rsid w:val="004F4E9E"/>
    <w:rsid w:val="004F5873"/>
    <w:rsid w:val="004F68E7"/>
    <w:rsid w:val="00502384"/>
    <w:rsid w:val="00502576"/>
    <w:rsid w:val="00503222"/>
    <w:rsid w:val="0050600F"/>
    <w:rsid w:val="0050688A"/>
    <w:rsid w:val="00511E4D"/>
    <w:rsid w:val="00512FB5"/>
    <w:rsid w:val="0051551E"/>
    <w:rsid w:val="00517CF8"/>
    <w:rsid w:val="005223B8"/>
    <w:rsid w:val="00526705"/>
    <w:rsid w:val="005268D8"/>
    <w:rsid w:val="00534D47"/>
    <w:rsid w:val="00535C4C"/>
    <w:rsid w:val="0053667F"/>
    <w:rsid w:val="00536E9D"/>
    <w:rsid w:val="0053791A"/>
    <w:rsid w:val="005424F9"/>
    <w:rsid w:val="00543D33"/>
    <w:rsid w:val="0054415C"/>
    <w:rsid w:val="005453A7"/>
    <w:rsid w:val="0054567A"/>
    <w:rsid w:val="005468ED"/>
    <w:rsid w:val="00547E52"/>
    <w:rsid w:val="00553772"/>
    <w:rsid w:val="00555573"/>
    <w:rsid w:val="00555F62"/>
    <w:rsid w:val="00557882"/>
    <w:rsid w:val="00557F46"/>
    <w:rsid w:val="00561CCC"/>
    <w:rsid w:val="0056340B"/>
    <w:rsid w:val="0056476B"/>
    <w:rsid w:val="00566760"/>
    <w:rsid w:val="005669B3"/>
    <w:rsid w:val="005677BE"/>
    <w:rsid w:val="00570095"/>
    <w:rsid w:val="00573733"/>
    <w:rsid w:val="00573869"/>
    <w:rsid w:val="00573B4C"/>
    <w:rsid w:val="005744DA"/>
    <w:rsid w:val="00577D1C"/>
    <w:rsid w:val="00591594"/>
    <w:rsid w:val="00592024"/>
    <w:rsid w:val="00592D52"/>
    <w:rsid w:val="00594332"/>
    <w:rsid w:val="00594B38"/>
    <w:rsid w:val="005A04ED"/>
    <w:rsid w:val="005A05C1"/>
    <w:rsid w:val="005A151F"/>
    <w:rsid w:val="005A185D"/>
    <w:rsid w:val="005A60BB"/>
    <w:rsid w:val="005A7E5C"/>
    <w:rsid w:val="005B0FF2"/>
    <w:rsid w:val="005B35E1"/>
    <w:rsid w:val="005B3FF1"/>
    <w:rsid w:val="005B4BE7"/>
    <w:rsid w:val="005C0EB1"/>
    <w:rsid w:val="005C170F"/>
    <w:rsid w:val="005C2729"/>
    <w:rsid w:val="005C35E2"/>
    <w:rsid w:val="005C39A7"/>
    <w:rsid w:val="005C4689"/>
    <w:rsid w:val="005C6213"/>
    <w:rsid w:val="005D0AC3"/>
    <w:rsid w:val="005D1EA8"/>
    <w:rsid w:val="005D2674"/>
    <w:rsid w:val="005D2EB6"/>
    <w:rsid w:val="005D4F2E"/>
    <w:rsid w:val="005D5350"/>
    <w:rsid w:val="005D537A"/>
    <w:rsid w:val="005D7CB0"/>
    <w:rsid w:val="005E1369"/>
    <w:rsid w:val="005E1461"/>
    <w:rsid w:val="005E1D52"/>
    <w:rsid w:val="005E4D4B"/>
    <w:rsid w:val="005E5A8B"/>
    <w:rsid w:val="005E5A9E"/>
    <w:rsid w:val="005E6C79"/>
    <w:rsid w:val="005F278A"/>
    <w:rsid w:val="005F5B84"/>
    <w:rsid w:val="005F7707"/>
    <w:rsid w:val="00604BF2"/>
    <w:rsid w:val="00605647"/>
    <w:rsid w:val="00605AF6"/>
    <w:rsid w:val="00606904"/>
    <w:rsid w:val="00606A5D"/>
    <w:rsid w:val="006079BF"/>
    <w:rsid w:val="0061237B"/>
    <w:rsid w:val="00612AF0"/>
    <w:rsid w:val="0061415A"/>
    <w:rsid w:val="0061622E"/>
    <w:rsid w:val="0062047B"/>
    <w:rsid w:val="0062127A"/>
    <w:rsid w:val="006233CB"/>
    <w:rsid w:val="00626C4C"/>
    <w:rsid w:val="00631960"/>
    <w:rsid w:val="00634C3A"/>
    <w:rsid w:val="006356E9"/>
    <w:rsid w:val="00636306"/>
    <w:rsid w:val="00641C33"/>
    <w:rsid w:val="00642CC1"/>
    <w:rsid w:val="006439E7"/>
    <w:rsid w:val="00653702"/>
    <w:rsid w:val="00653AF8"/>
    <w:rsid w:val="00654889"/>
    <w:rsid w:val="006553E3"/>
    <w:rsid w:val="0066117E"/>
    <w:rsid w:val="006615EA"/>
    <w:rsid w:val="00664898"/>
    <w:rsid w:val="006676C1"/>
    <w:rsid w:val="006677AD"/>
    <w:rsid w:val="00667D4D"/>
    <w:rsid w:val="006748F3"/>
    <w:rsid w:val="00675CB9"/>
    <w:rsid w:val="006768A5"/>
    <w:rsid w:val="00677896"/>
    <w:rsid w:val="00686ED0"/>
    <w:rsid w:val="006923D2"/>
    <w:rsid w:val="006954CE"/>
    <w:rsid w:val="00697136"/>
    <w:rsid w:val="006A205C"/>
    <w:rsid w:val="006A59B3"/>
    <w:rsid w:val="006A6FD9"/>
    <w:rsid w:val="006A740A"/>
    <w:rsid w:val="006B1906"/>
    <w:rsid w:val="006B57DE"/>
    <w:rsid w:val="006B6696"/>
    <w:rsid w:val="006B7C9E"/>
    <w:rsid w:val="006B7DFC"/>
    <w:rsid w:val="006C0008"/>
    <w:rsid w:val="006C06DC"/>
    <w:rsid w:val="006C1A7A"/>
    <w:rsid w:val="006C43C7"/>
    <w:rsid w:val="006C4800"/>
    <w:rsid w:val="006C4839"/>
    <w:rsid w:val="006C6A19"/>
    <w:rsid w:val="006C71B7"/>
    <w:rsid w:val="006D3C61"/>
    <w:rsid w:val="006D4734"/>
    <w:rsid w:val="006D4876"/>
    <w:rsid w:val="006D5F01"/>
    <w:rsid w:val="006D64F6"/>
    <w:rsid w:val="006D674D"/>
    <w:rsid w:val="006E049E"/>
    <w:rsid w:val="006E05C4"/>
    <w:rsid w:val="006E1DDB"/>
    <w:rsid w:val="006E3153"/>
    <w:rsid w:val="006E4565"/>
    <w:rsid w:val="006E5088"/>
    <w:rsid w:val="006E6868"/>
    <w:rsid w:val="006E7179"/>
    <w:rsid w:val="006E782B"/>
    <w:rsid w:val="006E7EAF"/>
    <w:rsid w:val="006F0152"/>
    <w:rsid w:val="006F5FC7"/>
    <w:rsid w:val="00700581"/>
    <w:rsid w:val="00703711"/>
    <w:rsid w:val="00705825"/>
    <w:rsid w:val="00706361"/>
    <w:rsid w:val="007068ED"/>
    <w:rsid w:val="00706C21"/>
    <w:rsid w:val="00707B5A"/>
    <w:rsid w:val="00710A36"/>
    <w:rsid w:val="00711025"/>
    <w:rsid w:val="00711423"/>
    <w:rsid w:val="007118DF"/>
    <w:rsid w:val="007133C1"/>
    <w:rsid w:val="00722253"/>
    <w:rsid w:val="007222B5"/>
    <w:rsid w:val="007234A8"/>
    <w:rsid w:val="007236EA"/>
    <w:rsid w:val="00727C89"/>
    <w:rsid w:val="00732332"/>
    <w:rsid w:val="00736E96"/>
    <w:rsid w:val="00746A9F"/>
    <w:rsid w:val="007472E7"/>
    <w:rsid w:val="00751B6B"/>
    <w:rsid w:val="00751E1D"/>
    <w:rsid w:val="00753026"/>
    <w:rsid w:val="00753AAE"/>
    <w:rsid w:val="00754805"/>
    <w:rsid w:val="007551DE"/>
    <w:rsid w:val="00756DC4"/>
    <w:rsid w:val="00762937"/>
    <w:rsid w:val="00770528"/>
    <w:rsid w:val="00770EC2"/>
    <w:rsid w:val="0077572B"/>
    <w:rsid w:val="00775925"/>
    <w:rsid w:val="00777ACB"/>
    <w:rsid w:val="00777F47"/>
    <w:rsid w:val="00783ADC"/>
    <w:rsid w:val="00783F74"/>
    <w:rsid w:val="0079084C"/>
    <w:rsid w:val="0079250B"/>
    <w:rsid w:val="00792888"/>
    <w:rsid w:val="00794578"/>
    <w:rsid w:val="0079591F"/>
    <w:rsid w:val="007A31BD"/>
    <w:rsid w:val="007A4EF1"/>
    <w:rsid w:val="007A70F7"/>
    <w:rsid w:val="007B0114"/>
    <w:rsid w:val="007B2883"/>
    <w:rsid w:val="007B29C7"/>
    <w:rsid w:val="007B4878"/>
    <w:rsid w:val="007B59A0"/>
    <w:rsid w:val="007B5AEE"/>
    <w:rsid w:val="007B6FC7"/>
    <w:rsid w:val="007C0899"/>
    <w:rsid w:val="007C1817"/>
    <w:rsid w:val="007C395D"/>
    <w:rsid w:val="007C5791"/>
    <w:rsid w:val="007D0D83"/>
    <w:rsid w:val="007D2336"/>
    <w:rsid w:val="007D38D2"/>
    <w:rsid w:val="007D6384"/>
    <w:rsid w:val="007E001D"/>
    <w:rsid w:val="007E160E"/>
    <w:rsid w:val="007E1D30"/>
    <w:rsid w:val="007E1F2D"/>
    <w:rsid w:val="007E27BA"/>
    <w:rsid w:val="007E30FF"/>
    <w:rsid w:val="007E5A09"/>
    <w:rsid w:val="007F0099"/>
    <w:rsid w:val="007F18A3"/>
    <w:rsid w:val="007F510C"/>
    <w:rsid w:val="007F74E3"/>
    <w:rsid w:val="00801E17"/>
    <w:rsid w:val="00802628"/>
    <w:rsid w:val="0080417C"/>
    <w:rsid w:val="00806B27"/>
    <w:rsid w:val="00807C0E"/>
    <w:rsid w:val="00811F07"/>
    <w:rsid w:val="00813B73"/>
    <w:rsid w:val="00814BE0"/>
    <w:rsid w:val="00816C0E"/>
    <w:rsid w:val="00817517"/>
    <w:rsid w:val="00822766"/>
    <w:rsid w:val="00823D3C"/>
    <w:rsid w:val="00826564"/>
    <w:rsid w:val="008273A5"/>
    <w:rsid w:val="00827E09"/>
    <w:rsid w:val="00834FB4"/>
    <w:rsid w:val="00836619"/>
    <w:rsid w:val="00837388"/>
    <w:rsid w:val="0083792C"/>
    <w:rsid w:val="00837CDB"/>
    <w:rsid w:val="00841075"/>
    <w:rsid w:val="00843A11"/>
    <w:rsid w:val="00846D77"/>
    <w:rsid w:val="00846FAC"/>
    <w:rsid w:val="00850E14"/>
    <w:rsid w:val="00851DE1"/>
    <w:rsid w:val="008531F3"/>
    <w:rsid w:val="0085502F"/>
    <w:rsid w:val="00855C5A"/>
    <w:rsid w:val="00856310"/>
    <w:rsid w:val="0085713F"/>
    <w:rsid w:val="00857BEA"/>
    <w:rsid w:val="008616AC"/>
    <w:rsid w:val="00861D65"/>
    <w:rsid w:val="00862190"/>
    <w:rsid w:val="008627E8"/>
    <w:rsid w:val="00862DD3"/>
    <w:rsid w:val="00862E9E"/>
    <w:rsid w:val="00862EF8"/>
    <w:rsid w:val="008630C0"/>
    <w:rsid w:val="00863799"/>
    <w:rsid w:val="00864AE5"/>
    <w:rsid w:val="00867088"/>
    <w:rsid w:val="0087081F"/>
    <w:rsid w:val="0087150D"/>
    <w:rsid w:val="00871755"/>
    <w:rsid w:val="00871BFF"/>
    <w:rsid w:val="0087231F"/>
    <w:rsid w:val="00874357"/>
    <w:rsid w:val="00874DD7"/>
    <w:rsid w:val="00877D3E"/>
    <w:rsid w:val="00881097"/>
    <w:rsid w:val="00881BED"/>
    <w:rsid w:val="00881DE8"/>
    <w:rsid w:val="00882FD4"/>
    <w:rsid w:val="00883C41"/>
    <w:rsid w:val="008855F4"/>
    <w:rsid w:val="00891F60"/>
    <w:rsid w:val="0089246E"/>
    <w:rsid w:val="00892A09"/>
    <w:rsid w:val="00897146"/>
    <w:rsid w:val="00897A5E"/>
    <w:rsid w:val="008A1863"/>
    <w:rsid w:val="008A263E"/>
    <w:rsid w:val="008A5429"/>
    <w:rsid w:val="008A5AE8"/>
    <w:rsid w:val="008A633B"/>
    <w:rsid w:val="008A6DF6"/>
    <w:rsid w:val="008B2065"/>
    <w:rsid w:val="008B7E50"/>
    <w:rsid w:val="008C0549"/>
    <w:rsid w:val="008C257D"/>
    <w:rsid w:val="008C2B5D"/>
    <w:rsid w:val="008C6505"/>
    <w:rsid w:val="008C6F06"/>
    <w:rsid w:val="008D39F9"/>
    <w:rsid w:val="008E05DD"/>
    <w:rsid w:val="008E24A9"/>
    <w:rsid w:val="008E4278"/>
    <w:rsid w:val="008E5ECD"/>
    <w:rsid w:val="008E66D9"/>
    <w:rsid w:val="008F2621"/>
    <w:rsid w:val="008F4120"/>
    <w:rsid w:val="009009FA"/>
    <w:rsid w:val="00900B64"/>
    <w:rsid w:val="00902827"/>
    <w:rsid w:val="0090383C"/>
    <w:rsid w:val="00904966"/>
    <w:rsid w:val="009049E2"/>
    <w:rsid w:val="00906019"/>
    <w:rsid w:val="009069E6"/>
    <w:rsid w:val="00914756"/>
    <w:rsid w:val="00914AF4"/>
    <w:rsid w:val="0091591F"/>
    <w:rsid w:val="00916F82"/>
    <w:rsid w:val="00920F80"/>
    <w:rsid w:val="00926309"/>
    <w:rsid w:val="00927CAD"/>
    <w:rsid w:val="00930992"/>
    <w:rsid w:val="00932094"/>
    <w:rsid w:val="009361AC"/>
    <w:rsid w:val="0093690D"/>
    <w:rsid w:val="009435E9"/>
    <w:rsid w:val="00946535"/>
    <w:rsid w:val="00946E9C"/>
    <w:rsid w:val="00947ACE"/>
    <w:rsid w:val="00947DC0"/>
    <w:rsid w:val="0095242E"/>
    <w:rsid w:val="00952931"/>
    <w:rsid w:val="009533A5"/>
    <w:rsid w:val="00956967"/>
    <w:rsid w:val="00956A67"/>
    <w:rsid w:val="00957322"/>
    <w:rsid w:val="00966EFB"/>
    <w:rsid w:val="00967D3E"/>
    <w:rsid w:val="009708BB"/>
    <w:rsid w:val="00972E8F"/>
    <w:rsid w:val="009743DB"/>
    <w:rsid w:val="00974BA2"/>
    <w:rsid w:val="009757B2"/>
    <w:rsid w:val="0097753F"/>
    <w:rsid w:val="00977C6E"/>
    <w:rsid w:val="00977EA7"/>
    <w:rsid w:val="0098056F"/>
    <w:rsid w:val="00981264"/>
    <w:rsid w:val="00981A02"/>
    <w:rsid w:val="00985AB5"/>
    <w:rsid w:val="00987789"/>
    <w:rsid w:val="009A0714"/>
    <w:rsid w:val="009A1D82"/>
    <w:rsid w:val="009A620E"/>
    <w:rsid w:val="009A6F76"/>
    <w:rsid w:val="009A7C61"/>
    <w:rsid w:val="009B0688"/>
    <w:rsid w:val="009B23CC"/>
    <w:rsid w:val="009B2DE5"/>
    <w:rsid w:val="009B5587"/>
    <w:rsid w:val="009B6B1F"/>
    <w:rsid w:val="009B73FF"/>
    <w:rsid w:val="009B7944"/>
    <w:rsid w:val="009C062C"/>
    <w:rsid w:val="009C06F1"/>
    <w:rsid w:val="009C18FF"/>
    <w:rsid w:val="009C225C"/>
    <w:rsid w:val="009C277C"/>
    <w:rsid w:val="009C5096"/>
    <w:rsid w:val="009C557C"/>
    <w:rsid w:val="009C69D6"/>
    <w:rsid w:val="009C747E"/>
    <w:rsid w:val="009D1D0D"/>
    <w:rsid w:val="009D677B"/>
    <w:rsid w:val="009D7D8D"/>
    <w:rsid w:val="009E3834"/>
    <w:rsid w:val="009E4A4D"/>
    <w:rsid w:val="009E4AE1"/>
    <w:rsid w:val="009E6720"/>
    <w:rsid w:val="009E6DFF"/>
    <w:rsid w:val="009F0787"/>
    <w:rsid w:val="009F21EE"/>
    <w:rsid w:val="009F51FE"/>
    <w:rsid w:val="009F6575"/>
    <w:rsid w:val="009F7533"/>
    <w:rsid w:val="009F7D1C"/>
    <w:rsid w:val="00A02084"/>
    <w:rsid w:val="00A0266F"/>
    <w:rsid w:val="00A03046"/>
    <w:rsid w:val="00A03716"/>
    <w:rsid w:val="00A045FB"/>
    <w:rsid w:val="00A10073"/>
    <w:rsid w:val="00A10BD6"/>
    <w:rsid w:val="00A11915"/>
    <w:rsid w:val="00A139C7"/>
    <w:rsid w:val="00A14AF0"/>
    <w:rsid w:val="00A1508C"/>
    <w:rsid w:val="00A154A8"/>
    <w:rsid w:val="00A15736"/>
    <w:rsid w:val="00A15D2F"/>
    <w:rsid w:val="00A15F25"/>
    <w:rsid w:val="00A1678D"/>
    <w:rsid w:val="00A2136D"/>
    <w:rsid w:val="00A231B1"/>
    <w:rsid w:val="00A23E8A"/>
    <w:rsid w:val="00A257CA"/>
    <w:rsid w:val="00A27A73"/>
    <w:rsid w:val="00A27ADD"/>
    <w:rsid w:val="00A323C5"/>
    <w:rsid w:val="00A33573"/>
    <w:rsid w:val="00A33D9D"/>
    <w:rsid w:val="00A35E4C"/>
    <w:rsid w:val="00A4026C"/>
    <w:rsid w:val="00A402B7"/>
    <w:rsid w:val="00A40D52"/>
    <w:rsid w:val="00A41971"/>
    <w:rsid w:val="00A43D69"/>
    <w:rsid w:val="00A443CA"/>
    <w:rsid w:val="00A44A2C"/>
    <w:rsid w:val="00A46FBE"/>
    <w:rsid w:val="00A50E11"/>
    <w:rsid w:val="00A50E22"/>
    <w:rsid w:val="00A5141F"/>
    <w:rsid w:val="00A516A0"/>
    <w:rsid w:val="00A51EE0"/>
    <w:rsid w:val="00A55511"/>
    <w:rsid w:val="00A6103B"/>
    <w:rsid w:val="00A61509"/>
    <w:rsid w:val="00A622D7"/>
    <w:rsid w:val="00A63D5F"/>
    <w:rsid w:val="00A6403A"/>
    <w:rsid w:val="00A669BF"/>
    <w:rsid w:val="00A67C9A"/>
    <w:rsid w:val="00A70A18"/>
    <w:rsid w:val="00A7278B"/>
    <w:rsid w:val="00A7282B"/>
    <w:rsid w:val="00A73718"/>
    <w:rsid w:val="00A73C51"/>
    <w:rsid w:val="00A73D26"/>
    <w:rsid w:val="00A75B32"/>
    <w:rsid w:val="00A76C1B"/>
    <w:rsid w:val="00A80C8E"/>
    <w:rsid w:val="00A81956"/>
    <w:rsid w:val="00A81E0B"/>
    <w:rsid w:val="00A857B6"/>
    <w:rsid w:val="00A909C1"/>
    <w:rsid w:val="00A92F58"/>
    <w:rsid w:val="00A94C9D"/>
    <w:rsid w:val="00A94E3E"/>
    <w:rsid w:val="00A96E7F"/>
    <w:rsid w:val="00AA089A"/>
    <w:rsid w:val="00AA4086"/>
    <w:rsid w:val="00AB0822"/>
    <w:rsid w:val="00AB348C"/>
    <w:rsid w:val="00AB5FA4"/>
    <w:rsid w:val="00AB794E"/>
    <w:rsid w:val="00AC1C99"/>
    <w:rsid w:val="00AC256F"/>
    <w:rsid w:val="00AC2D34"/>
    <w:rsid w:val="00AC49F5"/>
    <w:rsid w:val="00AC693C"/>
    <w:rsid w:val="00AD0B77"/>
    <w:rsid w:val="00AD0CCF"/>
    <w:rsid w:val="00AD1AD4"/>
    <w:rsid w:val="00AD1B13"/>
    <w:rsid w:val="00AD3E8F"/>
    <w:rsid w:val="00AD5D13"/>
    <w:rsid w:val="00AD6886"/>
    <w:rsid w:val="00AD6B19"/>
    <w:rsid w:val="00AD73A6"/>
    <w:rsid w:val="00AD7500"/>
    <w:rsid w:val="00AE3BBB"/>
    <w:rsid w:val="00AE4C6B"/>
    <w:rsid w:val="00AE6393"/>
    <w:rsid w:val="00AF0A0E"/>
    <w:rsid w:val="00AF3F29"/>
    <w:rsid w:val="00B01AA6"/>
    <w:rsid w:val="00B01DCF"/>
    <w:rsid w:val="00B0505E"/>
    <w:rsid w:val="00B05C69"/>
    <w:rsid w:val="00B108C0"/>
    <w:rsid w:val="00B11544"/>
    <w:rsid w:val="00B122AC"/>
    <w:rsid w:val="00B14315"/>
    <w:rsid w:val="00B16682"/>
    <w:rsid w:val="00B171BA"/>
    <w:rsid w:val="00B17456"/>
    <w:rsid w:val="00B17AB7"/>
    <w:rsid w:val="00B206C0"/>
    <w:rsid w:val="00B207B0"/>
    <w:rsid w:val="00B20D36"/>
    <w:rsid w:val="00B22196"/>
    <w:rsid w:val="00B2326D"/>
    <w:rsid w:val="00B2458E"/>
    <w:rsid w:val="00B27269"/>
    <w:rsid w:val="00B2775E"/>
    <w:rsid w:val="00B27D80"/>
    <w:rsid w:val="00B31ADF"/>
    <w:rsid w:val="00B31DE2"/>
    <w:rsid w:val="00B32443"/>
    <w:rsid w:val="00B3294D"/>
    <w:rsid w:val="00B32CE5"/>
    <w:rsid w:val="00B33660"/>
    <w:rsid w:val="00B34374"/>
    <w:rsid w:val="00B34B80"/>
    <w:rsid w:val="00B364E2"/>
    <w:rsid w:val="00B410F7"/>
    <w:rsid w:val="00B443A5"/>
    <w:rsid w:val="00B44A01"/>
    <w:rsid w:val="00B45C28"/>
    <w:rsid w:val="00B53B5F"/>
    <w:rsid w:val="00B611E9"/>
    <w:rsid w:val="00B61CCF"/>
    <w:rsid w:val="00B63375"/>
    <w:rsid w:val="00B63FE7"/>
    <w:rsid w:val="00B64417"/>
    <w:rsid w:val="00B717E4"/>
    <w:rsid w:val="00B721C1"/>
    <w:rsid w:val="00B73D46"/>
    <w:rsid w:val="00B757B4"/>
    <w:rsid w:val="00B779D1"/>
    <w:rsid w:val="00B83F9D"/>
    <w:rsid w:val="00B84509"/>
    <w:rsid w:val="00B850D2"/>
    <w:rsid w:val="00B86661"/>
    <w:rsid w:val="00B91DC6"/>
    <w:rsid w:val="00B92BDB"/>
    <w:rsid w:val="00B94730"/>
    <w:rsid w:val="00B95939"/>
    <w:rsid w:val="00B96FE2"/>
    <w:rsid w:val="00B9709E"/>
    <w:rsid w:val="00BA2962"/>
    <w:rsid w:val="00BA4311"/>
    <w:rsid w:val="00BA71A3"/>
    <w:rsid w:val="00BA78E6"/>
    <w:rsid w:val="00BB31B3"/>
    <w:rsid w:val="00BB704B"/>
    <w:rsid w:val="00BB72AC"/>
    <w:rsid w:val="00BB75AE"/>
    <w:rsid w:val="00BC00C5"/>
    <w:rsid w:val="00BC1492"/>
    <w:rsid w:val="00BC41CF"/>
    <w:rsid w:val="00BC4F03"/>
    <w:rsid w:val="00BC5B4A"/>
    <w:rsid w:val="00BC6F90"/>
    <w:rsid w:val="00BC7853"/>
    <w:rsid w:val="00BC797E"/>
    <w:rsid w:val="00BC7DB7"/>
    <w:rsid w:val="00BD12AD"/>
    <w:rsid w:val="00BD3766"/>
    <w:rsid w:val="00BD3F6B"/>
    <w:rsid w:val="00BD423F"/>
    <w:rsid w:val="00BE48B4"/>
    <w:rsid w:val="00BE6764"/>
    <w:rsid w:val="00BE7915"/>
    <w:rsid w:val="00BE7E4B"/>
    <w:rsid w:val="00BF069F"/>
    <w:rsid w:val="00BF1473"/>
    <w:rsid w:val="00BF1CE5"/>
    <w:rsid w:val="00BF1FF9"/>
    <w:rsid w:val="00BF3ACB"/>
    <w:rsid w:val="00BF3ADE"/>
    <w:rsid w:val="00BF48D4"/>
    <w:rsid w:val="00BF5C42"/>
    <w:rsid w:val="00BF6997"/>
    <w:rsid w:val="00C014C9"/>
    <w:rsid w:val="00C02EED"/>
    <w:rsid w:val="00C0331F"/>
    <w:rsid w:val="00C04F4B"/>
    <w:rsid w:val="00C04FB1"/>
    <w:rsid w:val="00C07B21"/>
    <w:rsid w:val="00C10AD3"/>
    <w:rsid w:val="00C1120B"/>
    <w:rsid w:val="00C12BC3"/>
    <w:rsid w:val="00C131F2"/>
    <w:rsid w:val="00C146AE"/>
    <w:rsid w:val="00C14EDE"/>
    <w:rsid w:val="00C151BD"/>
    <w:rsid w:val="00C1590E"/>
    <w:rsid w:val="00C167BC"/>
    <w:rsid w:val="00C16E49"/>
    <w:rsid w:val="00C17370"/>
    <w:rsid w:val="00C20658"/>
    <w:rsid w:val="00C21CAC"/>
    <w:rsid w:val="00C22614"/>
    <w:rsid w:val="00C23438"/>
    <w:rsid w:val="00C237C8"/>
    <w:rsid w:val="00C2532E"/>
    <w:rsid w:val="00C2722B"/>
    <w:rsid w:val="00C303A5"/>
    <w:rsid w:val="00C31AC5"/>
    <w:rsid w:val="00C3506C"/>
    <w:rsid w:val="00C3518A"/>
    <w:rsid w:val="00C36B8C"/>
    <w:rsid w:val="00C43687"/>
    <w:rsid w:val="00C43A15"/>
    <w:rsid w:val="00C47C45"/>
    <w:rsid w:val="00C47F11"/>
    <w:rsid w:val="00C5059F"/>
    <w:rsid w:val="00C521A7"/>
    <w:rsid w:val="00C5234A"/>
    <w:rsid w:val="00C52CF6"/>
    <w:rsid w:val="00C530D5"/>
    <w:rsid w:val="00C542D1"/>
    <w:rsid w:val="00C54704"/>
    <w:rsid w:val="00C554BF"/>
    <w:rsid w:val="00C557DE"/>
    <w:rsid w:val="00C57F61"/>
    <w:rsid w:val="00C60042"/>
    <w:rsid w:val="00C6039F"/>
    <w:rsid w:val="00C60722"/>
    <w:rsid w:val="00C60BA1"/>
    <w:rsid w:val="00C60FD6"/>
    <w:rsid w:val="00C62D25"/>
    <w:rsid w:val="00C62E0C"/>
    <w:rsid w:val="00C64296"/>
    <w:rsid w:val="00C66AD9"/>
    <w:rsid w:val="00C7584A"/>
    <w:rsid w:val="00C7676E"/>
    <w:rsid w:val="00C829E7"/>
    <w:rsid w:val="00C83B2E"/>
    <w:rsid w:val="00C8454D"/>
    <w:rsid w:val="00C84B0B"/>
    <w:rsid w:val="00C84CB1"/>
    <w:rsid w:val="00C85253"/>
    <w:rsid w:val="00C8760F"/>
    <w:rsid w:val="00C87BA2"/>
    <w:rsid w:val="00C94285"/>
    <w:rsid w:val="00C942B5"/>
    <w:rsid w:val="00C948D4"/>
    <w:rsid w:val="00C95A40"/>
    <w:rsid w:val="00C95AA6"/>
    <w:rsid w:val="00C9603E"/>
    <w:rsid w:val="00CA022F"/>
    <w:rsid w:val="00CA41D8"/>
    <w:rsid w:val="00CA56A1"/>
    <w:rsid w:val="00CA7400"/>
    <w:rsid w:val="00CB0529"/>
    <w:rsid w:val="00CB0F93"/>
    <w:rsid w:val="00CB2DDB"/>
    <w:rsid w:val="00CB4BBF"/>
    <w:rsid w:val="00CB6B1A"/>
    <w:rsid w:val="00CB7B65"/>
    <w:rsid w:val="00CD05B2"/>
    <w:rsid w:val="00CD1915"/>
    <w:rsid w:val="00CD27A8"/>
    <w:rsid w:val="00CD4AF1"/>
    <w:rsid w:val="00CD4DB9"/>
    <w:rsid w:val="00CD50EE"/>
    <w:rsid w:val="00CD6C45"/>
    <w:rsid w:val="00CD6FD7"/>
    <w:rsid w:val="00CE2427"/>
    <w:rsid w:val="00CE276A"/>
    <w:rsid w:val="00CE3CB1"/>
    <w:rsid w:val="00CE5AAC"/>
    <w:rsid w:val="00CE6705"/>
    <w:rsid w:val="00CF0A9E"/>
    <w:rsid w:val="00CF1FB9"/>
    <w:rsid w:val="00CF26EE"/>
    <w:rsid w:val="00CF541A"/>
    <w:rsid w:val="00CF6264"/>
    <w:rsid w:val="00CF7339"/>
    <w:rsid w:val="00D043FC"/>
    <w:rsid w:val="00D053C1"/>
    <w:rsid w:val="00D05F82"/>
    <w:rsid w:val="00D10363"/>
    <w:rsid w:val="00D126AC"/>
    <w:rsid w:val="00D14189"/>
    <w:rsid w:val="00D151CE"/>
    <w:rsid w:val="00D1634D"/>
    <w:rsid w:val="00D16933"/>
    <w:rsid w:val="00D200FE"/>
    <w:rsid w:val="00D20868"/>
    <w:rsid w:val="00D2138B"/>
    <w:rsid w:val="00D2644D"/>
    <w:rsid w:val="00D26914"/>
    <w:rsid w:val="00D27405"/>
    <w:rsid w:val="00D3071B"/>
    <w:rsid w:val="00D3194C"/>
    <w:rsid w:val="00D319D7"/>
    <w:rsid w:val="00D32372"/>
    <w:rsid w:val="00D3554A"/>
    <w:rsid w:val="00D35CF7"/>
    <w:rsid w:val="00D35ECD"/>
    <w:rsid w:val="00D45770"/>
    <w:rsid w:val="00D50633"/>
    <w:rsid w:val="00D50AF5"/>
    <w:rsid w:val="00D50CF0"/>
    <w:rsid w:val="00D511D7"/>
    <w:rsid w:val="00D5131D"/>
    <w:rsid w:val="00D53FBA"/>
    <w:rsid w:val="00D55A46"/>
    <w:rsid w:val="00D56B7D"/>
    <w:rsid w:val="00D5795F"/>
    <w:rsid w:val="00D6078A"/>
    <w:rsid w:val="00D65D84"/>
    <w:rsid w:val="00D6789A"/>
    <w:rsid w:val="00D67DD0"/>
    <w:rsid w:val="00D7125C"/>
    <w:rsid w:val="00D72253"/>
    <w:rsid w:val="00D7243B"/>
    <w:rsid w:val="00D7590B"/>
    <w:rsid w:val="00D91022"/>
    <w:rsid w:val="00D91A26"/>
    <w:rsid w:val="00D9346F"/>
    <w:rsid w:val="00D93B17"/>
    <w:rsid w:val="00D944E0"/>
    <w:rsid w:val="00D947E7"/>
    <w:rsid w:val="00D96D5D"/>
    <w:rsid w:val="00DA015B"/>
    <w:rsid w:val="00DA050B"/>
    <w:rsid w:val="00DA099B"/>
    <w:rsid w:val="00DA2AC6"/>
    <w:rsid w:val="00DA3B38"/>
    <w:rsid w:val="00DA462D"/>
    <w:rsid w:val="00DA476D"/>
    <w:rsid w:val="00DA6E63"/>
    <w:rsid w:val="00DA7017"/>
    <w:rsid w:val="00DA7650"/>
    <w:rsid w:val="00DB05AD"/>
    <w:rsid w:val="00DB6ACE"/>
    <w:rsid w:val="00DC0989"/>
    <w:rsid w:val="00DC1A2E"/>
    <w:rsid w:val="00DC2668"/>
    <w:rsid w:val="00DC306E"/>
    <w:rsid w:val="00DC3A26"/>
    <w:rsid w:val="00DC40F3"/>
    <w:rsid w:val="00DC44A3"/>
    <w:rsid w:val="00DC53A6"/>
    <w:rsid w:val="00DC76EE"/>
    <w:rsid w:val="00DD40CD"/>
    <w:rsid w:val="00DE2455"/>
    <w:rsid w:val="00DE292C"/>
    <w:rsid w:val="00DE6F36"/>
    <w:rsid w:val="00DF0731"/>
    <w:rsid w:val="00DF0B49"/>
    <w:rsid w:val="00DF1151"/>
    <w:rsid w:val="00DF4741"/>
    <w:rsid w:val="00DF704D"/>
    <w:rsid w:val="00DF7EF5"/>
    <w:rsid w:val="00E00CEC"/>
    <w:rsid w:val="00E01B73"/>
    <w:rsid w:val="00E0299E"/>
    <w:rsid w:val="00E056EE"/>
    <w:rsid w:val="00E059EC"/>
    <w:rsid w:val="00E10BE6"/>
    <w:rsid w:val="00E1531F"/>
    <w:rsid w:val="00E1537D"/>
    <w:rsid w:val="00E1589D"/>
    <w:rsid w:val="00E17A9A"/>
    <w:rsid w:val="00E17DEE"/>
    <w:rsid w:val="00E21DC8"/>
    <w:rsid w:val="00E22B07"/>
    <w:rsid w:val="00E23218"/>
    <w:rsid w:val="00E26D3A"/>
    <w:rsid w:val="00E27340"/>
    <w:rsid w:val="00E27707"/>
    <w:rsid w:val="00E300E8"/>
    <w:rsid w:val="00E304F1"/>
    <w:rsid w:val="00E3329D"/>
    <w:rsid w:val="00E411EC"/>
    <w:rsid w:val="00E45518"/>
    <w:rsid w:val="00E455CC"/>
    <w:rsid w:val="00E515B9"/>
    <w:rsid w:val="00E516F7"/>
    <w:rsid w:val="00E53183"/>
    <w:rsid w:val="00E53A29"/>
    <w:rsid w:val="00E54D4B"/>
    <w:rsid w:val="00E550B2"/>
    <w:rsid w:val="00E60BAA"/>
    <w:rsid w:val="00E63D4D"/>
    <w:rsid w:val="00E656B3"/>
    <w:rsid w:val="00E656BE"/>
    <w:rsid w:val="00E656CA"/>
    <w:rsid w:val="00E65C53"/>
    <w:rsid w:val="00E67ED7"/>
    <w:rsid w:val="00E70B51"/>
    <w:rsid w:val="00E71EAB"/>
    <w:rsid w:val="00E72C41"/>
    <w:rsid w:val="00E73320"/>
    <w:rsid w:val="00E733B2"/>
    <w:rsid w:val="00E76204"/>
    <w:rsid w:val="00E764C1"/>
    <w:rsid w:val="00E76504"/>
    <w:rsid w:val="00E817BE"/>
    <w:rsid w:val="00E81989"/>
    <w:rsid w:val="00E827B3"/>
    <w:rsid w:val="00E87EA8"/>
    <w:rsid w:val="00E908F4"/>
    <w:rsid w:val="00E920CB"/>
    <w:rsid w:val="00E9622E"/>
    <w:rsid w:val="00EA0CDB"/>
    <w:rsid w:val="00EA34E5"/>
    <w:rsid w:val="00EA4D10"/>
    <w:rsid w:val="00EA5115"/>
    <w:rsid w:val="00EA576C"/>
    <w:rsid w:val="00EA7133"/>
    <w:rsid w:val="00EA7647"/>
    <w:rsid w:val="00EB0E24"/>
    <w:rsid w:val="00EB479B"/>
    <w:rsid w:val="00EB4A3A"/>
    <w:rsid w:val="00EB5516"/>
    <w:rsid w:val="00EC276E"/>
    <w:rsid w:val="00EC2BB6"/>
    <w:rsid w:val="00EC6F4C"/>
    <w:rsid w:val="00ED166F"/>
    <w:rsid w:val="00ED319C"/>
    <w:rsid w:val="00ED3648"/>
    <w:rsid w:val="00ED4B8E"/>
    <w:rsid w:val="00ED4F8B"/>
    <w:rsid w:val="00ED55A2"/>
    <w:rsid w:val="00ED5D6D"/>
    <w:rsid w:val="00EE0B78"/>
    <w:rsid w:val="00EE312C"/>
    <w:rsid w:val="00EE52BC"/>
    <w:rsid w:val="00EF0C3A"/>
    <w:rsid w:val="00EF1041"/>
    <w:rsid w:val="00EF4A51"/>
    <w:rsid w:val="00EF64D2"/>
    <w:rsid w:val="00F00C8E"/>
    <w:rsid w:val="00F02F5C"/>
    <w:rsid w:val="00F06140"/>
    <w:rsid w:val="00F06445"/>
    <w:rsid w:val="00F1100E"/>
    <w:rsid w:val="00F11732"/>
    <w:rsid w:val="00F14178"/>
    <w:rsid w:val="00F14200"/>
    <w:rsid w:val="00F14443"/>
    <w:rsid w:val="00F15E5B"/>
    <w:rsid w:val="00F16490"/>
    <w:rsid w:val="00F17A1F"/>
    <w:rsid w:val="00F214B0"/>
    <w:rsid w:val="00F22446"/>
    <w:rsid w:val="00F2564D"/>
    <w:rsid w:val="00F25AA3"/>
    <w:rsid w:val="00F27769"/>
    <w:rsid w:val="00F3039B"/>
    <w:rsid w:val="00F30E0B"/>
    <w:rsid w:val="00F31AE7"/>
    <w:rsid w:val="00F34E7D"/>
    <w:rsid w:val="00F3626D"/>
    <w:rsid w:val="00F364B3"/>
    <w:rsid w:val="00F37A30"/>
    <w:rsid w:val="00F37B86"/>
    <w:rsid w:val="00F37BCC"/>
    <w:rsid w:val="00F44097"/>
    <w:rsid w:val="00F4541C"/>
    <w:rsid w:val="00F4775C"/>
    <w:rsid w:val="00F478D1"/>
    <w:rsid w:val="00F47DEF"/>
    <w:rsid w:val="00F47E4C"/>
    <w:rsid w:val="00F5027D"/>
    <w:rsid w:val="00F51064"/>
    <w:rsid w:val="00F53BCF"/>
    <w:rsid w:val="00F54582"/>
    <w:rsid w:val="00F557AC"/>
    <w:rsid w:val="00F55DA2"/>
    <w:rsid w:val="00F639B4"/>
    <w:rsid w:val="00F67262"/>
    <w:rsid w:val="00F758FC"/>
    <w:rsid w:val="00F76C9E"/>
    <w:rsid w:val="00F77490"/>
    <w:rsid w:val="00F77598"/>
    <w:rsid w:val="00F77B5F"/>
    <w:rsid w:val="00F81149"/>
    <w:rsid w:val="00F8279C"/>
    <w:rsid w:val="00F83994"/>
    <w:rsid w:val="00F83D7F"/>
    <w:rsid w:val="00F85057"/>
    <w:rsid w:val="00F87808"/>
    <w:rsid w:val="00F87A10"/>
    <w:rsid w:val="00F907D6"/>
    <w:rsid w:val="00F945B9"/>
    <w:rsid w:val="00F976F3"/>
    <w:rsid w:val="00FA08EA"/>
    <w:rsid w:val="00FA40D1"/>
    <w:rsid w:val="00FA66F3"/>
    <w:rsid w:val="00FB04B0"/>
    <w:rsid w:val="00FB1E05"/>
    <w:rsid w:val="00FB27BE"/>
    <w:rsid w:val="00FB3A1A"/>
    <w:rsid w:val="00FB4BD3"/>
    <w:rsid w:val="00FB5770"/>
    <w:rsid w:val="00FB62F0"/>
    <w:rsid w:val="00FB7979"/>
    <w:rsid w:val="00FC3677"/>
    <w:rsid w:val="00FC4292"/>
    <w:rsid w:val="00FC42AB"/>
    <w:rsid w:val="00FC43F8"/>
    <w:rsid w:val="00FC6AC1"/>
    <w:rsid w:val="00FD1DBB"/>
    <w:rsid w:val="00FD7B62"/>
    <w:rsid w:val="00FE2868"/>
    <w:rsid w:val="00FF0987"/>
    <w:rsid w:val="00FF1418"/>
    <w:rsid w:val="00FF3ABB"/>
    <w:rsid w:val="00FF46E4"/>
    <w:rsid w:val="00FF62E1"/>
    <w:rsid w:val="00FF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5F36524D-D54B-431D-903C-A3AA2507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39E"/>
    <w:rPr>
      <w:sz w:val="24"/>
      <w:szCs w:val="24"/>
    </w:rPr>
  </w:style>
  <w:style w:type="paragraph" w:styleId="Heading1">
    <w:name w:val="heading 1"/>
    <w:basedOn w:val="Normal"/>
    <w:next w:val="Normal"/>
    <w:link w:val="Heading1Char"/>
    <w:uiPriority w:val="99"/>
    <w:qFormat/>
    <w:locked/>
    <w:rsid w:val="003C58A5"/>
    <w:pPr>
      <w:keepNext/>
      <w:spacing w:line="480" w:lineRule="auto"/>
      <w:outlineLvl w:val="0"/>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58A5"/>
    <w:rPr>
      <w:rFonts w:ascii="Arial" w:hAnsi="Arial" w:cs="Arial"/>
      <w:i/>
      <w:iCs/>
      <w:sz w:val="24"/>
      <w:szCs w:val="24"/>
    </w:rPr>
  </w:style>
  <w:style w:type="paragraph" w:styleId="BodyText">
    <w:name w:val="Body Text"/>
    <w:basedOn w:val="Normal"/>
    <w:link w:val="BodyTextChar"/>
    <w:rsid w:val="000F239E"/>
    <w:pPr>
      <w:jc w:val="both"/>
    </w:pPr>
  </w:style>
  <w:style w:type="character" w:customStyle="1" w:styleId="BodyTextChar">
    <w:name w:val="Body Text Char"/>
    <w:basedOn w:val="DefaultParagraphFont"/>
    <w:link w:val="BodyText"/>
    <w:uiPriority w:val="99"/>
    <w:semiHidden/>
    <w:locked/>
    <w:rsid w:val="00573B4C"/>
    <w:rPr>
      <w:rFonts w:cs="Times New Roman"/>
      <w:sz w:val="24"/>
    </w:rPr>
  </w:style>
  <w:style w:type="character" w:styleId="Hyperlink">
    <w:name w:val="Hyperlink"/>
    <w:basedOn w:val="DefaultParagraphFont"/>
    <w:uiPriority w:val="99"/>
    <w:rsid w:val="00392820"/>
    <w:rPr>
      <w:rFonts w:cs="Times New Roman"/>
      <w:color w:val="0000FF"/>
      <w:u w:val="single"/>
    </w:rPr>
  </w:style>
  <w:style w:type="paragraph" w:styleId="Header">
    <w:name w:val="header"/>
    <w:basedOn w:val="Normal"/>
    <w:link w:val="HeaderChar"/>
    <w:uiPriority w:val="99"/>
    <w:rsid w:val="00AB0822"/>
    <w:pPr>
      <w:tabs>
        <w:tab w:val="center" w:pos="4320"/>
        <w:tab w:val="right" w:pos="8640"/>
      </w:tabs>
    </w:pPr>
  </w:style>
  <w:style w:type="character" w:customStyle="1" w:styleId="HeaderChar">
    <w:name w:val="Header Char"/>
    <w:basedOn w:val="DefaultParagraphFont"/>
    <w:link w:val="Header"/>
    <w:uiPriority w:val="99"/>
    <w:locked/>
    <w:rsid w:val="00573B4C"/>
    <w:rPr>
      <w:rFonts w:cs="Times New Roman"/>
      <w:sz w:val="24"/>
    </w:rPr>
  </w:style>
  <w:style w:type="paragraph" w:styleId="Footer">
    <w:name w:val="footer"/>
    <w:basedOn w:val="Normal"/>
    <w:link w:val="FooterChar"/>
    <w:uiPriority w:val="99"/>
    <w:rsid w:val="00AB0822"/>
    <w:pPr>
      <w:tabs>
        <w:tab w:val="center" w:pos="4320"/>
        <w:tab w:val="right" w:pos="8640"/>
      </w:tabs>
    </w:pPr>
  </w:style>
  <w:style w:type="character" w:customStyle="1" w:styleId="FooterChar">
    <w:name w:val="Footer Char"/>
    <w:basedOn w:val="DefaultParagraphFont"/>
    <w:link w:val="Footer"/>
    <w:uiPriority w:val="99"/>
    <w:locked/>
    <w:rsid w:val="00573B4C"/>
    <w:rPr>
      <w:rFonts w:cs="Times New Roman"/>
      <w:sz w:val="24"/>
    </w:rPr>
  </w:style>
  <w:style w:type="character" w:styleId="PageNumber">
    <w:name w:val="page number"/>
    <w:basedOn w:val="DefaultParagraphFont"/>
    <w:uiPriority w:val="99"/>
    <w:rsid w:val="00AB0822"/>
    <w:rPr>
      <w:rFonts w:cs="Times New Roman"/>
    </w:rPr>
  </w:style>
  <w:style w:type="character" w:styleId="CommentReference">
    <w:name w:val="annotation reference"/>
    <w:basedOn w:val="DefaultParagraphFont"/>
    <w:uiPriority w:val="99"/>
    <w:semiHidden/>
    <w:rsid w:val="00722253"/>
    <w:rPr>
      <w:rFonts w:cs="Times New Roman"/>
      <w:sz w:val="16"/>
    </w:rPr>
  </w:style>
  <w:style w:type="paragraph" w:styleId="CommentText">
    <w:name w:val="annotation text"/>
    <w:basedOn w:val="Normal"/>
    <w:link w:val="CommentTextChar"/>
    <w:uiPriority w:val="99"/>
    <w:semiHidden/>
    <w:rsid w:val="00722253"/>
    <w:rPr>
      <w:sz w:val="20"/>
      <w:szCs w:val="20"/>
    </w:rPr>
  </w:style>
  <w:style w:type="character" w:customStyle="1" w:styleId="CommentTextChar">
    <w:name w:val="Comment Text Char"/>
    <w:basedOn w:val="DefaultParagraphFont"/>
    <w:link w:val="CommentText"/>
    <w:uiPriority w:val="99"/>
    <w:semiHidden/>
    <w:locked/>
    <w:rsid w:val="00573B4C"/>
    <w:rPr>
      <w:rFonts w:cs="Times New Roman"/>
      <w:sz w:val="20"/>
    </w:rPr>
  </w:style>
  <w:style w:type="paragraph" w:styleId="CommentSubject">
    <w:name w:val="annotation subject"/>
    <w:basedOn w:val="CommentText"/>
    <w:next w:val="CommentText"/>
    <w:link w:val="CommentSubjectChar"/>
    <w:uiPriority w:val="99"/>
    <w:semiHidden/>
    <w:rsid w:val="00722253"/>
    <w:rPr>
      <w:b/>
      <w:bCs/>
    </w:rPr>
  </w:style>
  <w:style w:type="character" w:customStyle="1" w:styleId="CommentSubjectChar">
    <w:name w:val="Comment Subject Char"/>
    <w:basedOn w:val="CommentTextChar"/>
    <w:link w:val="CommentSubject"/>
    <w:uiPriority w:val="99"/>
    <w:semiHidden/>
    <w:locked/>
    <w:rsid w:val="00573B4C"/>
    <w:rPr>
      <w:rFonts w:cs="Times New Roman"/>
      <w:b/>
      <w:sz w:val="20"/>
    </w:rPr>
  </w:style>
  <w:style w:type="paragraph" w:styleId="BalloonText">
    <w:name w:val="Balloon Text"/>
    <w:basedOn w:val="Normal"/>
    <w:link w:val="BalloonTextChar"/>
    <w:uiPriority w:val="99"/>
    <w:semiHidden/>
    <w:rsid w:val="0072225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3B4C"/>
    <w:rPr>
      <w:rFonts w:cs="Times New Roman"/>
      <w:sz w:val="2"/>
    </w:rPr>
  </w:style>
  <w:style w:type="paragraph" w:styleId="Revision">
    <w:name w:val="Revision"/>
    <w:hidden/>
    <w:uiPriority w:val="99"/>
    <w:semiHidden/>
    <w:rsid w:val="00DC40F3"/>
    <w:rPr>
      <w:sz w:val="24"/>
      <w:szCs w:val="24"/>
    </w:rPr>
  </w:style>
  <w:style w:type="paragraph" w:customStyle="1" w:styleId="StyleCenteredFirstline05LinespacingDouble">
    <w:name w:val="Style Centered First line:  0.5&quot; Line spacing:  Double"/>
    <w:basedOn w:val="Normal"/>
    <w:uiPriority w:val="99"/>
    <w:rsid w:val="00DF7EF5"/>
    <w:pPr>
      <w:spacing w:line="480" w:lineRule="auto"/>
      <w:ind w:firstLine="720"/>
    </w:pPr>
  </w:style>
  <w:style w:type="paragraph" w:styleId="Title">
    <w:name w:val="Title"/>
    <w:basedOn w:val="Normal"/>
    <w:link w:val="TitleChar"/>
    <w:uiPriority w:val="99"/>
    <w:qFormat/>
    <w:locked/>
    <w:rsid w:val="00DF7EF5"/>
    <w:pPr>
      <w:jc w:val="center"/>
    </w:pPr>
    <w:rPr>
      <w:b/>
      <w:bCs/>
    </w:rPr>
  </w:style>
  <w:style w:type="character" w:customStyle="1" w:styleId="TitleChar">
    <w:name w:val="Title Char"/>
    <w:basedOn w:val="DefaultParagraphFont"/>
    <w:link w:val="Title"/>
    <w:uiPriority w:val="99"/>
    <w:locked/>
    <w:rsid w:val="006A205C"/>
    <w:rPr>
      <w:rFonts w:ascii="Cambria" w:eastAsia="MS ????" w:hAnsi="Cambria" w:cs="Times New Roman"/>
      <w:b/>
      <w:kern w:val="28"/>
      <w:sz w:val="32"/>
    </w:rPr>
  </w:style>
  <w:style w:type="table" w:styleId="TableGrid">
    <w:name w:val="Table Grid"/>
    <w:basedOn w:val="TableNormal"/>
    <w:uiPriority w:val="99"/>
    <w:locked/>
    <w:rsid w:val="009C747E"/>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rsid w:val="00897146"/>
    <w:pPr>
      <w:spacing w:before="100" w:beforeAutospacing="1" w:after="100" w:afterAutospacing="1"/>
    </w:pPr>
    <w:rP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661984">
      <w:marLeft w:val="0"/>
      <w:marRight w:val="0"/>
      <w:marTop w:val="0"/>
      <w:marBottom w:val="0"/>
      <w:divBdr>
        <w:top w:val="none" w:sz="0" w:space="0" w:color="auto"/>
        <w:left w:val="none" w:sz="0" w:space="0" w:color="auto"/>
        <w:bottom w:val="none" w:sz="0" w:space="0" w:color="auto"/>
        <w:right w:val="none" w:sz="0" w:space="0" w:color="auto"/>
      </w:divBdr>
      <w:divsChild>
        <w:div w:id="1342661985">
          <w:marLeft w:val="0"/>
          <w:marRight w:val="0"/>
          <w:marTop w:val="0"/>
          <w:marBottom w:val="0"/>
          <w:divBdr>
            <w:top w:val="none" w:sz="0" w:space="0" w:color="auto"/>
            <w:left w:val="none" w:sz="0" w:space="0" w:color="auto"/>
            <w:bottom w:val="none" w:sz="0" w:space="0" w:color="auto"/>
            <w:right w:val="none" w:sz="0" w:space="0" w:color="auto"/>
          </w:divBdr>
        </w:div>
        <w:div w:id="1342661986">
          <w:marLeft w:val="0"/>
          <w:marRight w:val="0"/>
          <w:marTop w:val="0"/>
          <w:marBottom w:val="0"/>
          <w:divBdr>
            <w:top w:val="none" w:sz="0" w:space="0" w:color="auto"/>
            <w:left w:val="none" w:sz="0" w:space="0" w:color="auto"/>
            <w:bottom w:val="none" w:sz="0" w:space="0" w:color="auto"/>
            <w:right w:val="none" w:sz="0" w:space="0" w:color="auto"/>
          </w:divBdr>
        </w:div>
        <w:div w:id="1342661987">
          <w:marLeft w:val="0"/>
          <w:marRight w:val="0"/>
          <w:marTop w:val="0"/>
          <w:marBottom w:val="0"/>
          <w:divBdr>
            <w:top w:val="none" w:sz="0" w:space="0" w:color="auto"/>
            <w:left w:val="none" w:sz="0" w:space="0" w:color="auto"/>
            <w:bottom w:val="none" w:sz="0" w:space="0" w:color="auto"/>
            <w:right w:val="none" w:sz="0" w:space="0" w:color="auto"/>
          </w:divBdr>
        </w:div>
        <w:div w:id="1342661988">
          <w:marLeft w:val="0"/>
          <w:marRight w:val="0"/>
          <w:marTop w:val="0"/>
          <w:marBottom w:val="0"/>
          <w:divBdr>
            <w:top w:val="none" w:sz="0" w:space="0" w:color="auto"/>
            <w:left w:val="none" w:sz="0" w:space="0" w:color="auto"/>
            <w:bottom w:val="none" w:sz="0" w:space="0" w:color="auto"/>
            <w:right w:val="none" w:sz="0" w:space="0" w:color="auto"/>
          </w:divBdr>
        </w:div>
        <w:div w:id="1342661989">
          <w:marLeft w:val="0"/>
          <w:marRight w:val="0"/>
          <w:marTop w:val="0"/>
          <w:marBottom w:val="0"/>
          <w:divBdr>
            <w:top w:val="none" w:sz="0" w:space="0" w:color="auto"/>
            <w:left w:val="none" w:sz="0" w:space="0" w:color="auto"/>
            <w:bottom w:val="none" w:sz="0" w:space="0" w:color="auto"/>
            <w:right w:val="none" w:sz="0" w:space="0" w:color="auto"/>
          </w:divBdr>
        </w:div>
      </w:divsChild>
    </w:div>
    <w:div w:id="1342661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644877723617906"/>
          <c:y val="5.9734403343866115E-2"/>
          <c:w val="0.52271632712577598"/>
          <c:h val="0.7699115044247794"/>
        </c:manualLayout>
      </c:layout>
      <c:barChart>
        <c:barDir val="col"/>
        <c:grouping val="stacked"/>
        <c:varyColors val="0"/>
        <c:ser>
          <c:idx val="0"/>
          <c:order val="0"/>
          <c:tx>
            <c:strRef>
              <c:f>Sheet1!$A$2</c:f>
              <c:strCache>
                <c:ptCount val="1"/>
                <c:pt idx="0">
                  <c:v>Remission</c:v>
                </c:pt>
              </c:strCache>
            </c:strRef>
          </c:tx>
          <c:spPr>
            <a:solidFill>
              <a:srgbClr val="333333"/>
            </a:solidFill>
            <a:ln w="12444">
              <a:solidFill>
                <a:srgbClr val="000000"/>
              </a:solidFill>
              <a:prstDash val="solid"/>
            </a:ln>
          </c:spPr>
          <c:invertIfNegative val="0"/>
          <c:cat>
            <c:strRef>
              <c:f>Sheet1!$B$1:$D$1</c:f>
              <c:strCache>
                <c:ptCount val="3"/>
                <c:pt idx="0">
                  <c:v>BA</c:v>
                </c:pt>
                <c:pt idx="1">
                  <c:v>MBT</c:v>
                </c:pt>
                <c:pt idx="2">
                  <c:v>WLC</c:v>
                </c:pt>
              </c:strCache>
            </c:strRef>
          </c:cat>
          <c:val>
            <c:numRef>
              <c:f>Sheet1!$B$2:$D$2</c:f>
              <c:numCache>
                <c:formatCode>General</c:formatCode>
                <c:ptCount val="3"/>
                <c:pt idx="0">
                  <c:v>57</c:v>
                </c:pt>
                <c:pt idx="1">
                  <c:v>45</c:v>
                </c:pt>
                <c:pt idx="2">
                  <c:v>25</c:v>
                </c:pt>
              </c:numCache>
            </c:numRef>
          </c:val>
        </c:ser>
        <c:ser>
          <c:idx val="1"/>
          <c:order val="1"/>
          <c:tx>
            <c:strRef>
              <c:f>Sheet1!$A$3</c:f>
              <c:strCache>
                <c:ptCount val="1"/>
                <c:pt idx="0">
                  <c:v>Reponse Only</c:v>
                </c:pt>
              </c:strCache>
            </c:strRef>
          </c:tx>
          <c:spPr>
            <a:solidFill>
              <a:srgbClr val="969696"/>
            </a:solidFill>
            <a:ln w="12444">
              <a:solidFill>
                <a:srgbClr val="000000"/>
              </a:solidFill>
              <a:prstDash val="solid"/>
            </a:ln>
          </c:spPr>
          <c:invertIfNegative val="0"/>
          <c:cat>
            <c:strRef>
              <c:f>Sheet1!$B$1:$D$1</c:f>
              <c:strCache>
                <c:ptCount val="3"/>
                <c:pt idx="0">
                  <c:v>BA</c:v>
                </c:pt>
                <c:pt idx="1">
                  <c:v>MBT</c:v>
                </c:pt>
                <c:pt idx="2">
                  <c:v>WLC</c:v>
                </c:pt>
              </c:strCache>
            </c:strRef>
          </c:cat>
          <c:val>
            <c:numRef>
              <c:f>Sheet1!$B$3:$D$3</c:f>
              <c:numCache>
                <c:formatCode>General</c:formatCode>
                <c:ptCount val="3"/>
                <c:pt idx="0">
                  <c:v>7</c:v>
                </c:pt>
                <c:pt idx="1">
                  <c:v>11</c:v>
                </c:pt>
                <c:pt idx="2">
                  <c:v>0</c:v>
                </c:pt>
              </c:numCache>
            </c:numRef>
          </c:val>
        </c:ser>
        <c:dLbls>
          <c:showLegendKey val="0"/>
          <c:showVal val="0"/>
          <c:showCatName val="0"/>
          <c:showSerName val="0"/>
          <c:showPercent val="0"/>
          <c:showBubbleSize val="0"/>
        </c:dLbls>
        <c:gapWidth val="50"/>
        <c:overlap val="100"/>
        <c:axId val="290161056"/>
        <c:axId val="290161840"/>
      </c:barChart>
      <c:catAx>
        <c:axId val="290161056"/>
        <c:scaling>
          <c:orientation val="minMax"/>
        </c:scaling>
        <c:delete val="0"/>
        <c:axPos val="b"/>
        <c:title>
          <c:tx>
            <c:rich>
              <a:bodyPr/>
              <a:lstStyle/>
              <a:p>
                <a:pPr>
                  <a:defRPr sz="1176" b="1" i="0" u="none" strike="noStrike" baseline="0">
                    <a:solidFill>
                      <a:srgbClr val="000000"/>
                    </a:solidFill>
                    <a:latin typeface="Arial"/>
                    <a:ea typeface="Arial"/>
                    <a:cs typeface="Arial"/>
                  </a:defRPr>
                </a:pPr>
                <a:r>
                  <a:rPr lang="en-US"/>
                  <a:t>Treatment Condition</a:t>
                </a:r>
              </a:p>
            </c:rich>
          </c:tx>
          <c:layout>
            <c:manualLayout>
              <c:xMode val="edge"/>
              <c:yMode val="edge"/>
              <c:x val="0.2941381618795626"/>
              <c:y val="0.93997055246143002"/>
            </c:manualLayout>
          </c:layout>
          <c:overlay val="0"/>
          <c:spPr>
            <a:noFill/>
            <a:ln w="24888">
              <a:noFill/>
            </a:ln>
          </c:spPr>
        </c:title>
        <c:numFmt formatCode="General" sourceLinked="1"/>
        <c:majorTickMark val="out"/>
        <c:minorTickMark val="none"/>
        <c:tickLblPos val="nextTo"/>
        <c:spPr>
          <a:ln w="3111">
            <a:solidFill>
              <a:srgbClr val="000000"/>
            </a:solidFill>
            <a:prstDash val="solid"/>
          </a:ln>
        </c:spPr>
        <c:txPr>
          <a:bodyPr rot="0" vert="horz"/>
          <a:lstStyle/>
          <a:p>
            <a:pPr>
              <a:defRPr sz="2107" b="1" i="0" u="none" strike="noStrike" baseline="0">
                <a:solidFill>
                  <a:srgbClr val="000000"/>
                </a:solidFill>
                <a:latin typeface="Arial"/>
                <a:ea typeface="Arial"/>
                <a:cs typeface="Arial"/>
              </a:defRPr>
            </a:pPr>
            <a:endParaRPr lang="en-US"/>
          </a:p>
        </c:txPr>
        <c:crossAx val="290161840"/>
        <c:crosses val="autoZero"/>
        <c:auto val="1"/>
        <c:lblAlgn val="ctr"/>
        <c:lblOffset val="100"/>
        <c:tickLblSkip val="1"/>
        <c:tickMarkSkip val="1"/>
        <c:noMultiLvlLbl val="0"/>
      </c:catAx>
      <c:valAx>
        <c:axId val="290161840"/>
        <c:scaling>
          <c:orientation val="minMax"/>
          <c:max val="100"/>
        </c:scaling>
        <c:delete val="0"/>
        <c:axPos val="l"/>
        <c:majorGridlines>
          <c:spPr>
            <a:ln w="3111">
              <a:solidFill>
                <a:srgbClr val="000000"/>
              </a:solidFill>
              <a:prstDash val="solid"/>
            </a:ln>
          </c:spPr>
        </c:majorGridlines>
        <c:title>
          <c:tx>
            <c:rich>
              <a:bodyPr/>
              <a:lstStyle/>
              <a:p>
                <a:pPr>
                  <a:defRPr sz="1176" b="0" i="0" u="none" strike="noStrike" baseline="0">
                    <a:solidFill>
                      <a:srgbClr val="000000"/>
                    </a:solidFill>
                    <a:latin typeface="Arial"/>
                    <a:ea typeface="Arial"/>
                    <a:cs typeface="Arial"/>
                  </a:defRPr>
                </a:pPr>
                <a:r>
                  <a:rPr lang="en-US"/>
                  <a:t>BDI-II Response and Remission Rates (%)</a:t>
                </a:r>
              </a:p>
            </c:rich>
          </c:tx>
          <c:layout>
            <c:manualLayout>
              <c:xMode val="edge"/>
              <c:yMode val="edge"/>
              <c:x val="1.6100183833296141E-2"/>
              <c:y val="0.18584059919339352"/>
            </c:manualLayout>
          </c:layout>
          <c:overlay val="0"/>
          <c:spPr>
            <a:noFill/>
            <a:ln w="24888">
              <a:noFill/>
            </a:ln>
          </c:spPr>
        </c:title>
        <c:numFmt formatCode="General" sourceLinked="1"/>
        <c:majorTickMark val="out"/>
        <c:minorTickMark val="none"/>
        <c:tickLblPos val="nextTo"/>
        <c:spPr>
          <a:ln w="3111">
            <a:solidFill>
              <a:srgbClr val="000000"/>
            </a:solidFill>
            <a:prstDash val="solid"/>
          </a:ln>
        </c:spPr>
        <c:txPr>
          <a:bodyPr rot="0" vert="horz"/>
          <a:lstStyle/>
          <a:p>
            <a:pPr>
              <a:defRPr sz="2107" b="1" i="0" u="none" strike="noStrike" baseline="0">
                <a:solidFill>
                  <a:srgbClr val="000000"/>
                </a:solidFill>
                <a:latin typeface="Arial"/>
                <a:ea typeface="Arial"/>
                <a:cs typeface="Arial"/>
              </a:defRPr>
            </a:pPr>
            <a:endParaRPr lang="en-US"/>
          </a:p>
        </c:txPr>
        <c:crossAx val="290161056"/>
        <c:crosses val="autoZero"/>
        <c:crossBetween val="between"/>
        <c:majorUnit val="20"/>
      </c:valAx>
      <c:spPr>
        <a:solidFill>
          <a:srgbClr val="FFFFFF"/>
        </a:solidFill>
        <a:ln w="12444">
          <a:solidFill>
            <a:srgbClr val="808080"/>
          </a:solidFill>
          <a:prstDash val="solid"/>
        </a:ln>
      </c:spPr>
    </c:plotArea>
    <c:legend>
      <c:legendPos val="r"/>
      <c:layout>
        <c:manualLayout>
          <c:xMode val="edge"/>
          <c:yMode val="edge"/>
          <c:x val="0.7269784394359613"/>
          <c:y val="0.39601766852314191"/>
          <c:w val="0.26586587607723122"/>
          <c:h val="0.17440957685167402"/>
        </c:manualLayout>
      </c:layout>
      <c:overlay val="0"/>
      <c:spPr>
        <a:solidFill>
          <a:srgbClr val="FFFFFF"/>
        </a:solidFill>
        <a:ln w="3111">
          <a:solidFill>
            <a:srgbClr val="000000"/>
          </a:solidFill>
          <a:prstDash val="solid"/>
        </a:ln>
      </c:spPr>
      <c:txPr>
        <a:bodyPr/>
        <a:lstStyle/>
        <a:p>
          <a:pPr>
            <a:defRPr sz="1328"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2107" b="1"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644877723617906"/>
          <c:y val="5.9734403343866115E-2"/>
          <c:w val="0.52271632712577598"/>
          <c:h val="0.7699115044247794"/>
        </c:manualLayout>
      </c:layout>
      <c:barChart>
        <c:barDir val="col"/>
        <c:grouping val="stacked"/>
        <c:varyColors val="0"/>
        <c:ser>
          <c:idx val="0"/>
          <c:order val="0"/>
          <c:tx>
            <c:strRef>
              <c:f>Sheet1!$A$2</c:f>
              <c:strCache>
                <c:ptCount val="1"/>
                <c:pt idx="0">
                  <c:v>Remission</c:v>
                </c:pt>
              </c:strCache>
            </c:strRef>
          </c:tx>
          <c:spPr>
            <a:solidFill>
              <a:srgbClr val="333333"/>
            </a:solidFill>
            <a:ln w="12444">
              <a:solidFill>
                <a:srgbClr val="000000"/>
              </a:solidFill>
              <a:prstDash val="solid"/>
            </a:ln>
          </c:spPr>
          <c:invertIfNegative val="0"/>
          <c:cat>
            <c:strRef>
              <c:f>Sheet1!$B$1:$D$1</c:f>
              <c:strCache>
                <c:ptCount val="3"/>
                <c:pt idx="0">
                  <c:v>BA</c:v>
                </c:pt>
                <c:pt idx="1">
                  <c:v>MBT</c:v>
                </c:pt>
                <c:pt idx="2">
                  <c:v>WLC</c:v>
                </c:pt>
              </c:strCache>
            </c:strRef>
          </c:cat>
          <c:val>
            <c:numRef>
              <c:f>Sheet1!$B$2:$D$2</c:f>
              <c:numCache>
                <c:formatCode>General</c:formatCode>
                <c:ptCount val="3"/>
                <c:pt idx="0">
                  <c:v>72</c:v>
                </c:pt>
                <c:pt idx="1">
                  <c:v>61</c:v>
                </c:pt>
                <c:pt idx="2">
                  <c:v>33</c:v>
                </c:pt>
              </c:numCache>
            </c:numRef>
          </c:val>
        </c:ser>
        <c:ser>
          <c:idx val="1"/>
          <c:order val="1"/>
          <c:tx>
            <c:strRef>
              <c:f>Sheet1!$A$3</c:f>
              <c:strCache>
                <c:ptCount val="1"/>
                <c:pt idx="0">
                  <c:v>Reponse Only</c:v>
                </c:pt>
              </c:strCache>
            </c:strRef>
          </c:tx>
          <c:spPr>
            <a:solidFill>
              <a:srgbClr val="969696"/>
            </a:solidFill>
            <a:ln w="12444">
              <a:solidFill>
                <a:srgbClr val="000000"/>
              </a:solidFill>
              <a:prstDash val="solid"/>
            </a:ln>
          </c:spPr>
          <c:invertIfNegative val="0"/>
          <c:cat>
            <c:strRef>
              <c:f>Sheet1!$B$1:$D$1</c:f>
              <c:strCache>
                <c:ptCount val="3"/>
                <c:pt idx="0">
                  <c:v>BA</c:v>
                </c:pt>
                <c:pt idx="1">
                  <c:v>MBT</c:v>
                </c:pt>
                <c:pt idx="2">
                  <c:v>WLC</c:v>
                </c:pt>
              </c:strCache>
            </c:strRef>
          </c:cat>
          <c:val>
            <c:numRef>
              <c:f>Sheet1!$B$3:$D$3</c:f>
              <c:numCache>
                <c:formatCode>General</c:formatCode>
                <c:ptCount val="3"/>
                <c:pt idx="0">
                  <c:v>7</c:v>
                </c:pt>
                <c:pt idx="1">
                  <c:v>17</c:v>
                </c:pt>
                <c:pt idx="2">
                  <c:v>0</c:v>
                </c:pt>
              </c:numCache>
            </c:numRef>
          </c:val>
        </c:ser>
        <c:dLbls>
          <c:showLegendKey val="0"/>
          <c:showVal val="0"/>
          <c:showCatName val="0"/>
          <c:showSerName val="0"/>
          <c:showPercent val="0"/>
          <c:showBubbleSize val="0"/>
        </c:dLbls>
        <c:gapWidth val="50"/>
        <c:overlap val="100"/>
        <c:axId val="312620576"/>
        <c:axId val="312620968"/>
      </c:barChart>
      <c:catAx>
        <c:axId val="312620576"/>
        <c:scaling>
          <c:orientation val="minMax"/>
        </c:scaling>
        <c:delete val="0"/>
        <c:axPos val="b"/>
        <c:title>
          <c:tx>
            <c:rich>
              <a:bodyPr/>
              <a:lstStyle/>
              <a:p>
                <a:pPr>
                  <a:defRPr sz="1176" b="1" i="0" u="none" strike="noStrike" baseline="0">
                    <a:solidFill>
                      <a:srgbClr val="000000"/>
                    </a:solidFill>
                    <a:latin typeface="Arial"/>
                    <a:ea typeface="Arial"/>
                    <a:cs typeface="Arial"/>
                  </a:defRPr>
                </a:pPr>
                <a:r>
                  <a:rPr lang="en-US"/>
                  <a:t>Treatment Condition</a:t>
                </a:r>
              </a:p>
            </c:rich>
          </c:tx>
          <c:layout>
            <c:manualLayout>
              <c:xMode val="edge"/>
              <c:yMode val="edge"/>
              <c:x val="0.2941381618795626"/>
              <c:y val="0.93997055246143002"/>
            </c:manualLayout>
          </c:layout>
          <c:overlay val="0"/>
          <c:spPr>
            <a:noFill/>
            <a:ln w="24888">
              <a:noFill/>
            </a:ln>
          </c:spPr>
        </c:title>
        <c:numFmt formatCode="General" sourceLinked="1"/>
        <c:majorTickMark val="out"/>
        <c:minorTickMark val="none"/>
        <c:tickLblPos val="nextTo"/>
        <c:spPr>
          <a:ln w="3111">
            <a:solidFill>
              <a:srgbClr val="000000"/>
            </a:solidFill>
            <a:prstDash val="solid"/>
          </a:ln>
        </c:spPr>
        <c:txPr>
          <a:bodyPr rot="0" vert="horz"/>
          <a:lstStyle/>
          <a:p>
            <a:pPr>
              <a:defRPr sz="2107" b="1" i="0" u="none" strike="noStrike" baseline="0">
                <a:solidFill>
                  <a:srgbClr val="000000"/>
                </a:solidFill>
                <a:latin typeface="Arial"/>
                <a:ea typeface="Arial"/>
                <a:cs typeface="Arial"/>
              </a:defRPr>
            </a:pPr>
            <a:endParaRPr lang="en-US"/>
          </a:p>
        </c:txPr>
        <c:crossAx val="312620968"/>
        <c:crosses val="autoZero"/>
        <c:auto val="1"/>
        <c:lblAlgn val="ctr"/>
        <c:lblOffset val="100"/>
        <c:tickLblSkip val="1"/>
        <c:tickMarkSkip val="1"/>
        <c:noMultiLvlLbl val="0"/>
      </c:catAx>
      <c:valAx>
        <c:axId val="312620968"/>
        <c:scaling>
          <c:orientation val="minMax"/>
          <c:max val="100"/>
        </c:scaling>
        <c:delete val="0"/>
        <c:axPos val="l"/>
        <c:majorGridlines>
          <c:spPr>
            <a:ln w="3111">
              <a:solidFill>
                <a:srgbClr val="000000"/>
              </a:solidFill>
              <a:prstDash val="solid"/>
            </a:ln>
          </c:spPr>
        </c:majorGridlines>
        <c:title>
          <c:tx>
            <c:rich>
              <a:bodyPr/>
              <a:lstStyle/>
              <a:p>
                <a:pPr>
                  <a:defRPr sz="1176" b="0" i="0" u="none" strike="noStrike" baseline="0">
                    <a:solidFill>
                      <a:srgbClr val="000000"/>
                    </a:solidFill>
                    <a:latin typeface="Arial"/>
                    <a:ea typeface="Arial"/>
                    <a:cs typeface="Arial"/>
                  </a:defRPr>
                </a:pPr>
                <a:r>
                  <a:rPr lang="en-US"/>
                  <a:t>HRSD Response and Remission Rates (%)</a:t>
                </a:r>
              </a:p>
            </c:rich>
          </c:tx>
          <c:layout>
            <c:manualLayout>
              <c:xMode val="edge"/>
              <c:yMode val="edge"/>
              <c:x val="1.6100183833296141E-2"/>
              <c:y val="0.18584059919339352"/>
            </c:manualLayout>
          </c:layout>
          <c:overlay val="0"/>
          <c:spPr>
            <a:noFill/>
            <a:ln w="24888">
              <a:noFill/>
            </a:ln>
          </c:spPr>
        </c:title>
        <c:numFmt formatCode="General" sourceLinked="1"/>
        <c:majorTickMark val="out"/>
        <c:minorTickMark val="none"/>
        <c:tickLblPos val="nextTo"/>
        <c:spPr>
          <a:ln w="3111">
            <a:solidFill>
              <a:srgbClr val="000000"/>
            </a:solidFill>
            <a:prstDash val="solid"/>
          </a:ln>
        </c:spPr>
        <c:txPr>
          <a:bodyPr rot="0" vert="horz"/>
          <a:lstStyle/>
          <a:p>
            <a:pPr>
              <a:defRPr sz="2107" b="1" i="0" u="none" strike="noStrike" baseline="0">
                <a:solidFill>
                  <a:srgbClr val="000000"/>
                </a:solidFill>
                <a:latin typeface="Arial"/>
                <a:ea typeface="Arial"/>
                <a:cs typeface="Arial"/>
              </a:defRPr>
            </a:pPr>
            <a:endParaRPr lang="en-US"/>
          </a:p>
        </c:txPr>
        <c:crossAx val="312620576"/>
        <c:crosses val="autoZero"/>
        <c:crossBetween val="between"/>
        <c:majorUnit val="20"/>
      </c:valAx>
      <c:spPr>
        <a:solidFill>
          <a:srgbClr val="FFFFFF"/>
        </a:solidFill>
        <a:ln w="12444">
          <a:solidFill>
            <a:srgbClr val="808080"/>
          </a:solidFill>
          <a:prstDash val="solid"/>
        </a:ln>
      </c:spPr>
    </c:plotArea>
    <c:legend>
      <c:legendPos val="r"/>
      <c:layout>
        <c:manualLayout>
          <c:xMode val="edge"/>
          <c:yMode val="edge"/>
          <c:x val="0.7269784394359613"/>
          <c:y val="0.39601766852314191"/>
          <c:w val="0.26586587607723122"/>
          <c:h val="0.17440957685167402"/>
        </c:manualLayout>
      </c:layout>
      <c:overlay val="0"/>
      <c:spPr>
        <a:solidFill>
          <a:srgbClr val="FFFFFF"/>
        </a:solidFill>
        <a:ln w="3111">
          <a:solidFill>
            <a:srgbClr val="000000"/>
          </a:solidFill>
          <a:prstDash val="solid"/>
        </a:ln>
      </c:spPr>
      <c:txPr>
        <a:bodyPr/>
        <a:lstStyle/>
        <a:p>
          <a:pPr>
            <a:defRPr sz="1328"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2107" b="1" i="0" u="none" strike="noStrike" baseline="0">
          <a:solidFill>
            <a:srgbClr val="000000"/>
          </a:solidFill>
          <a:latin typeface="Arial"/>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0.24127</cdr:x>
      <cdr:y>0.39956</cdr:y>
    </cdr:from>
    <cdr:to>
      <cdr:x>0.31111</cdr:x>
      <cdr:y>0.48518</cdr:y>
    </cdr:to>
    <cdr:sp macro="" textlink="">
      <cdr:nvSpPr>
        <cdr:cNvPr id="2" name="Text Box 1"/>
        <cdr:cNvSpPr txBox="1"/>
      </cdr:nvSpPr>
      <cdr:spPr>
        <a:xfrm xmlns:a="http://schemas.openxmlformats.org/drawingml/2006/main">
          <a:off x="1158240" y="1600200"/>
          <a:ext cx="33528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57</a:t>
          </a:r>
        </a:p>
      </cdr:txBody>
    </cdr:sp>
  </cdr:relSizeAnchor>
  <cdr:relSizeAnchor xmlns:cdr="http://schemas.openxmlformats.org/drawingml/2006/chartDrawing">
    <cdr:from>
      <cdr:x>0.24127</cdr:x>
      <cdr:y>0.2854</cdr:y>
    </cdr:from>
    <cdr:to>
      <cdr:x>0.31746</cdr:x>
      <cdr:y>0.34248</cdr:y>
    </cdr:to>
    <cdr:sp macro="" textlink="">
      <cdr:nvSpPr>
        <cdr:cNvPr id="3" name="Text Box 2"/>
        <cdr:cNvSpPr txBox="1"/>
      </cdr:nvSpPr>
      <cdr:spPr>
        <a:xfrm xmlns:a="http://schemas.openxmlformats.org/drawingml/2006/main">
          <a:off x="1158240" y="1143000"/>
          <a:ext cx="365758" cy="2286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64</a:t>
          </a:r>
        </a:p>
      </cdr:txBody>
    </cdr:sp>
  </cdr:relSizeAnchor>
  <cdr:relSizeAnchor xmlns:cdr="http://schemas.openxmlformats.org/drawingml/2006/chartDrawing">
    <cdr:from>
      <cdr:x>0.41587</cdr:x>
      <cdr:y>0.48518</cdr:y>
    </cdr:from>
    <cdr:to>
      <cdr:x>0.48889</cdr:x>
      <cdr:y>0.5708</cdr:y>
    </cdr:to>
    <cdr:sp macro="" textlink="">
      <cdr:nvSpPr>
        <cdr:cNvPr id="4" name="Text Box 3"/>
        <cdr:cNvSpPr txBox="1"/>
      </cdr:nvSpPr>
      <cdr:spPr>
        <a:xfrm xmlns:a="http://schemas.openxmlformats.org/drawingml/2006/main">
          <a:off x="1996440" y="1943100"/>
          <a:ext cx="350539" cy="34290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45</a:t>
          </a:r>
        </a:p>
      </cdr:txBody>
    </cdr:sp>
  </cdr:relSizeAnchor>
  <cdr:relSizeAnchor xmlns:cdr="http://schemas.openxmlformats.org/drawingml/2006/chartDrawing">
    <cdr:from>
      <cdr:x>0.4127</cdr:x>
      <cdr:y>0.34248</cdr:y>
    </cdr:from>
    <cdr:to>
      <cdr:x>0.48889</cdr:x>
      <cdr:y>0.4281</cdr:y>
    </cdr:to>
    <cdr:sp macro="" textlink="">
      <cdr:nvSpPr>
        <cdr:cNvPr id="5" name="Text Box 4"/>
        <cdr:cNvSpPr txBox="1"/>
      </cdr:nvSpPr>
      <cdr:spPr>
        <a:xfrm xmlns:a="http://schemas.openxmlformats.org/drawingml/2006/main">
          <a:off x="1981200" y="1371600"/>
          <a:ext cx="36576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56</a:t>
          </a:r>
        </a:p>
      </cdr:txBody>
    </cdr:sp>
  </cdr:relSizeAnchor>
  <cdr:relSizeAnchor xmlns:cdr="http://schemas.openxmlformats.org/drawingml/2006/chartDrawing">
    <cdr:from>
      <cdr:x>0.58413</cdr:x>
      <cdr:y>0.62787</cdr:y>
    </cdr:from>
    <cdr:to>
      <cdr:x>0.65715</cdr:x>
      <cdr:y>0.71349</cdr:y>
    </cdr:to>
    <cdr:sp macro="" textlink="">
      <cdr:nvSpPr>
        <cdr:cNvPr id="6" name="Text Box 5"/>
        <cdr:cNvSpPr txBox="1"/>
      </cdr:nvSpPr>
      <cdr:spPr>
        <a:xfrm xmlns:a="http://schemas.openxmlformats.org/drawingml/2006/main">
          <a:off x="2804160" y="2514600"/>
          <a:ext cx="350540" cy="3429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25</a:t>
          </a:r>
        </a:p>
      </cdr:txBody>
    </cdr:sp>
  </cdr:relSizeAnchor>
</c:userShapes>
</file>

<file path=word/drawings/drawing2.xml><?xml version="1.0" encoding="utf-8"?>
<c:userShapes xmlns:c="http://schemas.openxmlformats.org/drawingml/2006/chart">
  <cdr:relSizeAnchor xmlns:cdr="http://schemas.openxmlformats.org/drawingml/2006/chartDrawing">
    <cdr:from>
      <cdr:x>0.23492</cdr:x>
      <cdr:y>0.25686</cdr:y>
    </cdr:from>
    <cdr:to>
      <cdr:x>0.30476</cdr:x>
      <cdr:y>0.34248</cdr:y>
    </cdr:to>
    <cdr:sp macro="" textlink="">
      <cdr:nvSpPr>
        <cdr:cNvPr id="2" name="Text Box 1"/>
        <cdr:cNvSpPr txBox="1"/>
      </cdr:nvSpPr>
      <cdr:spPr>
        <a:xfrm xmlns:a="http://schemas.openxmlformats.org/drawingml/2006/main">
          <a:off x="1127760" y="1028700"/>
          <a:ext cx="335274" cy="3429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72</a:t>
          </a:r>
        </a:p>
      </cdr:txBody>
    </cdr:sp>
  </cdr:relSizeAnchor>
  <cdr:relSizeAnchor xmlns:cdr="http://schemas.openxmlformats.org/drawingml/2006/chartDrawing">
    <cdr:from>
      <cdr:x>0.2381</cdr:x>
      <cdr:y>0.17124</cdr:y>
    </cdr:from>
    <cdr:to>
      <cdr:x>0.31429</cdr:x>
      <cdr:y>0.22832</cdr:y>
    </cdr:to>
    <cdr:sp macro="" textlink="">
      <cdr:nvSpPr>
        <cdr:cNvPr id="3" name="Text Box 2"/>
        <cdr:cNvSpPr txBox="1"/>
      </cdr:nvSpPr>
      <cdr:spPr>
        <a:xfrm xmlns:a="http://schemas.openxmlformats.org/drawingml/2006/main">
          <a:off x="1143000" y="685800"/>
          <a:ext cx="365758" cy="2286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79</a:t>
          </a:r>
        </a:p>
      </cdr:txBody>
    </cdr:sp>
  </cdr:relSizeAnchor>
  <cdr:relSizeAnchor xmlns:cdr="http://schemas.openxmlformats.org/drawingml/2006/chartDrawing">
    <cdr:from>
      <cdr:x>0.40952</cdr:x>
      <cdr:y>0.34248</cdr:y>
    </cdr:from>
    <cdr:to>
      <cdr:x>0.48254</cdr:x>
      <cdr:y>0.4281</cdr:y>
    </cdr:to>
    <cdr:sp macro="" textlink="">
      <cdr:nvSpPr>
        <cdr:cNvPr id="4" name="Text Box 3"/>
        <cdr:cNvSpPr txBox="1"/>
      </cdr:nvSpPr>
      <cdr:spPr>
        <a:xfrm xmlns:a="http://schemas.openxmlformats.org/drawingml/2006/main">
          <a:off x="1965960" y="1371600"/>
          <a:ext cx="350539" cy="34290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61</a:t>
          </a:r>
        </a:p>
      </cdr:txBody>
    </cdr:sp>
  </cdr:relSizeAnchor>
  <cdr:relSizeAnchor xmlns:cdr="http://schemas.openxmlformats.org/drawingml/2006/chartDrawing">
    <cdr:from>
      <cdr:x>0.4127</cdr:x>
      <cdr:y>0.17124</cdr:y>
    </cdr:from>
    <cdr:to>
      <cdr:x>0.48889</cdr:x>
      <cdr:y>0.25686</cdr:y>
    </cdr:to>
    <cdr:sp macro="" textlink="">
      <cdr:nvSpPr>
        <cdr:cNvPr id="5" name="Text Box 4"/>
        <cdr:cNvSpPr txBox="1"/>
      </cdr:nvSpPr>
      <cdr:spPr>
        <a:xfrm xmlns:a="http://schemas.openxmlformats.org/drawingml/2006/main">
          <a:off x="1981200" y="685800"/>
          <a:ext cx="365757" cy="3429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78</a:t>
          </a:r>
        </a:p>
      </cdr:txBody>
    </cdr:sp>
  </cdr:relSizeAnchor>
  <cdr:relSizeAnchor xmlns:cdr="http://schemas.openxmlformats.org/drawingml/2006/chartDrawing">
    <cdr:from>
      <cdr:x>0.5873</cdr:x>
      <cdr:y>0.57079</cdr:y>
    </cdr:from>
    <cdr:to>
      <cdr:x>0.66032</cdr:x>
      <cdr:y>0.65641</cdr:y>
    </cdr:to>
    <cdr:sp macro="" textlink="">
      <cdr:nvSpPr>
        <cdr:cNvPr id="6" name="Text Box 5"/>
        <cdr:cNvSpPr txBox="1"/>
      </cdr:nvSpPr>
      <cdr:spPr>
        <a:xfrm xmlns:a="http://schemas.openxmlformats.org/drawingml/2006/main">
          <a:off x="2819400" y="2286000"/>
          <a:ext cx="350540" cy="3429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33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703D7-3645-4576-A0F1-5DBF2203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59</Pages>
  <Words>12915</Words>
  <Characters>73618</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A Randomized Clinical Trial to Compare Brief Behavioral Activation Treatment, Abbreviated Mindfulness-Based Stress Reduction Training, and Combined Treatments Applied to College Students with Depression</vt:lpstr>
    </vt:vector>
  </TitlesOfParts>
  <Company>Home</Company>
  <LinksUpToDate>false</LinksUpToDate>
  <CharactersWithSpaces>86361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Randomized Clinical Trial to Compare Brief Behavioral Activation Treatment, Abbreviated Mindfulness-Based Stress Reduction Training, and Combined Treatments Applied to College Students with Depression</dc:title>
  <dc:subject/>
  <dc:creator>J-tec</dc:creator>
  <cp:keywords/>
  <dc:description/>
  <cp:lastModifiedBy>Microsoft account</cp:lastModifiedBy>
  <cp:revision>28</cp:revision>
  <cp:lastPrinted>2011-09-25T16:18:00Z</cp:lastPrinted>
  <dcterms:created xsi:type="dcterms:W3CDTF">2014-05-10T20:07:00Z</dcterms:created>
  <dcterms:modified xsi:type="dcterms:W3CDTF">2014-05-20T17:38:00Z</dcterms:modified>
</cp:coreProperties>
</file>