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BF3" w14:textId="07EBB7DA" w:rsidR="007B2A1E" w:rsidRDefault="00D4549A" w:rsidP="007B2A1E">
      <w:pPr>
        <w:spacing w:line="480" w:lineRule="auto"/>
        <w:jc w:val="center"/>
        <w:rPr>
          <w:b/>
        </w:rPr>
      </w:pPr>
      <w:r>
        <w:rPr>
          <w:b/>
        </w:rPr>
        <w:t>THE PERSISTENT PATIENT AND THE SKEPTICAL PHYSICIAN:</w:t>
      </w:r>
    </w:p>
    <w:p w14:paraId="00000004" w14:textId="70A3F8C9" w:rsidR="007436C6" w:rsidRDefault="00D4549A" w:rsidP="007B2A1E">
      <w:pPr>
        <w:spacing w:line="480" w:lineRule="auto"/>
        <w:jc w:val="center"/>
        <w:rPr>
          <w:b/>
        </w:rPr>
      </w:pPr>
      <w:r>
        <w:rPr>
          <w:b/>
        </w:rPr>
        <w:t>ANALYZING THE EPISTEMIC OPPRESSION OF MINORITIES IN MEDICIN</w:t>
      </w:r>
      <w:r w:rsidR="00253E12">
        <w:rPr>
          <w:b/>
        </w:rPr>
        <w:t>E</w:t>
      </w:r>
    </w:p>
    <w:p w14:paraId="00000005" w14:textId="77777777" w:rsidR="007436C6" w:rsidRDefault="007436C6">
      <w:pPr>
        <w:spacing w:line="480" w:lineRule="auto"/>
        <w:jc w:val="center"/>
        <w:rPr>
          <w:b/>
        </w:rPr>
      </w:pPr>
    </w:p>
    <w:p w14:paraId="00000006" w14:textId="77777777" w:rsidR="007436C6" w:rsidRDefault="007436C6">
      <w:pPr>
        <w:spacing w:line="480" w:lineRule="auto"/>
        <w:jc w:val="center"/>
      </w:pPr>
    </w:p>
    <w:p w14:paraId="00000007" w14:textId="77777777" w:rsidR="007436C6" w:rsidRDefault="007436C6">
      <w:pPr>
        <w:spacing w:line="480" w:lineRule="auto"/>
      </w:pPr>
    </w:p>
    <w:p w14:paraId="00000008" w14:textId="77777777" w:rsidR="007436C6" w:rsidRDefault="007436C6">
      <w:pPr>
        <w:spacing w:line="480" w:lineRule="auto"/>
        <w:jc w:val="center"/>
      </w:pPr>
    </w:p>
    <w:p w14:paraId="0000000B" w14:textId="77777777" w:rsidR="007436C6" w:rsidRDefault="007436C6" w:rsidP="007B2A1E">
      <w:pPr>
        <w:spacing w:line="480" w:lineRule="auto"/>
      </w:pPr>
    </w:p>
    <w:p w14:paraId="0000000C" w14:textId="77777777" w:rsidR="007436C6" w:rsidRDefault="007436C6">
      <w:pPr>
        <w:spacing w:line="480" w:lineRule="auto"/>
        <w:jc w:val="center"/>
      </w:pPr>
    </w:p>
    <w:p w14:paraId="0000000D" w14:textId="77777777" w:rsidR="007436C6" w:rsidRDefault="00D4549A">
      <w:pPr>
        <w:spacing w:line="480" w:lineRule="auto"/>
        <w:jc w:val="center"/>
      </w:pPr>
      <w:r>
        <w:t>A Thesis Presented for the</w:t>
      </w:r>
    </w:p>
    <w:p w14:paraId="0000000E" w14:textId="1578A232" w:rsidR="007436C6" w:rsidRDefault="00D4549A">
      <w:pPr>
        <w:spacing w:line="480" w:lineRule="auto"/>
        <w:jc w:val="center"/>
      </w:pPr>
      <w:r>
        <w:t xml:space="preserve"> Master of </w:t>
      </w:r>
      <w:r w:rsidR="007B2A1E">
        <w:t>Arts</w:t>
      </w:r>
    </w:p>
    <w:p w14:paraId="0000000F" w14:textId="77777777" w:rsidR="007436C6" w:rsidRDefault="00D4549A">
      <w:pPr>
        <w:spacing w:line="480" w:lineRule="auto"/>
        <w:jc w:val="center"/>
      </w:pPr>
      <w:r>
        <w:t xml:space="preserve"> Degree</w:t>
      </w:r>
    </w:p>
    <w:p w14:paraId="00000010" w14:textId="77777777" w:rsidR="007436C6" w:rsidRDefault="00D4549A">
      <w:pPr>
        <w:spacing w:line="480" w:lineRule="auto"/>
        <w:jc w:val="center"/>
      </w:pPr>
      <w:r>
        <w:t>The University of Tennessee, Knoxville</w:t>
      </w:r>
    </w:p>
    <w:p w14:paraId="00000011" w14:textId="77777777" w:rsidR="007436C6" w:rsidRDefault="007436C6">
      <w:pPr>
        <w:spacing w:line="480" w:lineRule="auto"/>
        <w:jc w:val="center"/>
      </w:pPr>
    </w:p>
    <w:p w14:paraId="00000012" w14:textId="77777777" w:rsidR="007436C6" w:rsidRDefault="007436C6">
      <w:pPr>
        <w:spacing w:line="480" w:lineRule="auto"/>
        <w:jc w:val="center"/>
      </w:pPr>
    </w:p>
    <w:p w14:paraId="00000013" w14:textId="77777777" w:rsidR="007436C6" w:rsidRDefault="007436C6">
      <w:pPr>
        <w:spacing w:line="480" w:lineRule="auto"/>
        <w:jc w:val="center"/>
      </w:pPr>
    </w:p>
    <w:p w14:paraId="00000014" w14:textId="77777777" w:rsidR="007436C6" w:rsidRDefault="007436C6">
      <w:pPr>
        <w:spacing w:line="480" w:lineRule="auto"/>
        <w:jc w:val="center"/>
      </w:pPr>
    </w:p>
    <w:p w14:paraId="70D58FC3" w14:textId="77777777" w:rsidR="00C54C21" w:rsidRDefault="00C54C21">
      <w:pPr>
        <w:spacing w:line="480" w:lineRule="auto"/>
        <w:jc w:val="center"/>
      </w:pPr>
    </w:p>
    <w:p w14:paraId="1349AF7A" w14:textId="77777777" w:rsidR="00687694" w:rsidRDefault="00687694">
      <w:pPr>
        <w:spacing w:line="480" w:lineRule="auto"/>
        <w:jc w:val="center"/>
      </w:pPr>
    </w:p>
    <w:p w14:paraId="2B6B51E5" w14:textId="77777777" w:rsidR="00687694" w:rsidRDefault="00687694">
      <w:pPr>
        <w:spacing w:line="480" w:lineRule="auto"/>
        <w:jc w:val="center"/>
      </w:pPr>
    </w:p>
    <w:p w14:paraId="396381F4" w14:textId="77777777" w:rsidR="00687694" w:rsidRDefault="00687694">
      <w:pPr>
        <w:spacing w:line="480" w:lineRule="auto"/>
        <w:jc w:val="center"/>
      </w:pPr>
    </w:p>
    <w:p w14:paraId="165CE929" w14:textId="77777777" w:rsidR="00687694" w:rsidRDefault="00687694">
      <w:pPr>
        <w:spacing w:line="480" w:lineRule="auto"/>
        <w:jc w:val="center"/>
      </w:pPr>
    </w:p>
    <w:p w14:paraId="00000015" w14:textId="77777777" w:rsidR="007436C6" w:rsidRDefault="00D4549A">
      <w:pPr>
        <w:spacing w:line="480" w:lineRule="auto"/>
        <w:jc w:val="center"/>
      </w:pPr>
      <w:r>
        <w:t>Msgana Araya</w:t>
      </w:r>
    </w:p>
    <w:p w14:paraId="00000017" w14:textId="3615FA74" w:rsidR="007436C6" w:rsidRPr="00D04217" w:rsidRDefault="00D4549A" w:rsidP="00D04217">
      <w:pPr>
        <w:spacing w:line="480" w:lineRule="auto"/>
        <w:jc w:val="center"/>
        <w:sectPr w:rsidR="007436C6" w:rsidRPr="00D04217">
          <w:headerReference w:type="default" r:id="rId7"/>
          <w:footerReference w:type="default" r:id="rId8"/>
          <w:pgSz w:w="12240" w:h="15840"/>
          <w:pgMar w:top="1440" w:right="1440" w:bottom="1440" w:left="1440" w:header="720" w:footer="720" w:gutter="0"/>
          <w:pgNumType w:start="1"/>
          <w:cols w:space="720"/>
          <w:titlePg/>
        </w:sectPr>
      </w:pPr>
      <w:r>
        <w:t>August 202</w:t>
      </w:r>
      <w:r w:rsidR="00D04217">
        <w:t>5</w:t>
      </w:r>
    </w:p>
    <w:p w14:paraId="00000019" w14:textId="77777777" w:rsidR="007436C6" w:rsidRDefault="00D4549A" w:rsidP="00D04217">
      <w:pPr>
        <w:spacing w:line="480" w:lineRule="auto"/>
        <w:jc w:val="center"/>
      </w:pPr>
      <w:r>
        <w:rPr>
          <w:b/>
        </w:rPr>
        <w:lastRenderedPageBreak/>
        <w:t>ACKNOWLEDGEMENTS</w:t>
      </w:r>
    </w:p>
    <w:p w14:paraId="00000022" w14:textId="70DD5CF6" w:rsidR="007436C6" w:rsidRPr="00D04217" w:rsidRDefault="00D4549A">
      <w:pPr>
        <w:spacing w:line="480" w:lineRule="auto"/>
        <w:sectPr w:rsidR="007436C6" w:rsidRPr="00D04217">
          <w:pgSz w:w="12240" w:h="15840"/>
          <w:pgMar w:top="1440" w:right="1440" w:bottom="1440" w:left="1440" w:header="720" w:footer="720" w:gutter="0"/>
          <w:cols w:space="720"/>
        </w:sectPr>
      </w:pPr>
      <w:r>
        <w:rPr>
          <w:b/>
        </w:rPr>
        <w:tab/>
      </w:r>
      <w:r>
        <w:t xml:space="preserve">First and foremost, I would like to express my deepest gratitude to </w:t>
      </w:r>
      <w:proofErr w:type="gramStart"/>
      <w:r>
        <w:t>a number of</w:t>
      </w:r>
      <w:proofErr w:type="gramEnd"/>
      <w:r>
        <w:t xml:space="preserve"> individuals whose guidance, encouragement, and support </w:t>
      </w:r>
      <w:proofErr w:type="gramStart"/>
      <w:r>
        <w:t>has</w:t>
      </w:r>
      <w:proofErr w:type="gramEnd"/>
      <w:r>
        <w:t xml:space="preserve"> been essential in the completion of this thesis. I want to thank my thesis supervisor, Dr. Nora Berenstain, for her amazing insight, patience, and expertise throughout the development of this thesis. I would also like to thank Dr. Kristina Gehrman, for being not only an enthusiastic member of my committee but also a mentor throughout my graduate studies, and Dr. Judith Carlisle, for her thoughtful and instructive feedback in this process. Additionally, I would like to thank Dr. Laura Cupples and Dr. Annette Mendola for formally and informally introducing me to Bioethics and sparking a passion that I believe I will carry as a future physician. I cannot state enough my appreciation for all of you, your belief in this project, and in me. Lastly, I am indebted to my family and friends for constantly uplifting me and carrying me through this journey.    </w:t>
      </w:r>
    </w:p>
    <w:p w14:paraId="00000024" w14:textId="77777777" w:rsidR="007436C6" w:rsidRDefault="00D4549A" w:rsidP="00D04217">
      <w:pPr>
        <w:spacing w:line="480" w:lineRule="auto"/>
        <w:jc w:val="center"/>
        <w:rPr>
          <w:b/>
        </w:rPr>
      </w:pPr>
      <w:r>
        <w:rPr>
          <w:b/>
        </w:rPr>
        <w:lastRenderedPageBreak/>
        <w:t>ABSTRACT</w:t>
      </w:r>
    </w:p>
    <w:p w14:paraId="00000025" w14:textId="77777777" w:rsidR="007436C6" w:rsidRDefault="00D4549A">
      <w:pPr>
        <w:spacing w:after="160" w:line="480" w:lineRule="auto"/>
        <w:ind w:firstLine="720"/>
      </w:pPr>
      <w:r>
        <w:t xml:space="preserve">This project explores the ethical implications of epistemic oppression in medicine, arguing that the underrepresentation of racial and ethnic minorities, such as East Africans, is not an isolated oversight but part of a broader system of interconnected injustices. In my discussions, I show how patient </w:t>
      </w:r>
      <w:proofErr w:type="gramStart"/>
      <w:r>
        <w:t>mistrust</w:t>
      </w:r>
      <w:proofErr w:type="gramEnd"/>
      <w:r>
        <w:t xml:space="preserve"> and the dismissal of patient testimony reflect deeper failures to recognize the relational and structural nature of health, knowledge, and care.</w:t>
      </w:r>
    </w:p>
    <w:p w14:paraId="00000026" w14:textId="77777777" w:rsidR="007436C6" w:rsidRDefault="007436C6">
      <w:pPr>
        <w:spacing w:after="160" w:line="480" w:lineRule="auto"/>
        <w:ind w:firstLine="720"/>
      </w:pPr>
    </w:p>
    <w:p w14:paraId="00000027" w14:textId="77777777" w:rsidR="007436C6" w:rsidRDefault="007436C6">
      <w:pPr>
        <w:spacing w:after="160" w:line="480" w:lineRule="auto"/>
        <w:ind w:firstLine="720"/>
      </w:pPr>
    </w:p>
    <w:p w14:paraId="00000028" w14:textId="77777777" w:rsidR="007436C6" w:rsidRDefault="007436C6">
      <w:pPr>
        <w:spacing w:after="160" w:line="480" w:lineRule="auto"/>
        <w:ind w:firstLine="720"/>
      </w:pPr>
    </w:p>
    <w:p w14:paraId="00000029" w14:textId="77777777" w:rsidR="007436C6" w:rsidRDefault="007436C6">
      <w:pPr>
        <w:spacing w:after="160" w:line="480" w:lineRule="auto"/>
        <w:ind w:firstLine="720"/>
      </w:pPr>
    </w:p>
    <w:p w14:paraId="0000002A" w14:textId="77777777" w:rsidR="007436C6" w:rsidRDefault="007436C6">
      <w:pPr>
        <w:spacing w:after="160" w:line="480" w:lineRule="auto"/>
        <w:ind w:firstLine="720"/>
      </w:pPr>
    </w:p>
    <w:p w14:paraId="0000002B" w14:textId="77777777" w:rsidR="007436C6" w:rsidRDefault="007436C6">
      <w:pPr>
        <w:spacing w:after="160" w:line="480" w:lineRule="auto"/>
        <w:ind w:firstLine="720"/>
      </w:pPr>
    </w:p>
    <w:p w14:paraId="0000002C" w14:textId="77777777" w:rsidR="007436C6" w:rsidRDefault="007436C6">
      <w:pPr>
        <w:spacing w:after="160" w:line="480" w:lineRule="auto"/>
      </w:pPr>
    </w:p>
    <w:p w14:paraId="0000002D" w14:textId="77777777" w:rsidR="007436C6" w:rsidRDefault="007436C6">
      <w:pPr>
        <w:spacing w:after="160" w:line="480" w:lineRule="auto"/>
        <w:ind w:firstLine="720"/>
      </w:pPr>
    </w:p>
    <w:p w14:paraId="0000002E" w14:textId="77777777" w:rsidR="007436C6" w:rsidRDefault="007436C6">
      <w:pPr>
        <w:spacing w:after="160" w:line="480" w:lineRule="auto"/>
        <w:ind w:firstLine="720"/>
      </w:pPr>
    </w:p>
    <w:p w14:paraId="0000002F" w14:textId="77777777" w:rsidR="007436C6" w:rsidRDefault="007436C6">
      <w:pPr>
        <w:spacing w:after="160" w:line="480" w:lineRule="auto"/>
        <w:ind w:firstLine="720"/>
      </w:pPr>
    </w:p>
    <w:p w14:paraId="00000030" w14:textId="77777777" w:rsidR="007436C6" w:rsidRDefault="007436C6">
      <w:pPr>
        <w:spacing w:after="160" w:line="480" w:lineRule="auto"/>
        <w:ind w:firstLine="720"/>
      </w:pPr>
    </w:p>
    <w:p w14:paraId="00000031" w14:textId="77777777" w:rsidR="007436C6" w:rsidRDefault="007436C6">
      <w:pPr>
        <w:spacing w:after="160" w:line="480" w:lineRule="auto"/>
      </w:pPr>
    </w:p>
    <w:p w14:paraId="3B2CFA36" w14:textId="16E33631" w:rsidR="007436C6" w:rsidRDefault="00D04217" w:rsidP="00C831E7">
      <w:r>
        <w:br w:type="page"/>
      </w:r>
    </w:p>
    <w:p w14:paraId="00000034" w14:textId="13F285ED" w:rsidR="007436C6" w:rsidRPr="00D04217" w:rsidRDefault="00D4549A" w:rsidP="00D04217">
      <w:pPr>
        <w:spacing w:line="480" w:lineRule="auto"/>
        <w:jc w:val="center"/>
        <w:rPr>
          <w:b/>
        </w:rPr>
      </w:pPr>
      <w:r>
        <w:rPr>
          <w:b/>
        </w:rPr>
        <w:lastRenderedPageBreak/>
        <w:t>TABLE OF CONTENTS</w:t>
      </w:r>
    </w:p>
    <w:p w14:paraId="00000035" w14:textId="77777777" w:rsidR="007436C6" w:rsidRDefault="00D4549A">
      <w:pPr>
        <w:widowControl w:val="0"/>
        <w:tabs>
          <w:tab w:val="right" w:leader="dot" w:pos="12000"/>
        </w:tabs>
        <w:spacing w:before="60" w:line="480" w:lineRule="auto"/>
      </w:pPr>
      <w:r>
        <w:rPr>
          <w:b/>
        </w:rPr>
        <w:t>SECTION 1.1</w:t>
      </w:r>
      <w:hyperlink w:anchor="_ti3gdopww1vi">
        <w:r w:rsidR="007436C6">
          <w:rPr>
            <w:b/>
          </w:rPr>
          <w:t xml:space="preserve"> INTRODUCTION</w:t>
        </w:r>
      </w:hyperlink>
      <w:hyperlink w:anchor="_ti3gdopww1vi">
        <w:r w:rsidR="007436C6">
          <w:tab/>
        </w:r>
      </w:hyperlink>
      <w:r>
        <w:t>1</w:t>
      </w:r>
    </w:p>
    <w:p w14:paraId="00000036" w14:textId="77777777" w:rsidR="007436C6" w:rsidRDefault="00D4549A">
      <w:pPr>
        <w:widowControl w:val="0"/>
        <w:tabs>
          <w:tab w:val="right" w:leader="dot" w:pos="12000"/>
        </w:tabs>
        <w:spacing w:before="60" w:line="480" w:lineRule="auto"/>
      </w:pPr>
      <w:r>
        <w:t>Subsection 1.2 Epistemic Oppression in Healthcare</w:t>
      </w:r>
      <w:r>
        <w:tab/>
        <w:t>3</w:t>
      </w:r>
    </w:p>
    <w:p w14:paraId="00000037" w14:textId="5D8C3546" w:rsidR="007436C6" w:rsidRDefault="00D4549A">
      <w:pPr>
        <w:widowControl w:val="0"/>
        <w:tabs>
          <w:tab w:val="right" w:leader="dot" w:pos="12000"/>
        </w:tabs>
        <w:spacing w:before="60" w:line="480" w:lineRule="auto"/>
      </w:pPr>
      <w:r>
        <w:t>Subsection 1.3 The Silence Around East African Health</w:t>
      </w:r>
      <w:r>
        <w:tab/>
        <w:t>1</w:t>
      </w:r>
      <w:r w:rsidR="001A6F50">
        <w:t>1</w:t>
      </w:r>
    </w:p>
    <w:p w14:paraId="00000038" w14:textId="66E49AD0" w:rsidR="007436C6" w:rsidRDefault="00D4549A">
      <w:pPr>
        <w:widowControl w:val="0"/>
        <w:tabs>
          <w:tab w:val="right" w:leader="dot" w:pos="12000"/>
        </w:tabs>
        <w:spacing w:before="60" w:line="480" w:lineRule="auto"/>
      </w:pPr>
      <w:r>
        <w:t>Subsection 1.4 Testimony vs. Evidence</w:t>
      </w:r>
      <w:r>
        <w:tab/>
        <w:t>1</w:t>
      </w:r>
      <w:r w:rsidR="001A6F50">
        <w:t>5</w:t>
      </w:r>
    </w:p>
    <w:p w14:paraId="00000039" w14:textId="2824FD66" w:rsidR="007436C6" w:rsidRDefault="00D4549A">
      <w:pPr>
        <w:widowControl w:val="0"/>
        <w:tabs>
          <w:tab w:val="right" w:leader="dot" w:pos="12000"/>
        </w:tabs>
        <w:spacing w:before="60" w:line="480" w:lineRule="auto"/>
      </w:pPr>
      <w:r>
        <w:rPr>
          <w:b/>
        </w:rPr>
        <w:t>SECTION 2.1 THE HEALTH COSTS OF MEDICAL DISBELIEF</w:t>
      </w:r>
      <w:hyperlink w:anchor="_ti3gdopww1vi">
        <w:r w:rsidR="007436C6">
          <w:tab/>
        </w:r>
      </w:hyperlink>
      <w:r>
        <w:t>1</w:t>
      </w:r>
      <w:r w:rsidR="00687694">
        <w:t>9</w:t>
      </w:r>
    </w:p>
    <w:p w14:paraId="0000003A" w14:textId="0ECBC215" w:rsidR="007436C6" w:rsidRDefault="00D4549A">
      <w:pPr>
        <w:widowControl w:val="0"/>
        <w:tabs>
          <w:tab w:val="right" w:leader="dot" w:pos="12000"/>
        </w:tabs>
        <w:spacing w:before="60" w:line="480" w:lineRule="auto"/>
      </w:pPr>
      <w:r>
        <w:rPr>
          <w:b/>
        </w:rPr>
        <w:t>SECTION</w:t>
      </w:r>
      <w:hyperlink w:anchor="_ti3gdopww1vi">
        <w:r w:rsidR="007436C6">
          <w:rPr>
            <w:b/>
          </w:rPr>
          <w:t xml:space="preserve"> 3.1 RACE: FROM GENETIC PROXY TO SOCIAL STRUCTURE</w:t>
        </w:r>
      </w:hyperlink>
      <w:hyperlink w:anchor="_ti3gdopww1vi">
        <w:r w:rsidR="007436C6">
          <w:t xml:space="preserve"> </w:t>
        </w:r>
        <w:r w:rsidR="007436C6">
          <w:tab/>
        </w:r>
      </w:hyperlink>
      <w:r w:rsidR="00687694">
        <w:t>31</w:t>
      </w:r>
    </w:p>
    <w:p w14:paraId="0000003B" w14:textId="5064C3E8" w:rsidR="007436C6" w:rsidRDefault="00D4549A">
      <w:pPr>
        <w:widowControl w:val="0"/>
        <w:tabs>
          <w:tab w:val="right" w:leader="dot" w:pos="12000"/>
        </w:tabs>
        <w:spacing w:before="60" w:line="480" w:lineRule="auto"/>
      </w:pPr>
      <w:r>
        <w:rPr>
          <w:b/>
        </w:rPr>
        <w:t>SECTION 4.1 CONCLUSION</w:t>
      </w:r>
      <w:r>
        <w:t xml:space="preserve"> </w:t>
      </w:r>
      <w:hyperlink w:anchor="_ti3gdopww1vi">
        <w:r w:rsidR="007436C6">
          <w:tab/>
        </w:r>
      </w:hyperlink>
      <w:r>
        <w:t>3</w:t>
      </w:r>
      <w:r w:rsidR="00687694">
        <w:t>8</w:t>
      </w:r>
    </w:p>
    <w:p w14:paraId="0000003C" w14:textId="56D2B9A3" w:rsidR="007436C6" w:rsidRDefault="00D4549A">
      <w:pPr>
        <w:widowControl w:val="0"/>
        <w:tabs>
          <w:tab w:val="right" w:leader="dot" w:pos="12000"/>
        </w:tabs>
        <w:spacing w:before="60" w:line="480" w:lineRule="auto"/>
      </w:pPr>
      <w:r>
        <w:rPr>
          <w:b/>
        </w:rPr>
        <w:t>LIST OF REFERENCES</w:t>
      </w:r>
      <w:r>
        <w:t xml:space="preserve"> </w:t>
      </w:r>
      <w:hyperlink w:anchor="_ti3gdopww1vi">
        <w:r w:rsidR="007436C6">
          <w:tab/>
        </w:r>
      </w:hyperlink>
      <w:r w:rsidR="00687694">
        <w:t>40</w:t>
      </w:r>
    </w:p>
    <w:p w14:paraId="0000003D" w14:textId="4B05EF7E" w:rsidR="007436C6" w:rsidRDefault="00D4549A">
      <w:pPr>
        <w:widowControl w:val="0"/>
        <w:tabs>
          <w:tab w:val="right" w:leader="dot" w:pos="12000"/>
        </w:tabs>
        <w:spacing w:before="60" w:line="480" w:lineRule="auto"/>
      </w:pPr>
      <w:r>
        <w:rPr>
          <w:b/>
        </w:rPr>
        <w:t>VITA</w:t>
      </w:r>
      <w:r>
        <w:t xml:space="preserve"> </w:t>
      </w:r>
      <w:hyperlink w:anchor="_ti3gdopww1vi">
        <w:r w:rsidR="007436C6">
          <w:tab/>
        </w:r>
      </w:hyperlink>
      <w:r>
        <w:t>4</w:t>
      </w:r>
      <w:r w:rsidR="00687694">
        <w:t>7</w:t>
      </w:r>
    </w:p>
    <w:p w14:paraId="0000003E" w14:textId="77777777" w:rsidR="007436C6" w:rsidRDefault="007436C6">
      <w:pPr>
        <w:widowControl w:val="0"/>
        <w:tabs>
          <w:tab w:val="right" w:leader="dot" w:pos="12000"/>
        </w:tabs>
        <w:spacing w:before="60" w:line="480" w:lineRule="auto"/>
        <w:rPr>
          <w:highlight w:val="yellow"/>
        </w:rPr>
      </w:pPr>
    </w:p>
    <w:p w14:paraId="0000003F" w14:textId="77777777" w:rsidR="007436C6" w:rsidRDefault="007436C6">
      <w:pPr>
        <w:spacing w:line="480" w:lineRule="auto"/>
        <w:jc w:val="center"/>
        <w:rPr>
          <w:b/>
        </w:rPr>
      </w:pPr>
    </w:p>
    <w:p w14:paraId="00000040" w14:textId="77777777" w:rsidR="007436C6" w:rsidRDefault="007436C6">
      <w:pPr>
        <w:spacing w:line="480" w:lineRule="auto"/>
        <w:jc w:val="center"/>
        <w:rPr>
          <w:b/>
        </w:rPr>
      </w:pPr>
    </w:p>
    <w:p w14:paraId="00000041" w14:textId="77777777" w:rsidR="007436C6" w:rsidRDefault="007436C6">
      <w:pPr>
        <w:spacing w:line="480" w:lineRule="auto"/>
        <w:jc w:val="center"/>
        <w:rPr>
          <w:b/>
        </w:rPr>
      </w:pPr>
    </w:p>
    <w:p w14:paraId="00000042" w14:textId="77777777" w:rsidR="007436C6" w:rsidRDefault="007436C6">
      <w:pPr>
        <w:spacing w:line="480" w:lineRule="auto"/>
        <w:jc w:val="center"/>
        <w:rPr>
          <w:b/>
        </w:rPr>
      </w:pPr>
    </w:p>
    <w:p w14:paraId="00000043" w14:textId="77777777" w:rsidR="007436C6" w:rsidRDefault="007436C6">
      <w:pPr>
        <w:spacing w:line="480" w:lineRule="auto"/>
        <w:jc w:val="center"/>
        <w:rPr>
          <w:b/>
        </w:rPr>
      </w:pPr>
    </w:p>
    <w:p w14:paraId="00000044" w14:textId="77777777" w:rsidR="007436C6" w:rsidRDefault="007436C6">
      <w:pPr>
        <w:spacing w:line="480" w:lineRule="auto"/>
        <w:jc w:val="center"/>
        <w:rPr>
          <w:b/>
        </w:rPr>
      </w:pPr>
    </w:p>
    <w:p w14:paraId="00000045" w14:textId="77777777" w:rsidR="007436C6" w:rsidRDefault="007436C6">
      <w:pPr>
        <w:spacing w:line="480" w:lineRule="auto"/>
        <w:jc w:val="center"/>
        <w:rPr>
          <w:b/>
        </w:rPr>
      </w:pPr>
    </w:p>
    <w:p w14:paraId="00000046" w14:textId="77777777" w:rsidR="007436C6" w:rsidRDefault="007436C6">
      <w:pPr>
        <w:spacing w:line="480" w:lineRule="auto"/>
        <w:jc w:val="center"/>
        <w:rPr>
          <w:b/>
        </w:rPr>
      </w:pPr>
    </w:p>
    <w:p w14:paraId="00000047" w14:textId="42FE33FC" w:rsidR="00C831E7" w:rsidRDefault="00C831E7">
      <w:pPr>
        <w:rPr>
          <w:b/>
        </w:rPr>
      </w:pPr>
      <w:r>
        <w:rPr>
          <w:b/>
        </w:rPr>
        <w:br w:type="page"/>
      </w:r>
    </w:p>
    <w:p w14:paraId="00000048" w14:textId="77777777" w:rsidR="007436C6" w:rsidRDefault="007436C6">
      <w:pPr>
        <w:spacing w:line="480" w:lineRule="auto"/>
        <w:rPr>
          <w:b/>
          <w:highlight w:val="yellow"/>
        </w:rPr>
        <w:sectPr w:rsidR="007436C6">
          <w:footerReference w:type="default" r:id="rId9"/>
          <w:footerReference w:type="first" r:id="rId10"/>
          <w:pgSz w:w="12240" w:h="15840"/>
          <w:pgMar w:top="1440" w:right="1440" w:bottom="1440" w:left="1440" w:header="720" w:footer="720" w:gutter="0"/>
          <w:cols w:space="720"/>
          <w:titlePg/>
        </w:sectPr>
      </w:pPr>
    </w:p>
    <w:p w14:paraId="00000049" w14:textId="3DB1311E" w:rsidR="007436C6" w:rsidRPr="00C831E7" w:rsidRDefault="00C831E7">
      <w:pPr>
        <w:spacing w:line="480" w:lineRule="auto"/>
        <w:jc w:val="center"/>
        <w:rPr>
          <w:b/>
        </w:rPr>
      </w:pPr>
      <w:r w:rsidRPr="00C831E7">
        <w:rPr>
          <w:b/>
          <w:bCs/>
          <w:color w:val="000000"/>
        </w:rPr>
        <w:lastRenderedPageBreak/>
        <w:t xml:space="preserve">SECTION </w:t>
      </w:r>
      <w:r w:rsidRPr="00C831E7">
        <w:rPr>
          <w:b/>
        </w:rPr>
        <w:t xml:space="preserve">1.1 INTRODUCTION </w:t>
      </w:r>
    </w:p>
    <w:p w14:paraId="0000004A" w14:textId="0E93C578" w:rsidR="007436C6" w:rsidRDefault="00D4549A">
      <w:pPr>
        <w:spacing w:line="480" w:lineRule="auto"/>
        <w:ind w:firstLine="720"/>
      </w:pPr>
      <w:r>
        <w:t xml:space="preserve">Over the last decade, studies have begun to recognize the prevalence of epistemic oppression in medicine that has further exacerbated racial health disparities (Baciu et al., 2017). </w:t>
      </w:r>
      <w:r w:rsidR="00626E6B">
        <w:t>Epistemic oppression has been characterized as an intentional, predictable, and destructive means by which entire populations have been excluded from contributing to or partaking in shared knowledge (</w:t>
      </w:r>
      <w:r w:rsidR="00626E6B" w:rsidRPr="00171C07">
        <w:rPr>
          <w:iCs/>
        </w:rPr>
        <w:t>Berenstain</w:t>
      </w:r>
      <w:r w:rsidR="00626E6B">
        <w:rPr>
          <w:i/>
        </w:rPr>
        <w:t>,</w:t>
      </w:r>
      <w:r w:rsidR="00626E6B">
        <w:t xml:space="preserve"> 2025; </w:t>
      </w:r>
      <w:r w:rsidR="00626E6B">
        <w:rPr>
          <w:highlight w:val="white"/>
        </w:rPr>
        <w:t>Berenstain et al</w:t>
      </w:r>
      <w:r w:rsidR="00DD2A81">
        <w:rPr>
          <w:highlight w:val="white"/>
        </w:rPr>
        <w:t>.</w:t>
      </w:r>
      <w:r w:rsidR="00626E6B">
        <w:rPr>
          <w:highlight w:val="white"/>
        </w:rPr>
        <w:t>, 2021).</w:t>
      </w:r>
      <w:r w:rsidR="00BA5AFA">
        <w:t xml:space="preserve"> </w:t>
      </w:r>
      <w:r>
        <w:t xml:space="preserve">East Africans, among other racial and ethnic minorities, are notably underrepresented in clinical research studies that are then generalized to entire populations. In addition to the United States’ troubling history of silent and overt abuses of such marginalized groups, this underrepresentation of racial and ethnic minorities in research further conveys the impression that the healthcare system is not adapted or attentive to their needs. Here I will examine case studies that capture the resultant mistrust between minority patients and their physicians and the medical skepticism that characterizes these interactions. My view is that the incongruity between patient and doctor stems from epistemic oppression characteristic of </w:t>
      </w:r>
      <w:proofErr w:type="spellStart"/>
      <w:r>
        <w:t>unreflexive</w:t>
      </w:r>
      <w:proofErr w:type="spellEnd"/>
      <w:r>
        <w:t xml:space="preserve"> </w:t>
      </w:r>
      <w:r w:rsidR="00184A9B">
        <w:t xml:space="preserve">epistemological </w:t>
      </w:r>
      <w:r>
        <w:t xml:space="preserve">systems–something that race-based medicine cannot remediate. I believe this because by attributing health disparities to biological race rather than historical and contextual factors, race-based medicine reinforces harmful, “common-sense” assumptions with detrimental ethical consequences. </w:t>
      </w:r>
    </w:p>
    <w:p w14:paraId="0000004B" w14:textId="560B3654" w:rsidR="007436C6" w:rsidRDefault="00D4549A">
      <w:pPr>
        <w:spacing w:line="480" w:lineRule="auto"/>
        <w:ind w:firstLine="720"/>
      </w:pPr>
      <w:r>
        <w:t xml:space="preserve">The first section begins by acknowledging the nature of colonial systems in their manipulation of the dominating interests and ideologies that determine whose voices are heard and whose realities are invalidated. The selective structuring of knowledge, what Kristie Dotson </w:t>
      </w:r>
      <w:r w:rsidR="0002155C">
        <w:t xml:space="preserve">(2014) </w:t>
      </w:r>
      <w:r>
        <w:t xml:space="preserve">and others have identified as epistemic oppression, excludes marginalized communities from full epistemic participation and recognition. Their exclusion is not accidental but systematic as alternate knowledge systems are dismissed in accordance with epistemic hierarchies that </w:t>
      </w:r>
      <w:r>
        <w:lastRenderedPageBreak/>
        <w:t>privilege whiteness, Western science, and settler colonial governance values. Within healthcare, we see the persistent disregard for the lived experiences of East African immigrants, a lack of representation in studies with potential to legitimize their realities, and the incessant positive feedback loop of settler colonial logic in ensuring their maintenance of power (Berenstain, 2025).</w:t>
      </w:r>
    </w:p>
    <w:p w14:paraId="0000004C" w14:textId="39F568E4" w:rsidR="007436C6" w:rsidRDefault="00D4549A">
      <w:pPr>
        <w:spacing w:line="480" w:lineRule="auto"/>
        <w:ind w:firstLine="720"/>
      </w:pPr>
      <w:r>
        <w:t xml:space="preserve">In section two, I draw a connection between the profitable and enduring system of settler colonialism and the “modern-day” phenomena of gaslighting experienced by marginalized communities. This experience is deep-rooted, extending far beyond the interpersonal interactions within a patient room but embedded in the very structure of our healthcare system. In discussing medical, cultural, and structural gaslighting, I will highlight the tactical narration of oppressed populations' interpretations of their own abuses </w:t>
      </w:r>
      <w:r w:rsidR="00184A9B">
        <w:t>using the framework</w:t>
      </w:r>
      <w:r>
        <w:t xml:space="preserve"> of “</w:t>
      </w:r>
      <w:proofErr w:type="spellStart"/>
      <w:r>
        <w:t>racecraft</w:t>
      </w:r>
      <w:proofErr w:type="spellEnd"/>
      <w:r>
        <w:t xml:space="preserve">” (Fields </w:t>
      </w:r>
      <w:r w:rsidR="00C143E7">
        <w:t>&amp;</w:t>
      </w:r>
      <w:r>
        <w:t xml:space="preserve"> Fields, 2</w:t>
      </w:r>
      <w:r w:rsidR="00C143E7">
        <w:t>014</w:t>
      </w:r>
      <w:r>
        <w:t>). Further exacerbating this violence is the lack of physician diversity and the underrepresentation of minorities– essential factors in the risk of complete distancing from a system that has failed them with little directive to restore trust. Here we will introduce the proposition of race-based medicine in redeeming these faults.</w:t>
      </w:r>
    </w:p>
    <w:p w14:paraId="0000004F" w14:textId="07301507" w:rsidR="007436C6" w:rsidRPr="00BA5AFA" w:rsidRDefault="00D4549A" w:rsidP="00BA5AFA">
      <w:pPr>
        <w:spacing w:line="480" w:lineRule="auto"/>
        <w:ind w:firstLine="720"/>
        <w:rPr>
          <w:highlight w:val="yellow"/>
        </w:rPr>
      </w:pPr>
      <w:r>
        <w:t xml:space="preserve">Section three details the implications of race-based medicine as a method of deflection </w:t>
      </w:r>
      <w:r w:rsidR="00184A9B">
        <w:t xml:space="preserve">by attempting to </w:t>
      </w:r>
      <w:r>
        <w:t xml:space="preserve">establish an objective reality of racial differences responsible for health inequities apart from the structures that nurture them. As I emphasize its inability to effectively respond to the incongruity between minority patients and physicians, I posit </w:t>
      </w:r>
      <w:r w:rsidR="007F1847">
        <w:t>a few</w:t>
      </w:r>
      <w:r>
        <w:t xml:space="preserve"> features I believe a solution should have. Though this solution will not be perfectly delineated, it will center on “structural competence” as an advancement from cultural competence and the imperative of reflexivity as a refining process to dismantle the colonial structures of knowledge that have </w:t>
      </w:r>
      <w:r>
        <w:lastRenderedPageBreak/>
        <w:t xml:space="preserve">severed minorities from understandings of their own bodies, problem-solving capacities, and realities (Metzl &amp; Hansen, 2014).                       </w:t>
      </w:r>
    </w:p>
    <w:p w14:paraId="00000050" w14:textId="577CDF0D" w:rsidR="007436C6" w:rsidRDefault="00D4549A">
      <w:pPr>
        <w:spacing w:line="480" w:lineRule="auto"/>
        <w:ind w:firstLine="720"/>
        <w:rPr>
          <w:b/>
          <w:i/>
        </w:rPr>
      </w:pPr>
      <w:r>
        <w:rPr>
          <w:b/>
          <w:i/>
        </w:rPr>
        <w:t xml:space="preserve">1.2 Epistemic </w:t>
      </w:r>
      <w:r w:rsidR="00992D40">
        <w:rPr>
          <w:b/>
          <w:i/>
        </w:rPr>
        <w:t xml:space="preserve">Oppression </w:t>
      </w:r>
      <w:r>
        <w:rPr>
          <w:b/>
          <w:i/>
        </w:rPr>
        <w:t>in Healthcare</w:t>
      </w:r>
    </w:p>
    <w:p w14:paraId="00000051" w14:textId="7A4F77A9" w:rsidR="007436C6" w:rsidRDefault="00D4549A">
      <w:pPr>
        <w:spacing w:line="480" w:lineRule="auto"/>
        <w:ind w:firstLine="720"/>
        <w:rPr>
          <w:highlight w:val="white"/>
        </w:rPr>
      </w:pPr>
      <w:r>
        <w:t>The far-reaching repercussions of epistemic oppression are grounded in the construction of knowledge as a site of power differentials.</w:t>
      </w:r>
      <w:r w:rsidR="00BD49DC">
        <w:t xml:space="preserve"> </w:t>
      </w:r>
      <w:r w:rsidR="007F1847">
        <w:t>The</w:t>
      </w:r>
      <w:r w:rsidR="00BD49DC">
        <w:t xml:space="preserve"> hierarchy of “knowing subjects” </w:t>
      </w:r>
      <w:r w:rsidR="007F1847">
        <w:t>has</w:t>
      </w:r>
      <w:r w:rsidR="00BD49DC">
        <w:t xml:space="preserve"> conveniently </w:t>
      </w:r>
      <w:r w:rsidR="007F1847">
        <w:t xml:space="preserve">been </w:t>
      </w:r>
      <w:r w:rsidR="00BD49DC">
        <w:t>established around male, white, westernized spheres while those outside of these criteria have had to fight for such recognition</w:t>
      </w:r>
      <w:r w:rsidR="003D60E7">
        <w:t xml:space="preserve">. </w:t>
      </w:r>
      <w:r w:rsidR="00BD49DC">
        <w:t xml:space="preserve">Often, </w:t>
      </w:r>
      <w:r w:rsidR="007F1847">
        <w:t xml:space="preserve">entire populations are </w:t>
      </w:r>
      <w:r>
        <w:t xml:space="preserve">decentered from their own knowledge and </w:t>
      </w:r>
      <w:r w:rsidR="007F1847">
        <w:t xml:space="preserve">are forced to witness </w:t>
      </w:r>
      <w:r>
        <w:t>its distortion through dominant epistemological frameworks (</w:t>
      </w:r>
      <w:r>
        <w:rPr>
          <w:highlight w:val="white"/>
        </w:rPr>
        <w:t>Berenstain et al</w:t>
      </w:r>
      <w:r w:rsidR="00DD2A81">
        <w:rPr>
          <w:highlight w:val="white"/>
        </w:rPr>
        <w:t>.</w:t>
      </w:r>
      <w:r>
        <w:rPr>
          <w:highlight w:val="white"/>
        </w:rPr>
        <w:t xml:space="preserve">, 2021, p. </w:t>
      </w:r>
      <w:r>
        <w:t xml:space="preserve">298). The consequential structural harms have been carefully portrayed as unavoidable, even “tragic” byproducts of </w:t>
      </w:r>
      <w:r w:rsidR="0004486E">
        <w:t>progress;</w:t>
      </w:r>
      <w:r>
        <w:t xml:space="preserve"> however, it is by design that these violent grievances occur (Berenstain et al., 2022).</w:t>
      </w:r>
      <w:r>
        <w:rPr>
          <w:highlight w:val="white"/>
        </w:rPr>
        <w:t xml:space="preserve"> </w:t>
      </w:r>
      <w:r>
        <w:t xml:space="preserve">As emphasized by Kristie Dotson, epistemic oppression has not come out of </w:t>
      </w:r>
      <w:r w:rsidR="0004486E">
        <w:t>nothing but</w:t>
      </w:r>
      <w:r>
        <w:t xml:space="preserve"> has been nurtured by </w:t>
      </w:r>
      <w:r w:rsidR="009C17B5">
        <w:t>several</w:t>
      </w:r>
      <w:r>
        <w:t xml:space="preserve"> “social, political, institutional and, indeed, cultural arrangements</w:t>
      </w:r>
      <w:r w:rsidR="00032B5F">
        <w:t>,</w:t>
      </w:r>
      <w:r>
        <w:t>” one of them being colonization (</w:t>
      </w:r>
      <w:r w:rsidR="0002155C">
        <w:t xml:space="preserve">Dotson, 2018; </w:t>
      </w:r>
      <w:r w:rsidR="005F490E" w:rsidRPr="009C17B5">
        <w:rPr>
          <w:iCs/>
        </w:rPr>
        <w:t>Berenstain</w:t>
      </w:r>
      <w:r>
        <w:rPr>
          <w:i/>
        </w:rPr>
        <w:t xml:space="preserve">, </w:t>
      </w:r>
      <w:r>
        <w:t>2025).</w:t>
      </w:r>
    </w:p>
    <w:p w14:paraId="00000052" w14:textId="3035B25A" w:rsidR="007436C6" w:rsidRDefault="00D4549A">
      <w:pPr>
        <w:spacing w:line="480" w:lineRule="auto"/>
        <w:ind w:firstLine="720"/>
      </w:pPr>
      <w:r>
        <w:rPr>
          <w:highlight w:val="white"/>
        </w:rPr>
        <w:t>Simultaneous to this exclusion is a dispossession and disruption of the once familiar physical and epistemic belongings of minority peoples. This manifest</w:t>
      </w:r>
      <w:r w:rsidR="00992D40">
        <w:rPr>
          <w:highlight w:val="white"/>
        </w:rPr>
        <w:t>s</w:t>
      </w:r>
      <w:r>
        <w:rPr>
          <w:highlight w:val="white"/>
        </w:rPr>
        <w:t xml:space="preserve"> not just in the physical brutality of colonization but also in the imposition of ideology and deterioration of methods of interpretation</w:t>
      </w:r>
      <w:r w:rsidR="005F490E">
        <w:t xml:space="preserve"> </w:t>
      </w:r>
      <w:r>
        <w:t>(</w:t>
      </w:r>
      <w:r>
        <w:rPr>
          <w:highlight w:val="white"/>
        </w:rPr>
        <w:t>Berenstain et al</w:t>
      </w:r>
      <w:r w:rsidR="00DB0A06">
        <w:rPr>
          <w:highlight w:val="white"/>
        </w:rPr>
        <w:t>.</w:t>
      </w:r>
      <w:r>
        <w:rPr>
          <w:highlight w:val="white"/>
        </w:rPr>
        <w:t xml:space="preserve">, 2021, p. </w:t>
      </w:r>
      <w:r>
        <w:t>285).</w:t>
      </w:r>
      <w:r>
        <w:rPr>
          <w:highlight w:val="white"/>
        </w:rPr>
        <w:t xml:space="preserve"> One such illustration of epistemic colonization and governance is in the settlement of Hawaii. Enduring </w:t>
      </w:r>
      <w:proofErr w:type="gramStart"/>
      <w:r>
        <w:rPr>
          <w:highlight w:val="white"/>
        </w:rPr>
        <w:t>a number of</w:t>
      </w:r>
      <w:proofErr w:type="gramEnd"/>
      <w:r>
        <w:rPr>
          <w:highlight w:val="white"/>
        </w:rPr>
        <w:t xml:space="preserve"> abuses, their native tongue was suppressed, methods of self-governance were destroyed, and heteropatriarchy was instilled</w:t>
      </w:r>
      <w:r>
        <w:t xml:space="preserve"> to give the illusion of power </w:t>
      </w:r>
      <w:r w:rsidR="00032B5F">
        <w:t>amid</w:t>
      </w:r>
      <w:r>
        <w:t xml:space="preserve"> their own oppression</w:t>
      </w:r>
      <w:r>
        <w:rPr>
          <w:highlight w:val="white"/>
        </w:rPr>
        <w:t xml:space="preserve"> </w:t>
      </w:r>
      <w:r>
        <w:t>(</w:t>
      </w:r>
      <w:r>
        <w:rPr>
          <w:highlight w:val="white"/>
        </w:rPr>
        <w:t>Berenstain et al</w:t>
      </w:r>
      <w:r w:rsidR="00DB0A06">
        <w:rPr>
          <w:highlight w:val="white"/>
        </w:rPr>
        <w:t>.</w:t>
      </w:r>
      <w:r>
        <w:rPr>
          <w:highlight w:val="white"/>
        </w:rPr>
        <w:t xml:space="preserve">, 2021, p. </w:t>
      </w:r>
      <w:r>
        <w:t>286-287)</w:t>
      </w:r>
      <w:r>
        <w:rPr>
          <w:highlight w:val="white"/>
        </w:rPr>
        <w:t xml:space="preserve">. </w:t>
      </w:r>
      <w:r w:rsidR="005F490E">
        <w:rPr>
          <w:highlight w:val="white"/>
        </w:rPr>
        <w:t>Hawaiian t</w:t>
      </w:r>
      <w:r>
        <w:rPr>
          <w:highlight w:val="white"/>
        </w:rPr>
        <w:t xml:space="preserve">raditions of self-reliance and ancestral bonds to homelands were forcibly replaced by colonial governance, establishing new, calculated norms framed by knowledge deemed </w:t>
      </w:r>
      <w:r>
        <w:rPr>
          <w:highlight w:val="white"/>
        </w:rPr>
        <w:lastRenderedPageBreak/>
        <w:t>complementary to the colonizers</w:t>
      </w:r>
      <w:r w:rsidR="005F490E">
        <w:rPr>
          <w:highlight w:val="white"/>
        </w:rPr>
        <w:t>’</w:t>
      </w:r>
      <w:r>
        <w:rPr>
          <w:highlight w:val="white"/>
        </w:rPr>
        <w:t xml:space="preserve"> epistemic systems </w:t>
      </w:r>
      <w:r>
        <w:t>(</w:t>
      </w:r>
      <w:r>
        <w:rPr>
          <w:highlight w:val="white"/>
        </w:rPr>
        <w:t>Berenstain et al</w:t>
      </w:r>
      <w:r w:rsidR="00EE046F">
        <w:rPr>
          <w:highlight w:val="white"/>
        </w:rPr>
        <w:t>.</w:t>
      </w:r>
      <w:r>
        <w:rPr>
          <w:highlight w:val="white"/>
        </w:rPr>
        <w:t xml:space="preserve">, 2021, p. </w:t>
      </w:r>
      <w:r>
        <w:t xml:space="preserve">287). </w:t>
      </w:r>
      <w:r>
        <w:rPr>
          <w:highlight w:val="white"/>
        </w:rPr>
        <w:t xml:space="preserve">This demonstrates the ultimate progression of epistemic oppression: epistemic customs conditioned to the needs of the dominant group creating norms of exclusion to then set a narrative of such norms as truths instead of a deliberate and crooked ordainment for a particular outcome.            </w:t>
      </w:r>
      <w:r>
        <w:t xml:space="preserve">     </w:t>
      </w:r>
      <w:r>
        <w:rPr>
          <w:highlight w:val="white"/>
        </w:rPr>
        <w:t xml:space="preserve"> </w:t>
      </w:r>
      <w:r>
        <w:t xml:space="preserve"> </w:t>
      </w:r>
    </w:p>
    <w:p w14:paraId="4501BE8E" w14:textId="1C625433" w:rsidR="001D5BC4" w:rsidRDefault="00D4549A">
      <w:pPr>
        <w:spacing w:line="480" w:lineRule="auto"/>
      </w:pPr>
      <w:r>
        <w:tab/>
        <w:t>This process is dynamic as epistemic customs have historically evolved long before and after colonialism while retaining a distinct mark of self-preservation. Here</w:t>
      </w:r>
      <w:r w:rsidR="005F490E">
        <w:t>,</w:t>
      </w:r>
      <w:r>
        <w:t xml:space="preserve"> Dotson notes one of the most striking features of epistemic oppression, likening it to “bad magic”: the power to “conjure worlds into existence” and sustain them as concrete realities rather than recognizing them as products of confirmation bias (</w:t>
      </w:r>
      <w:r>
        <w:rPr>
          <w:highlight w:val="white"/>
        </w:rPr>
        <w:t>Berenstain et al</w:t>
      </w:r>
      <w:r w:rsidR="00EE046F">
        <w:rPr>
          <w:highlight w:val="white"/>
        </w:rPr>
        <w:t>.</w:t>
      </w:r>
      <w:r>
        <w:rPr>
          <w:highlight w:val="white"/>
        </w:rPr>
        <w:t xml:space="preserve">, 2021, p. </w:t>
      </w:r>
      <w:r>
        <w:t xml:space="preserve">292). This is indicative of a great </w:t>
      </w:r>
      <w:r w:rsidR="00DF5C11">
        <w:t>“</w:t>
      </w:r>
      <w:r>
        <w:t>deficiency of resources</w:t>
      </w:r>
      <w:r w:rsidR="00DF5C11">
        <w:t>”</w:t>
      </w:r>
      <w:r>
        <w:t xml:space="preserve"> of such epistemologies in their absence of reflexivity </w:t>
      </w:r>
      <w:r w:rsidRPr="004E7150">
        <w:rPr>
          <w:iCs/>
        </w:rPr>
        <w:t>(</w:t>
      </w:r>
      <w:r w:rsidR="004E7150">
        <w:rPr>
          <w:iCs/>
        </w:rPr>
        <w:t>Berenstain</w:t>
      </w:r>
      <w:r w:rsidRPr="00965500">
        <w:rPr>
          <w:iCs/>
        </w:rPr>
        <w:t>,</w:t>
      </w:r>
      <w:r>
        <w:rPr>
          <w:i/>
        </w:rPr>
        <w:t xml:space="preserve"> </w:t>
      </w:r>
      <w:r w:rsidR="004E7150">
        <w:t>forthcoming</w:t>
      </w:r>
      <w:r>
        <w:t>).</w:t>
      </w:r>
      <w:r w:rsidR="001D7FA0">
        <w:t xml:space="preserve"> </w:t>
      </w:r>
      <w:r w:rsidR="007F1847">
        <w:t>A</w:t>
      </w:r>
      <w:r w:rsidR="00C045D1">
        <w:t>ccording to Dotson</w:t>
      </w:r>
      <w:r w:rsidR="007F1847">
        <w:t xml:space="preserve">, reflexivity </w:t>
      </w:r>
      <w:r w:rsidR="00C045D1">
        <w:t>is an ability of a system to detect when its functions are no</w:t>
      </w:r>
      <w:r w:rsidR="003E5919">
        <w:t xml:space="preserve"> longer</w:t>
      </w:r>
      <w:r w:rsidR="00C045D1">
        <w:t xml:space="preserve"> serving its </w:t>
      </w:r>
      <w:r w:rsidR="00C045D1" w:rsidRPr="009732C2">
        <w:t>people</w:t>
      </w:r>
      <w:r w:rsidR="00A700F9" w:rsidRPr="009732C2">
        <w:t xml:space="preserve">. </w:t>
      </w:r>
      <w:r w:rsidR="001B39E3">
        <w:t>She</w:t>
      </w:r>
      <w:r w:rsidR="003219D9" w:rsidRPr="00965500">
        <w:t xml:space="preserve"> asserts that as a system, epistemologies need a quality of reflection, an awareness of their own limits and “governance values” to protect against the preservation of hierarchies for their own sake (Berenstain et al</w:t>
      </w:r>
      <w:r w:rsidR="00EB6154">
        <w:t>.</w:t>
      </w:r>
      <w:r w:rsidR="003219D9" w:rsidRPr="00965500">
        <w:t xml:space="preserve">, 2021, p. 293). </w:t>
      </w:r>
      <w:r w:rsidR="003219D9" w:rsidRPr="009732C2">
        <w:t>Colonial epistemologies are distinct in that they deny this form of self-assessment</w:t>
      </w:r>
      <w:r w:rsidR="00F810C8" w:rsidRPr="009732C2">
        <w:t>,</w:t>
      </w:r>
      <w:r w:rsidR="006468A3" w:rsidRPr="009732C2">
        <w:t xml:space="preserve"> </w:t>
      </w:r>
      <w:r w:rsidR="006468A3" w:rsidRPr="00965500">
        <w:t>not a mere weakness but a</w:t>
      </w:r>
      <w:r w:rsidR="00F810C8" w:rsidRPr="00965500">
        <w:t xml:space="preserve">s a </w:t>
      </w:r>
      <w:r w:rsidR="006468A3" w:rsidRPr="00965500">
        <w:t xml:space="preserve">rule for functioning. </w:t>
      </w:r>
      <w:r w:rsidR="00591B2B" w:rsidRPr="009732C2">
        <w:t>The primary function of colonial epistemologies is</w:t>
      </w:r>
      <w:r w:rsidR="00780643" w:rsidRPr="009732C2">
        <w:t xml:space="preserve"> to prioritize the interests, authority, and protection of the colonizing power</w:t>
      </w:r>
      <w:r w:rsidR="00944238" w:rsidRPr="009732C2">
        <w:t xml:space="preserve"> over the conquered subjects</w:t>
      </w:r>
      <w:r w:rsidR="00780643" w:rsidRPr="009732C2">
        <w:t xml:space="preserve">. This </w:t>
      </w:r>
      <w:r w:rsidR="005E3119" w:rsidRPr="009732C2">
        <w:t>was</w:t>
      </w:r>
      <w:r w:rsidR="00226578" w:rsidRPr="009732C2">
        <w:t xml:space="preserve">, and is, </w:t>
      </w:r>
      <w:r w:rsidR="00944238" w:rsidRPr="009732C2">
        <w:t>then</w:t>
      </w:r>
      <w:r w:rsidR="00780643" w:rsidRPr="009732C2">
        <w:t xml:space="preserve"> streamlined by </w:t>
      </w:r>
      <w:r w:rsidR="00944238" w:rsidRPr="009732C2">
        <w:t xml:space="preserve">governance values, namely </w:t>
      </w:r>
      <w:r w:rsidR="00780643" w:rsidRPr="009732C2">
        <w:t xml:space="preserve">laws, </w:t>
      </w:r>
      <w:r w:rsidR="00944238" w:rsidRPr="009732C2">
        <w:t xml:space="preserve">administrations, and ‘common sense’ understandings that grant </w:t>
      </w:r>
      <w:r w:rsidR="005E3119" w:rsidRPr="009732C2">
        <w:t>an epistemology legitimacy</w:t>
      </w:r>
      <w:r w:rsidR="000C44E6" w:rsidRPr="009732C2">
        <w:t xml:space="preserve"> </w:t>
      </w:r>
      <w:r w:rsidR="000C44E6" w:rsidRPr="00965500">
        <w:t>(Berenstain et al</w:t>
      </w:r>
      <w:r w:rsidR="00EB6154">
        <w:t>.</w:t>
      </w:r>
      <w:r w:rsidR="000C44E6" w:rsidRPr="00965500">
        <w:t>, 2021, p. 291)</w:t>
      </w:r>
      <w:r w:rsidR="005E3119" w:rsidRPr="009732C2">
        <w:t xml:space="preserve">. </w:t>
      </w:r>
    </w:p>
    <w:p w14:paraId="00000053" w14:textId="1FCE255F" w:rsidR="007436C6" w:rsidRDefault="005E3119" w:rsidP="00965500">
      <w:pPr>
        <w:spacing w:line="480" w:lineRule="auto"/>
        <w:ind w:firstLine="720"/>
      </w:pPr>
      <w:r w:rsidRPr="009732C2">
        <w:t xml:space="preserve">One way these governance values </w:t>
      </w:r>
      <w:r w:rsidR="00FD0AE0" w:rsidRPr="009732C2">
        <w:t>have materialized</w:t>
      </w:r>
      <w:r w:rsidRPr="009732C2">
        <w:t xml:space="preserve"> is through what Dotson refers to as the “consumption of Black and Brown and Indigenous people”; </w:t>
      </w:r>
      <w:r w:rsidR="00FD0AE0" w:rsidRPr="009732C2">
        <w:t xml:space="preserve">in their subjugation these populations are forced to play whatever role necessary for the </w:t>
      </w:r>
      <w:r w:rsidR="000032B7" w:rsidRPr="009732C2">
        <w:t xml:space="preserve">comfort of colonizers </w:t>
      </w:r>
      <w:r w:rsidR="00FD0AE0" w:rsidRPr="009732C2">
        <w:t xml:space="preserve">without any hope for </w:t>
      </w:r>
      <w:r w:rsidR="000032B7" w:rsidRPr="009732C2">
        <w:t xml:space="preserve">true </w:t>
      </w:r>
      <w:r w:rsidR="00FD0AE0" w:rsidRPr="009732C2">
        <w:t>integration or equality</w:t>
      </w:r>
      <w:r w:rsidR="006A23FB" w:rsidRPr="009732C2">
        <w:t xml:space="preserve"> </w:t>
      </w:r>
      <w:r w:rsidR="006A23FB" w:rsidRPr="00965500">
        <w:t>(Berenstain et al</w:t>
      </w:r>
      <w:r w:rsidR="00EB6154">
        <w:t>.</w:t>
      </w:r>
      <w:r w:rsidR="006A23FB" w:rsidRPr="00965500">
        <w:t xml:space="preserve">, 2021, p. </w:t>
      </w:r>
      <w:r w:rsidR="004A5485" w:rsidRPr="00965500">
        <w:t>312</w:t>
      </w:r>
      <w:r w:rsidR="006A23FB" w:rsidRPr="00965500">
        <w:t>)</w:t>
      </w:r>
      <w:r w:rsidR="00FD0AE0" w:rsidRPr="009732C2">
        <w:t xml:space="preserve">. The </w:t>
      </w:r>
      <w:r w:rsidR="000032B7" w:rsidRPr="009732C2">
        <w:t xml:space="preserve">conquered are treated </w:t>
      </w:r>
      <w:r w:rsidR="000032B7" w:rsidRPr="009732C2">
        <w:lastRenderedPageBreak/>
        <w:t xml:space="preserve">as disposable recipients of harms, dispossession, and oppression under a guise of normalcy. However, </w:t>
      </w:r>
      <w:r w:rsidR="00226578" w:rsidRPr="009732C2">
        <w:t>this</w:t>
      </w:r>
      <w:r w:rsidR="000032B7" w:rsidRPr="009732C2">
        <w:t xml:space="preserve"> governance scheme</w:t>
      </w:r>
      <w:r w:rsidR="00226578" w:rsidRPr="009732C2">
        <w:t xml:space="preserve"> is not “universally normative</w:t>
      </w:r>
      <w:r w:rsidR="001D5BC4">
        <w:t>,</w:t>
      </w:r>
      <w:r w:rsidR="00226578" w:rsidRPr="009732C2">
        <w:t xml:space="preserve">” meaning it </w:t>
      </w:r>
      <w:r w:rsidR="00B5712D">
        <w:t xml:space="preserve">is effective solely </w:t>
      </w:r>
      <w:r w:rsidR="00226578" w:rsidRPr="009732C2">
        <w:t xml:space="preserve">within the insulated walls of the system itself. </w:t>
      </w:r>
      <w:r w:rsidR="004267E7" w:rsidRPr="00965500">
        <w:t>Yet by</w:t>
      </w:r>
      <w:r w:rsidR="00D4549A" w:rsidRPr="009732C2">
        <w:t xml:space="preserve"> design, these systems are blind to their own failings and problematic structure, </w:t>
      </w:r>
      <w:r w:rsidR="00C875B2" w:rsidRPr="00965500">
        <w:t xml:space="preserve">continually reliant on these </w:t>
      </w:r>
      <w:r w:rsidR="00D4549A" w:rsidRPr="009732C2">
        <w:t>reckless harms framed as “both normative and inevitable” to uphold its “hierarchies and radical consumptions” (</w:t>
      </w:r>
      <w:r w:rsidR="00D4549A" w:rsidRPr="00965500">
        <w:t>Berenstain et al</w:t>
      </w:r>
      <w:r w:rsidR="001B3E6E">
        <w:t>.</w:t>
      </w:r>
      <w:r w:rsidR="00D4549A" w:rsidRPr="00965500">
        <w:t xml:space="preserve">, 2021, p. </w:t>
      </w:r>
      <w:r w:rsidR="00D4549A" w:rsidRPr="009732C2">
        <w:t xml:space="preserve">296, 294). </w:t>
      </w:r>
      <w:r w:rsidR="001D7FA0" w:rsidRPr="009732C2">
        <w:t>Thus, reflexivity is more than an intuitive</w:t>
      </w:r>
      <w:r w:rsidR="004D34DC">
        <w:t xml:space="preserve"> awareness</w:t>
      </w:r>
      <w:r w:rsidR="008D44E6">
        <w:t xml:space="preserve">, but </w:t>
      </w:r>
      <w:r w:rsidR="008F3A91">
        <w:t xml:space="preserve">an implicit production of </w:t>
      </w:r>
      <w:r w:rsidR="00C7537E">
        <w:t>entire realities</w:t>
      </w:r>
      <w:r w:rsidR="001D7FA0">
        <w:t xml:space="preserve"> </w:t>
      </w:r>
      <w:r w:rsidR="00C7537E">
        <w:t xml:space="preserve">with the </w:t>
      </w:r>
      <w:r w:rsidR="00D935A0">
        <w:t>full intention of maintaining the explicit system. In colonial epistemologies,</w:t>
      </w:r>
      <w:r w:rsidR="00350182">
        <w:t xml:space="preserve"> th</w:t>
      </w:r>
      <w:r w:rsidR="00F82302">
        <w:t>is “conjuring”</w:t>
      </w:r>
      <w:r w:rsidR="0060604E">
        <w:t xml:space="preserve"> expects a </w:t>
      </w:r>
      <w:r w:rsidR="00D4549A">
        <w:t xml:space="preserve">baseline of violence towards minority populations, especially Black, Brown, and Indigenous peoples, </w:t>
      </w:r>
      <w:r w:rsidR="002B7DCE">
        <w:t xml:space="preserve">establishing it as </w:t>
      </w:r>
      <w:r w:rsidR="00D4549A">
        <w:t xml:space="preserve">familiar and responsive to whatever common-sense “truths” must be defined (and re-defined) </w:t>
      </w:r>
      <w:r w:rsidR="00494690">
        <w:t>to</w:t>
      </w:r>
      <w:r w:rsidR="00D4549A">
        <w:t xml:space="preserve"> </w:t>
      </w:r>
      <w:r w:rsidR="00BA58F4">
        <w:t>preserve</w:t>
      </w:r>
      <w:r w:rsidR="00D4549A">
        <w:t xml:space="preserve"> the status-quo</w:t>
      </w:r>
      <w:r w:rsidR="00430470">
        <w:t xml:space="preserve"> </w:t>
      </w:r>
      <w:r w:rsidR="00D4549A">
        <w:t>(</w:t>
      </w:r>
      <w:r w:rsidR="00D4549A">
        <w:rPr>
          <w:highlight w:val="white"/>
        </w:rPr>
        <w:t>Berenstain et al</w:t>
      </w:r>
      <w:r w:rsidR="001B3E6E">
        <w:rPr>
          <w:highlight w:val="white"/>
        </w:rPr>
        <w:t>.</w:t>
      </w:r>
      <w:r w:rsidR="00D4549A">
        <w:rPr>
          <w:highlight w:val="white"/>
        </w:rPr>
        <w:t xml:space="preserve">, 2021, p. </w:t>
      </w:r>
      <w:r w:rsidR="00D4549A">
        <w:t>297).</w:t>
      </w:r>
    </w:p>
    <w:p w14:paraId="00000054" w14:textId="7E0F12E0" w:rsidR="007436C6" w:rsidRDefault="00D4549A">
      <w:pPr>
        <w:spacing w:line="480" w:lineRule="auto"/>
        <w:ind w:firstLine="720"/>
      </w:pPr>
      <w:r>
        <w:t xml:space="preserve"> Thus, the desires of the dominant group are continually enabled and legitimized as the truth while all others are disqualified. Though truth has been coveted as the </w:t>
      </w:r>
      <w:proofErr w:type="gramStart"/>
      <w:r>
        <w:t>ultimate goal</w:t>
      </w:r>
      <w:proofErr w:type="gramEnd"/>
      <w:r>
        <w:t xml:space="preserve"> for epistemologies, here it becomes the ultimate tool of manipulation by which the “adjudicating power of truth…is manufactured” (</w:t>
      </w:r>
      <w:r>
        <w:rPr>
          <w:highlight w:val="white"/>
        </w:rPr>
        <w:t>Berenstain et al</w:t>
      </w:r>
      <w:r w:rsidR="001B3E6E">
        <w:rPr>
          <w:highlight w:val="white"/>
        </w:rPr>
        <w:t>.</w:t>
      </w:r>
      <w:r>
        <w:rPr>
          <w:highlight w:val="white"/>
        </w:rPr>
        <w:t xml:space="preserve">, 2021, p. </w:t>
      </w:r>
      <w:r>
        <w:t xml:space="preserve">296). The supposed neutrality of truth is not compromised by its inherent construction, but rather by the criteria by which its relevance is determined. Epistemologies determine what is relevant, useful, and comfortable within their guiding presumptions and values. By </w:t>
      </w:r>
      <w:r w:rsidR="00136BE3">
        <w:t>these criteria</w:t>
      </w:r>
      <w:r>
        <w:t xml:space="preserve">, </w:t>
      </w:r>
      <w:r w:rsidR="00544E6A">
        <w:t xml:space="preserve">these </w:t>
      </w:r>
      <w:r w:rsidR="00136BE3">
        <w:t>epistemologies</w:t>
      </w:r>
      <w:r w:rsidR="00544E6A">
        <w:t xml:space="preserve"> lack </w:t>
      </w:r>
      <w:r w:rsidR="00553E65">
        <w:t>definitive, integrous</w:t>
      </w:r>
      <w:r w:rsidR="00544E6A">
        <w:t xml:space="preserve"> boundaries</w:t>
      </w:r>
      <w:r w:rsidR="00CF7293">
        <w:t>, shifting them freely according to their needs</w:t>
      </w:r>
      <w:r>
        <w:t xml:space="preserve">. The perpetuation of violence as a normative, common-sense, everyday “truth” is what Dotson emphasizes is the unsettling, pinnacle feature of an </w:t>
      </w:r>
      <w:proofErr w:type="spellStart"/>
      <w:r>
        <w:t>unreflexive</w:t>
      </w:r>
      <w:proofErr w:type="spellEnd"/>
      <w:r>
        <w:t xml:space="preserve">, colonial system </w:t>
      </w:r>
      <w:r w:rsidR="00332CC0">
        <w:rPr>
          <w:iCs/>
        </w:rPr>
        <w:t xml:space="preserve">(Berenstain, </w:t>
      </w:r>
      <w:r w:rsidR="00332CC0">
        <w:t>forthcoming</w:t>
      </w:r>
      <w:r>
        <w:t xml:space="preserve">). Hence, we see the weaknesses of epistemologies in both enabling distorted and unchecked realities and </w:t>
      </w:r>
      <w:r>
        <w:lastRenderedPageBreak/>
        <w:t>deliberately excluding the marginalized from shared epistemic resources within a supposed shared society (</w:t>
      </w:r>
      <w:r w:rsidR="005F490E">
        <w:rPr>
          <w:iCs/>
        </w:rPr>
        <w:t>Berenstain</w:t>
      </w:r>
      <w:r>
        <w:rPr>
          <w:i/>
        </w:rPr>
        <w:t xml:space="preserve">, </w:t>
      </w:r>
      <w:r>
        <w:t>2025).</w:t>
      </w:r>
    </w:p>
    <w:p w14:paraId="00000055" w14:textId="4718923F" w:rsidR="007436C6" w:rsidRDefault="00D4549A">
      <w:pPr>
        <w:spacing w:line="480" w:lineRule="auto"/>
        <w:ind w:firstLine="720"/>
      </w:pPr>
      <w:r>
        <w:t xml:space="preserve">The preclusion of knowledge as a dynamic resource has unsurprisingly had damaging effects that have been felt in the realm of medicine. In the last century </w:t>
      </w:r>
      <w:r w:rsidR="00A239B3">
        <w:t>alone,</w:t>
      </w:r>
      <w:r>
        <w:t xml:space="preserve"> we have witnessed horrific grievances of </w:t>
      </w:r>
      <w:r w:rsidR="00551880">
        <w:t>modern-day</w:t>
      </w:r>
      <w:r>
        <w:t xml:space="preserve"> colonialism from the forced sterilization of Latinx populations to the exploitation of Henrietta Lacks</w:t>
      </w:r>
      <w:r w:rsidR="005F490E">
        <w:t>’</w:t>
      </w:r>
      <w:r>
        <w:t xml:space="preserve"> revolutionary cells, each revealing a pattern of concealing critical knowledge that has stripped minorities of their bodily autonomy and altered the trajectory of their lives and those of their communities (Novak, 2018). This tactical strategy of withholding understanding and directing the narrative of such unimaginable experiences is exemplified by the structural gaslighting described by Elena Ru</w:t>
      </w:r>
      <w:r w:rsidR="005F490E">
        <w:t>í</w:t>
      </w:r>
      <w:r>
        <w:t xml:space="preserve">z and will be discussed later in this paper </w:t>
      </w:r>
      <w:r>
        <w:rPr>
          <w:highlight w:val="white"/>
        </w:rPr>
        <w:t>(</w:t>
      </w:r>
      <w:r>
        <w:t>Ruíz, 2020). Such instances redirect our attention to the structures that keep minorities alienated from essential epistemic resources and an uncorrupted interpretation of their own realities.</w:t>
      </w:r>
    </w:p>
    <w:p w14:paraId="00000056" w14:textId="47D6298D" w:rsidR="007436C6" w:rsidRDefault="00D4549A">
      <w:pPr>
        <w:spacing w:line="480" w:lineRule="auto"/>
        <w:ind w:firstLine="720"/>
      </w:pPr>
      <w:r>
        <w:t>A similar form of concealment in modern</w:t>
      </w:r>
      <w:r w:rsidR="00AF5D4A">
        <w:t>-</w:t>
      </w:r>
      <w:r>
        <w:t>day science has been the underrepresentation of minorities in medical research. This absence has prevented minority populations from both contributing to and benefiting from medical knowledge with the potential to enhance both providers and patients' understanding of responses to proposed interventions and therapies. While generalizability is a challenging standard for all studies, clinical trials must account for “distinct disease presentations” and common biological manifestations often associated with self-identified race, the latter being reflective of shared lived experience, not biological origin (National Academies of Sciences, Engineering, and Medicine; Poli</w:t>
      </w:r>
      <w:r>
        <w:rPr>
          <w:highlight w:val="white"/>
        </w:rPr>
        <w:t>cy and Global Affairs).</w:t>
      </w:r>
      <w:r>
        <w:t xml:space="preserve"> Further adding to the drawbacks of underrepresentation is how costly the resultant health disparities are, particularly through delayed treatment of chronic illnesses such as diabetes and heart disease. </w:t>
      </w:r>
      <w:r w:rsidR="00437334">
        <w:t>Considering</w:t>
      </w:r>
      <w:r>
        <w:t xml:space="preserve"> this, both </w:t>
      </w:r>
      <w:r w:rsidR="00A239B3">
        <w:t>providers and patients</w:t>
      </w:r>
      <w:r>
        <w:t xml:space="preserve"> appear disadvantaged, complicating </w:t>
      </w:r>
      <w:r>
        <w:lastRenderedPageBreak/>
        <w:t>efforts to frame minority populations as targets of the intentional and conspicuous act of epistemic oppression.</w:t>
      </w:r>
    </w:p>
    <w:p w14:paraId="00000057" w14:textId="6C76714D" w:rsidR="007436C6" w:rsidRDefault="00D4549A">
      <w:pPr>
        <w:spacing w:line="480" w:lineRule="auto"/>
        <w:ind w:firstLine="720"/>
      </w:pPr>
      <w:r>
        <w:t xml:space="preserve">Regardless of the alleged motivations or sheer negligence behind the act, the consequential discrepancy in medical knowledge remains the utmost priority. Here we are reintroduced to the deficiency of reflexivity in a system. Rather than addressing the limitations that have further perpetuated overt health disparities, the research and healthcare system have remained complacent, allowing them to compound over time (Baciu et al., 2017). Leaving the issue of underrepresentation unaddressed speaks not only to the marginalization of minority </w:t>
      </w:r>
      <w:r w:rsidR="00032B5F">
        <w:t>populations but</w:t>
      </w:r>
      <w:r>
        <w:t xml:space="preserve"> also exposes its beneficiaries and contributors who have little incentive to disturb an enduring and seemingly effective system (</w:t>
      </w:r>
      <w:r>
        <w:rPr>
          <w:highlight w:val="white"/>
        </w:rPr>
        <w:t>Ruíz, 2020, p. 690)</w:t>
      </w:r>
      <w:r>
        <w:t>. Some argue that this and similar other exclusions lie outside the boundaries of social and political forms of oppression and therefore don’t qualify as epistemic oppression. After all, there are no legal barriers or overt social stigmas that prevent minority participation in research studies. In “Conceptualizing Epistemic Oppression</w:t>
      </w:r>
      <w:r w:rsidR="00032B5F">
        <w:t>,</w:t>
      </w:r>
      <w:r>
        <w:t>” Dotson (2014) argues that some forms of oppression are not merely byproducts of social or political oppression but possess an inherent epistemological resistance, reflective of an irreducible nature. I posit that the underrepresentation of minorities is an example of this irreducible form of epistemic oppression.</w:t>
      </w:r>
    </w:p>
    <w:p w14:paraId="6757C2BD" w14:textId="670413EC" w:rsidR="00326B94" w:rsidRDefault="00D4549A" w:rsidP="001342B3">
      <w:pPr>
        <w:spacing w:line="480" w:lineRule="auto"/>
        <w:ind w:firstLine="720"/>
      </w:pPr>
      <w:r>
        <w:t xml:space="preserve">Dotson assumes a feature of reflexivity in her categorization of irreducible </w:t>
      </w:r>
      <w:r w:rsidR="0021560B">
        <w:t xml:space="preserve">epistemic </w:t>
      </w:r>
      <w:r>
        <w:t xml:space="preserve">oppression. Unlike </w:t>
      </w:r>
      <w:r w:rsidR="0021560B">
        <w:t>a reflexive epistemological system, which</w:t>
      </w:r>
      <w:r>
        <w:t xml:space="preserve"> is aptly supplied with the resources necessary to solve the</w:t>
      </w:r>
      <w:r w:rsidR="0021560B">
        <w:t>se epistemic</w:t>
      </w:r>
      <w:r>
        <w:t xml:space="preserve"> problem</w:t>
      </w:r>
      <w:r w:rsidR="0021560B">
        <w:t>s</w:t>
      </w:r>
      <w:r>
        <w:t xml:space="preserve">, this form of oppression can only be mitigated by addressing the shortcomings of the system itself. </w:t>
      </w:r>
      <w:r w:rsidR="00E6156C">
        <w:t xml:space="preserve">In </w:t>
      </w:r>
      <w:r w:rsidR="007547FB">
        <w:t>analyzing</w:t>
      </w:r>
      <w:r w:rsidR="002A116F">
        <w:t xml:space="preserve"> </w:t>
      </w:r>
      <w:r w:rsidR="00770059">
        <w:t xml:space="preserve">the core of an </w:t>
      </w:r>
      <w:proofErr w:type="spellStart"/>
      <w:r w:rsidR="00770059">
        <w:t>unreflexive</w:t>
      </w:r>
      <w:proofErr w:type="spellEnd"/>
      <w:r w:rsidR="00770059">
        <w:t xml:space="preserve"> epistemology</w:t>
      </w:r>
      <w:r w:rsidR="003E48FE">
        <w:t xml:space="preserve">, </w:t>
      </w:r>
      <w:r w:rsidR="005E559E">
        <w:t>that is its governance</w:t>
      </w:r>
      <w:r w:rsidR="00E5206B">
        <w:t xml:space="preserve"> values and </w:t>
      </w:r>
      <w:r w:rsidR="00B074E6">
        <w:t>the knowledge it holds</w:t>
      </w:r>
      <w:r w:rsidR="009F2F30">
        <w:t xml:space="preserve">, we </w:t>
      </w:r>
      <w:r w:rsidR="000A2D55">
        <w:t xml:space="preserve">discover that these shortcomings are </w:t>
      </w:r>
      <w:r w:rsidR="00317915">
        <w:t>written within</w:t>
      </w:r>
      <w:r w:rsidR="000A2D55">
        <w:t xml:space="preserve"> the very blueprint. </w:t>
      </w:r>
      <w:r w:rsidR="002E3404">
        <w:t xml:space="preserve">As </w:t>
      </w:r>
      <w:r w:rsidR="00586869">
        <w:t>“‘</w:t>
      </w:r>
      <w:r w:rsidR="002E3404">
        <w:t xml:space="preserve">irreplaceable sources’ of guidance, </w:t>
      </w:r>
      <w:r w:rsidR="002E3404">
        <w:lastRenderedPageBreak/>
        <w:t>future planning</w:t>
      </w:r>
      <w:r w:rsidR="00F74359">
        <w:t>, and collectivization</w:t>
      </w:r>
      <w:r w:rsidR="00032B5F">
        <w:t>,</w:t>
      </w:r>
      <w:r w:rsidR="00F74359">
        <w:t xml:space="preserve">” </w:t>
      </w:r>
      <w:r w:rsidR="00F21AF4">
        <w:t>such knowledge systems</w:t>
      </w:r>
      <w:r w:rsidR="00F74359">
        <w:t xml:space="preserve"> are </w:t>
      </w:r>
      <w:r w:rsidR="005A72E2">
        <w:t>intentionally oriented towar</w:t>
      </w:r>
      <w:r w:rsidR="00434A32">
        <w:t>ds a specif</w:t>
      </w:r>
      <w:r w:rsidR="00DE27C8">
        <w:t>ic,</w:t>
      </w:r>
      <w:r w:rsidR="00816704">
        <w:t xml:space="preserve"> yet dynamic</w:t>
      </w:r>
      <w:r w:rsidR="00DE27C8">
        <w:t xml:space="preserve"> manifestation</w:t>
      </w:r>
      <w:r w:rsidR="00586869">
        <w:t xml:space="preserve"> (</w:t>
      </w:r>
      <w:r w:rsidR="00586869">
        <w:rPr>
          <w:highlight w:val="white"/>
        </w:rPr>
        <w:t>Berenstain et al</w:t>
      </w:r>
      <w:r w:rsidR="001B3E6E">
        <w:rPr>
          <w:highlight w:val="white"/>
        </w:rPr>
        <w:t>.</w:t>
      </w:r>
      <w:r w:rsidR="00586869">
        <w:rPr>
          <w:highlight w:val="white"/>
        </w:rPr>
        <w:t xml:space="preserve">, 2021, p. </w:t>
      </w:r>
      <w:r w:rsidR="00586869">
        <w:t>296, 291).</w:t>
      </w:r>
      <w:r w:rsidR="00150280">
        <w:t xml:space="preserve"> Thus, every assumption, commitment, and normative value </w:t>
      </w:r>
      <w:r w:rsidR="002A4DC6">
        <w:t>is a deliberate</w:t>
      </w:r>
      <w:r w:rsidR="001C4D50">
        <w:t>ly</w:t>
      </w:r>
      <w:r w:rsidR="002A4DC6">
        <w:t xml:space="preserve"> </w:t>
      </w:r>
      <w:r w:rsidR="00811797">
        <w:t xml:space="preserve">placed </w:t>
      </w:r>
      <w:r w:rsidR="005B6C12">
        <w:t>steppingstone</w:t>
      </w:r>
      <w:r w:rsidR="002A4DC6">
        <w:t xml:space="preserve"> </w:t>
      </w:r>
      <w:r w:rsidR="005B0D40">
        <w:t>towards the fulfillment of certain “selected outcomes</w:t>
      </w:r>
      <w:r w:rsidR="00032B5F">
        <w:t>.</w:t>
      </w:r>
      <w:r w:rsidR="005B0D40">
        <w:t xml:space="preserve">” </w:t>
      </w:r>
      <w:r w:rsidR="00C41437">
        <w:t xml:space="preserve">These stones </w:t>
      </w:r>
      <w:r w:rsidR="005B6C12">
        <w:t>can be rearranged</w:t>
      </w:r>
      <w:r w:rsidR="00A64997">
        <w:t xml:space="preserve"> at will</w:t>
      </w:r>
      <w:r w:rsidR="00B6639E">
        <w:t xml:space="preserve">, yet the system remains </w:t>
      </w:r>
      <w:r w:rsidR="00A64997">
        <w:t>impervious</w:t>
      </w:r>
      <w:r w:rsidR="00B6639E">
        <w:t xml:space="preserve"> to </w:t>
      </w:r>
      <w:r w:rsidR="00597860">
        <w:t>accountability</w:t>
      </w:r>
      <w:r w:rsidR="00B6639E">
        <w:t xml:space="preserve"> for these changes—</w:t>
      </w:r>
      <w:r w:rsidR="00A64997">
        <w:t xml:space="preserve">insisting, with fervent certainty, that this is how things have always been. </w:t>
      </w:r>
      <w:r w:rsidR="00D0111F">
        <w:t xml:space="preserve">For colonial systems to suddenly </w:t>
      </w:r>
      <w:r w:rsidR="00AF717A">
        <w:t>become reflexive in nature</w:t>
      </w:r>
      <w:r w:rsidR="003503B4">
        <w:t xml:space="preserve"> would be to </w:t>
      </w:r>
      <w:r w:rsidR="00405D8D">
        <w:t xml:space="preserve">contradict itself, </w:t>
      </w:r>
      <w:r w:rsidR="00955DA6">
        <w:t xml:space="preserve">pleading guilty for </w:t>
      </w:r>
      <w:r w:rsidR="00345777">
        <w:t>its crimes and acknowledging its role as lead producer and actor in</w:t>
      </w:r>
      <w:r w:rsidR="007C47A2">
        <w:t xml:space="preserve"> creating these landscapes.</w:t>
      </w:r>
      <w:r w:rsidR="00343798">
        <w:t xml:space="preserve"> </w:t>
      </w:r>
      <w:r w:rsidR="00597EAF">
        <w:t>In considering</w:t>
      </w:r>
      <w:r w:rsidR="00343798">
        <w:t xml:space="preserve"> </w:t>
      </w:r>
      <w:r w:rsidR="00302F22">
        <w:t>reducible epistemic oppression</w:t>
      </w:r>
      <w:r w:rsidR="00597EAF">
        <w:t>,</w:t>
      </w:r>
      <w:r w:rsidR="00B64BA0">
        <w:t xml:space="preserve"> we see that the</w:t>
      </w:r>
      <w:r w:rsidR="00E502C7">
        <w:t xml:space="preserve"> </w:t>
      </w:r>
      <w:r w:rsidR="00227332">
        <w:t>realities</w:t>
      </w:r>
      <w:r w:rsidR="00E502C7">
        <w:t xml:space="preserve"> in place </w:t>
      </w:r>
      <w:r w:rsidR="00C017F7">
        <w:t>are characterized by issues of unequal distribution of social and political</w:t>
      </w:r>
      <w:r w:rsidR="0026401E">
        <w:t xml:space="preserve"> power</w:t>
      </w:r>
      <w:r w:rsidR="00C017F7">
        <w:t>, whether that be in marginalization or restriction of access to knowledge spaces</w:t>
      </w:r>
      <w:r w:rsidR="00C475B5">
        <w:t>.</w:t>
      </w:r>
    </w:p>
    <w:p w14:paraId="1EEDAC65" w14:textId="380D1C6A" w:rsidR="000435F7" w:rsidRDefault="007051DB" w:rsidP="001342B3">
      <w:pPr>
        <w:spacing w:line="480" w:lineRule="auto"/>
        <w:ind w:firstLine="720"/>
      </w:pPr>
      <w:proofErr w:type="spellStart"/>
      <w:r>
        <w:t>Unreflexivity</w:t>
      </w:r>
      <w:proofErr w:type="spellEnd"/>
      <w:r>
        <w:t>, however</w:t>
      </w:r>
      <w:r w:rsidR="00C475B5">
        <w:t xml:space="preserve">, </w:t>
      </w:r>
      <w:r w:rsidR="000C34B6">
        <w:t xml:space="preserve">is the vital catalyst that </w:t>
      </w:r>
      <w:r>
        <w:t xml:space="preserve">positions </w:t>
      </w:r>
      <w:r w:rsidR="00F81F33">
        <w:t xml:space="preserve">epistemic oppression </w:t>
      </w:r>
      <w:r w:rsidR="002505CF">
        <w:t xml:space="preserve">as a </w:t>
      </w:r>
      <w:r w:rsidR="009351B9">
        <w:t>starting</w:t>
      </w:r>
      <w:r w:rsidR="002505CF">
        <w:t xml:space="preserve"> condition rather than a </w:t>
      </w:r>
      <w:r w:rsidR="00FE2B8C">
        <w:t>resulting consequence</w:t>
      </w:r>
      <w:r w:rsidR="002505CF">
        <w:t xml:space="preserve"> within</w:t>
      </w:r>
      <w:r w:rsidR="001579DA">
        <w:t xml:space="preserve"> colonial</w:t>
      </w:r>
      <w:r w:rsidR="002505CF">
        <w:t xml:space="preserve"> epistemologi</w:t>
      </w:r>
      <w:r w:rsidR="001579DA">
        <w:t>es</w:t>
      </w:r>
      <w:r w:rsidR="002505CF">
        <w:t xml:space="preserve"> </w:t>
      </w:r>
      <w:r w:rsidR="001579DA">
        <w:t>and similar frameworks</w:t>
      </w:r>
      <w:r w:rsidR="002505CF">
        <w:t>.</w:t>
      </w:r>
      <w:r w:rsidR="000C34B6">
        <w:t xml:space="preserve"> </w:t>
      </w:r>
      <w:r w:rsidR="00D4549A">
        <w:t xml:space="preserve">As a result, the magnitude of change needed for a framework as problematic and deficient as the underrepresentation of minorities in research is immense as it demands a recognition of its normative and governing values that perpetuate its existence. </w:t>
      </w:r>
      <w:r w:rsidR="008B1CE8">
        <w:t xml:space="preserve">Within </w:t>
      </w:r>
      <w:r w:rsidR="00D14294">
        <w:t xml:space="preserve">the realm of medicine, </w:t>
      </w:r>
      <w:r w:rsidR="00FE0F4C">
        <w:t xml:space="preserve">these </w:t>
      </w:r>
      <w:r w:rsidR="001D4E7C">
        <w:t xml:space="preserve">prevailing </w:t>
      </w:r>
      <w:r w:rsidR="00FE0F4C">
        <w:t xml:space="preserve">values </w:t>
      </w:r>
      <w:r w:rsidR="00C4525B">
        <w:t>remain</w:t>
      </w:r>
      <w:r w:rsidR="00430924">
        <w:t xml:space="preserve"> fixed in </w:t>
      </w:r>
      <w:r w:rsidR="00464BBC">
        <w:t>the</w:t>
      </w:r>
      <w:r w:rsidR="001579DA">
        <w:t xml:space="preserve"> </w:t>
      </w:r>
      <w:r w:rsidR="002859D2">
        <w:t xml:space="preserve">foundations </w:t>
      </w:r>
      <w:r w:rsidR="00464BBC">
        <w:t xml:space="preserve">of </w:t>
      </w:r>
      <w:r w:rsidR="0082062E">
        <w:t>settler colonialism</w:t>
      </w:r>
      <w:r w:rsidR="00362CC3">
        <w:t>,</w:t>
      </w:r>
      <w:r w:rsidR="00B132A7">
        <w:t xml:space="preserve"> that is the </w:t>
      </w:r>
      <w:r w:rsidR="00C14A94">
        <w:t>elevation</w:t>
      </w:r>
      <w:r w:rsidR="00464BBC">
        <w:t xml:space="preserve"> of </w:t>
      </w:r>
      <w:r w:rsidR="00216A37">
        <w:t>white bodies, knowledge</w:t>
      </w:r>
      <w:r w:rsidR="00C14A94">
        <w:t xml:space="preserve"> systems</w:t>
      </w:r>
      <w:r w:rsidR="00216A37">
        <w:t xml:space="preserve">, and </w:t>
      </w:r>
      <w:r w:rsidR="00C14A94">
        <w:t>authority</w:t>
      </w:r>
      <w:r w:rsidR="00216A37">
        <w:t xml:space="preserve"> </w:t>
      </w:r>
      <w:r w:rsidR="00C14A94">
        <w:t>as</w:t>
      </w:r>
      <w:r w:rsidR="00216A37">
        <w:t xml:space="preserve"> </w:t>
      </w:r>
      <w:r w:rsidR="00C14A94">
        <w:t>the normative</w:t>
      </w:r>
      <w:r w:rsidR="00216A37">
        <w:t xml:space="preserve"> </w:t>
      </w:r>
      <w:r w:rsidR="00C14A94">
        <w:t>standard</w:t>
      </w:r>
      <w:r w:rsidR="00216A37">
        <w:t xml:space="preserve">. </w:t>
      </w:r>
      <w:r w:rsidR="00B340C6">
        <w:t>The underrepresentation of all other demographic</w:t>
      </w:r>
      <w:r w:rsidR="004B662A">
        <w:t xml:space="preserve"> groups</w:t>
      </w:r>
      <w:r w:rsidR="00B340C6">
        <w:t xml:space="preserve"> </w:t>
      </w:r>
      <w:r w:rsidR="00FB107A">
        <w:t>reflects</w:t>
      </w:r>
      <w:r w:rsidR="0024775A">
        <w:t xml:space="preserve"> this </w:t>
      </w:r>
      <w:r w:rsidR="004B662A">
        <w:t>assumption</w:t>
      </w:r>
      <w:r w:rsidR="0024775A">
        <w:t xml:space="preserve"> that the white body is the </w:t>
      </w:r>
      <w:r w:rsidR="004B662A">
        <w:t>universal standard</w:t>
      </w:r>
      <w:r w:rsidR="0015185F">
        <w:t>,</w:t>
      </w:r>
      <w:r w:rsidR="004B662A">
        <w:t xml:space="preserve"> </w:t>
      </w:r>
      <w:r w:rsidR="004B662A" w:rsidRPr="008A40D9">
        <w:t xml:space="preserve">sufficient for producing research and knowledge </w:t>
      </w:r>
      <w:r w:rsidR="0015185F" w:rsidRPr="008A40D9">
        <w:t xml:space="preserve">that will </w:t>
      </w:r>
      <w:r w:rsidR="009022B0" w:rsidRPr="008A40D9">
        <w:t xml:space="preserve">pertain </w:t>
      </w:r>
      <w:r w:rsidR="0031437A" w:rsidRPr="008A40D9">
        <w:t xml:space="preserve">and generalize </w:t>
      </w:r>
      <w:r w:rsidR="009022B0" w:rsidRPr="008A40D9">
        <w:t xml:space="preserve">to all populations. </w:t>
      </w:r>
      <w:r w:rsidR="00642780" w:rsidRPr="008A40D9">
        <w:t>Implicitly, minority</w:t>
      </w:r>
      <w:r w:rsidR="00231E3A" w:rsidRPr="008A40D9">
        <w:t xml:space="preserve"> populations ar</w:t>
      </w:r>
      <w:r w:rsidR="000D691A" w:rsidRPr="008A40D9">
        <w:t>e</w:t>
      </w:r>
      <w:r w:rsidR="008A40D9" w:rsidRPr="008A40D9">
        <w:t xml:space="preserve"> cast</w:t>
      </w:r>
      <w:r w:rsidR="00231E3A" w:rsidRPr="008A40D9">
        <w:t xml:space="preserve"> </w:t>
      </w:r>
      <w:r w:rsidR="008A40D9" w:rsidRPr="008A40D9">
        <w:t>as</w:t>
      </w:r>
      <w:r w:rsidR="00231E3A" w:rsidRPr="008A40D9">
        <w:t xml:space="preserve"> “deviants</w:t>
      </w:r>
      <w:r w:rsidR="00032B5F">
        <w:t>,</w:t>
      </w:r>
      <w:r w:rsidR="00231E3A" w:rsidRPr="008A40D9">
        <w:t>”</w:t>
      </w:r>
      <w:r w:rsidR="008A40D9" w:rsidRPr="008A40D9">
        <w:t xml:space="preserve"> with their differences </w:t>
      </w:r>
      <w:r w:rsidR="00060754" w:rsidRPr="008A40D9">
        <w:t>pathologized</w:t>
      </w:r>
      <w:r w:rsidR="008A40D9" w:rsidRPr="008A40D9">
        <w:t xml:space="preserve"> despite those differences often stemming from structural inequities that </w:t>
      </w:r>
      <w:r w:rsidR="00642780" w:rsidRPr="008A40D9">
        <w:t xml:space="preserve">research </w:t>
      </w:r>
      <w:r w:rsidR="008A40D9" w:rsidRPr="008A40D9">
        <w:t>had failed to account</w:t>
      </w:r>
      <w:r w:rsidR="00642780" w:rsidRPr="008A40D9">
        <w:t xml:space="preserve"> for in the first place</w:t>
      </w:r>
      <w:r w:rsidR="00D06D52" w:rsidRPr="008A40D9">
        <w:t>.</w:t>
      </w:r>
      <w:r w:rsidR="009D2280">
        <w:t xml:space="preserve"> </w:t>
      </w:r>
      <w:r w:rsidR="0031437A">
        <w:t>To</w:t>
      </w:r>
      <w:r w:rsidR="0004553B">
        <w:t xml:space="preserve"> be</w:t>
      </w:r>
      <w:r w:rsidR="0031437A">
        <w:t xml:space="preserve"> clear, this </w:t>
      </w:r>
      <w:r w:rsidR="0004553B">
        <w:t>critique</w:t>
      </w:r>
      <w:r w:rsidR="0031437A">
        <w:t xml:space="preserve"> </w:t>
      </w:r>
      <w:r w:rsidR="0004553B">
        <w:t>does</w:t>
      </w:r>
      <w:r w:rsidR="0031437A">
        <w:t xml:space="preserve"> </w:t>
      </w:r>
      <w:r w:rsidR="0004553B">
        <w:t>not</w:t>
      </w:r>
      <w:r w:rsidR="0031437A">
        <w:t xml:space="preserve"> </w:t>
      </w:r>
      <w:r w:rsidR="0004553B">
        <w:t>advocate for race-based medicine</w:t>
      </w:r>
      <w:r w:rsidR="00552CD1">
        <w:t xml:space="preserve"> as a solution. Rather, it highlights how the lack of urgency regarding </w:t>
      </w:r>
      <w:r w:rsidR="00552CD1">
        <w:lastRenderedPageBreak/>
        <w:t xml:space="preserve">this </w:t>
      </w:r>
      <w:r w:rsidR="003C5CDB">
        <w:t xml:space="preserve">discrepancy signals a tacit </w:t>
      </w:r>
      <w:r w:rsidR="00B64FB2">
        <w:t xml:space="preserve">compliance with this norm, </w:t>
      </w:r>
      <w:r w:rsidR="00732C35">
        <w:t>reinforcing</w:t>
      </w:r>
      <w:r w:rsidR="00B64FB2">
        <w:t xml:space="preserve"> the</w:t>
      </w:r>
      <w:r w:rsidR="00FB107A">
        <w:t xml:space="preserve"> </w:t>
      </w:r>
      <w:r w:rsidR="00732C35">
        <w:t>belief</w:t>
      </w:r>
      <w:r w:rsidR="00FB107A">
        <w:t xml:space="preserve"> </w:t>
      </w:r>
      <w:r w:rsidR="00B64FB2">
        <w:t xml:space="preserve">that the existing </w:t>
      </w:r>
      <w:r w:rsidR="00732C35">
        <w:t xml:space="preserve">structure of </w:t>
      </w:r>
      <w:r w:rsidR="001342B3">
        <w:t xml:space="preserve">medical </w:t>
      </w:r>
      <w:r w:rsidR="00732C35">
        <w:t>research and healthcare is adequate as it stands.</w:t>
      </w:r>
    </w:p>
    <w:p w14:paraId="00000059" w14:textId="6A07EFFD" w:rsidR="007436C6" w:rsidRDefault="00D4549A" w:rsidP="001342B3">
      <w:pPr>
        <w:spacing w:line="480" w:lineRule="auto"/>
        <w:ind w:firstLine="720"/>
      </w:pPr>
      <w:r>
        <w:t>Dotson reveals the features of an epistemology that influence its susceptibility to change.</w:t>
      </w:r>
      <w:r w:rsidR="001342B3">
        <w:t xml:space="preserve"> </w:t>
      </w:r>
      <w:r>
        <w:t>She first describes the “situatedness of knowers</w:t>
      </w:r>
      <w:r w:rsidR="00032B5F">
        <w:t>,</w:t>
      </w:r>
      <w:r>
        <w:t>” that is one’s social position within an epistemology and what one is “in a position to know” as a result (Dotson, 2014, p. 120). Closely tied in this deterministic approach is the “interdependence of our epistemic resources</w:t>
      </w:r>
      <w:r w:rsidR="0021560B">
        <w:t>,</w:t>
      </w:r>
      <w:r>
        <w:t>” specifically how one comes to know what they know by means of “shared epistemic resources</w:t>
      </w:r>
      <w:r w:rsidR="0021560B">
        <w:t>.</w:t>
      </w:r>
      <w:r>
        <w:t>” The final and crucial feature is the resilience of an epistemological system as this determines its ability to critically evaluate the exclusions it sustains. By Dotson’s argument, this resilience is correlated with how much disturbance the “stable domains” of a system can tolerate before it is forced to change (Dotson, 2014, p. 121). This concept of resilience is two-fold in relation to an insensitivity to friction often shielded by epistemic arrogance. Yet friction is essential for systems to radically change. My approach examines factors including medical, cultural, and structural gaslighting that I believe sustain this resilience and hinder progress in understanding and addressing the medical needs of minority populations.</w:t>
      </w:r>
    </w:p>
    <w:p w14:paraId="0000005A" w14:textId="420CF969" w:rsidR="007436C6" w:rsidRDefault="00D4549A">
      <w:pPr>
        <w:spacing w:line="480" w:lineRule="auto"/>
        <w:ind w:firstLine="720"/>
        <w:rPr>
          <w:highlight w:val="yellow"/>
        </w:rPr>
      </w:pPr>
      <w:r>
        <w:t>The clearest evidence of this epistemic oppression lies in persistent data generalizations in research that widen the gap between marginalized populations and a comprehensive understanding of their conditions and appropriate interventions. Put simply, clinical research is not framed to match the populations it is meant to serve. Despite ethnic minorities comprising nearly 40% of the U.S. population, they remain blatantly underrepresented in clinical trials (Jensen et al., 2021). Approximately 75% of clinical trial participants are white, an ethically concerning and avoidable disparity that poses a substantial hindrance to achieving medical equity (</w:t>
      </w:r>
      <w:r>
        <w:rPr>
          <w:i/>
        </w:rPr>
        <w:t xml:space="preserve">Why It’s Vital That All People — Including People of Color — Take Part in Clinical Research </w:t>
      </w:r>
      <w:r>
        <w:rPr>
          <w:i/>
        </w:rPr>
        <w:lastRenderedPageBreak/>
        <w:t>Studies</w:t>
      </w:r>
      <w:r>
        <w:t>, n.d.). According to Scientific American, Black Americans are “more likely to suffer from respiratory ailments than white Americans are; however, as of 2015, only 1.9 percent of all studies of respiratory disease included minority subjects” (THE EDITORS, 2018). This disparity highlights not just a lack of attention to a minority population but also demonstrates a systemic void that, while not the root cause</w:t>
      </w:r>
      <w:r w:rsidR="0021560B">
        <w:t xml:space="preserve"> of</w:t>
      </w:r>
      <w:r>
        <w:t>, further exacerbates existing inequities. Beyond analyzing this significant epistemic gap, I will draw attention to the consequences of excluding minorities from the opportunity to contribute to data that captures these nuances.</w:t>
      </w:r>
    </w:p>
    <w:p w14:paraId="0000005B" w14:textId="4D8EA2D0" w:rsidR="007436C6" w:rsidRDefault="00D4549A">
      <w:pPr>
        <w:spacing w:line="480" w:lineRule="auto"/>
        <w:ind w:firstLine="720"/>
      </w:pPr>
      <w:r>
        <w:t>In the intimate physician-patient interactions, we see the mark of epistemic oppression. In the dismissal of patient testimony, healthcare systems withhold knowledge from minority communities, namely in their capability to express valid concern about their own bodies and partake in decision-making for appropriate next steps. This suppression of independent thought and confidence in one's own judgement is central to gaslighting, which Elena Ruíz defines as “a structural phenomenon that upholds interpersonal and institutional modes of mental abuse in settler colonial societies” (Ruíz, 2020, p. 688). She emphasizes that this intentional technique creates disproportionate harm based on the subject's position within the social structure or system (</w:t>
      </w:r>
      <w:r w:rsidR="0021560B">
        <w:rPr>
          <w:iCs/>
        </w:rPr>
        <w:t>Berenstain</w:t>
      </w:r>
      <w:r w:rsidRPr="000A02EE">
        <w:rPr>
          <w:iCs/>
        </w:rPr>
        <w:t>, 2025</w:t>
      </w:r>
      <w:r>
        <w:t>; Berenstain et al., 2022; Ruíz, 2020, p. 688). In focusing on minority populations, several forms of gaslighting serve as markers of the complexities of intersectionality. One primary identity that has defined such experiences and inequities of oppression is the “sociopolitical construct” of race (Opara et al</w:t>
      </w:r>
      <w:r w:rsidR="001B3E6E">
        <w:t>.</w:t>
      </w:r>
      <w:r>
        <w:t xml:space="preserve">, 2021, p. 225). </w:t>
      </w:r>
    </w:p>
    <w:p w14:paraId="00000064" w14:textId="3391D399" w:rsidR="007436C6" w:rsidRPr="00453382" w:rsidRDefault="00D4549A" w:rsidP="00453382">
      <w:pPr>
        <w:spacing w:line="480" w:lineRule="auto"/>
        <w:ind w:firstLine="720"/>
      </w:pPr>
      <w:r>
        <w:t xml:space="preserve">It is no coincidence that the victims of epistemic oppression in this context are of African descent. The exploitation of Indigenous and African peoples (among others) has been not only systemic but rooted in false biological demarcation meant to legitimize their subjugation. Though </w:t>
      </w:r>
      <w:r w:rsidR="00381606">
        <w:t>the</w:t>
      </w:r>
      <w:r>
        <w:t xml:space="preserve"> notion of blatant “physical, sociocultural, intellectual, and spiritual inferiority” may </w:t>
      </w:r>
      <w:r>
        <w:lastRenderedPageBreak/>
        <w:t>seem outdated, this attribution is the cornerstone of racism that bled into scientific biological taxonomy (Bolnick, 2008; Opara et al</w:t>
      </w:r>
      <w:r w:rsidR="001B3E6E">
        <w:t>.</w:t>
      </w:r>
      <w:r>
        <w:t>, 2021, p. 225). Thus</w:t>
      </w:r>
      <w:r w:rsidR="0021560B">
        <w:t>,</w:t>
      </w:r>
      <w:r>
        <w:t xml:space="preserve"> the belief in the existence of multiple races and subsequent racialized biological differences to explain varying disease outcomes is a very present and stubborn force in modern medicine, shaping teaching and research. With this in consideration, we understand that the underrepresentation is not an isolated trend. Scientific racism’s legacy persists as its pernicious role in the </w:t>
      </w:r>
      <w:r w:rsidR="00326B94">
        <w:t>pathologization,</w:t>
      </w:r>
      <w:r>
        <w:t xml:space="preserve"> and dehumanization of Black bodies has become more palatable, now reflected in the misinterpretation of ‘race-based’ findings that ignore structural contexts and intersecting factors such as “gender, sexuality, class, and migration” (Opara et al</w:t>
      </w:r>
      <w:r w:rsidR="001B3E6E">
        <w:t>.</w:t>
      </w:r>
      <w:r>
        <w:t xml:space="preserve">, 2021, p. 226). Thus, settler colonial governance is exceedingly relevant to this discussion of East African immigrants' epistemic and social positioning </w:t>
      </w:r>
      <w:r w:rsidR="00FD2E0C">
        <w:t>regarding</w:t>
      </w:r>
      <w:r>
        <w:t xml:space="preserve"> healthcare, as well as the harms they frequently endure.</w:t>
      </w:r>
    </w:p>
    <w:p w14:paraId="00000065" w14:textId="77777777" w:rsidR="007436C6" w:rsidRDefault="00D4549A">
      <w:pPr>
        <w:spacing w:line="480" w:lineRule="auto"/>
        <w:ind w:firstLine="720"/>
        <w:rPr>
          <w:b/>
          <w:i/>
        </w:rPr>
      </w:pPr>
      <w:r>
        <w:rPr>
          <w:b/>
          <w:i/>
        </w:rPr>
        <w:t>1.3 The Silence around East African Immigrant Health</w:t>
      </w:r>
    </w:p>
    <w:p w14:paraId="00000066" w14:textId="19453A84" w:rsidR="007436C6" w:rsidRDefault="00D4549A">
      <w:pPr>
        <w:spacing w:line="480" w:lineRule="auto"/>
      </w:pPr>
      <w:r>
        <w:tab/>
        <w:t>While African immigrants only constitute 5% of U.S. immigrants, Black immigration from East African countries such as Kenya, Ethiopia, and Somalia has surged over the last 25 years, growing by “348%, 300%, and 205%,” respectively (Commodore-Mensah et al</w:t>
      </w:r>
      <w:r w:rsidR="001B3E6E">
        <w:t>.</w:t>
      </w:r>
      <w:r>
        <w:t>, 2019; Tamir, 2022). Yet, as the African immigrant population has nearly doubled in the last five decades, research has not been nearly up to speed in capturing their health needs (Commodore-Mensah et al</w:t>
      </w:r>
      <w:r w:rsidR="001B3E6E">
        <w:t>.</w:t>
      </w:r>
      <w:r>
        <w:t>, 2019; Murray et al</w:t>
      </w:r>
      <w:r w:rsidR="001B3E6E">
        <w:t>.</w:t>
      </w:r>
      <w:r>
        <w:t xml:space="preserve">, 2013). East African immigrants are often overlooked in clinical studies, leaving researchers with limited understanding of their unique health challenges and insufficient guidance on how to engage them in studies that account for their distinct contextual and genetic variations from African Americans. To a degree, this should not be the case with the current state of Western medicine. </w:t>
      </w:r>
    </w:p>
    <w:p w14:paraId="00000067" w14:textId="04A1B36D" w:rsidR="007436C6" w:rsidRDefault="00D4549A">
      <w:pPr>
        <w:spacing w:line="480" w:lineRule="auto"/>
        <w:ind w:firstLine="720"/>
      </w:pPr>
      <w:r>
        <w:lastRenderedPageBreak/>
        <w:t>Immigrants are often a vulnerable population due to “trauma related to violence, economic, or political instability and immigration status” (Commodore-Mensah et al</w:t>
      </w:r>
      <w:r w:rsidR="001B3E6E">
        <w:t>.</w:t>
      </w:r>
      <w:r>
        <w:t>, 2019, p. 619). Physicians and researchers alike are familiar with the effects of “pathologies of social systems” and how “high-stress, resource-poor environments can produce risk factors for disease that last for generations</w:t>
      </w:r>
      <w:r w:rsidR="00FD2E0C">
        <w:t>,</w:t>
      </w:r>
      <w:r>
        <w:t>”</w:t>
      </w:r>
      <w:r w:rsidR="00FD2E0C">
        <w:t xml:space="preserve"> </w:t>
      </w:r>
      <w:r>
        <w:t>potentially manifesting with immediate, “unintentional psychological harm during research participation” (Metzl &amp; Hansen, 2014, p. 4; Commodore-Mensah et</w:t>
      </w:r>
      <w:r w:rsidR="001B3E6E">
        <w:t xml:space="preserve"> </w:t>
      </w:r>
      <w:r>
        <w:t>al</w:t>
      </w:r>
      <w:r w:rsidR="001B3E6E">
        <w:t>.</w:t>
      </w:r>
      <w:r>
        <w:t>, 2019, p. 619). Though this does not describe the experience of every immigrant, the correlation between “diseased or impoverished” infrastructures and “imbalanced bodies or minds” demonstrates a parallel that should be emphasized when studying these populations. The unutilized capacity of this understanding comes to light when immigrants along with other marginalized communities exhibit these symptoms. The reality of “racialized, stratified” infrastructures are obscured while the symptoms are reductively attributed to race (Metzl &amp; Hansen, 2014, p. 4).</w:t>
      </w:r>
    </w:p>
    <w:p w14:paraId="00000068" w14:textId="75110EF9" w:rsidR="007436C6" w:rsidRDefault="00D4549A">
      <w:pPr>
        <w:spacing w:line="480" w:lineRule="auto"/>
        <w:ind w:firstLine="720"/>
      </w:pPr>
      <w:r>
        <w:t>In consideration of African immigrant populations, their identities as African, American, and immigrants in an excessively racialized country contribute to a certain ambiguity in how they are perceived. As aforementioned and supported in “Health and Prevention among East African Women in the US</w:t>
      </w:r>
      <w:r w:rsidR="00FD2E0C">
        <w:t>,</w:t>
      </w:r>
      <w:r>
        <w:t>” there is little research on African immigrants in comparison to others such as Southeast Asian and Latino groups (Murray et al</w:t>
      </w:r>
      <w:r w:rsidR="001B3E6E">
        <w:t>.</w:t>
      </w:r>
      <w:r>
        <w:t>, 2013). This is an incontestable limitation as the healthcare needs of immigrants are not homogenous. Similarly, viewing the Black population as a monolith is common but problematic as it blurs the distinctions that exist in their health outcomes and health beliefs (</w:t>
      </w:r>
      <w:proofErr w:type="spellStart"/>
      <w:r>
        <w:t>Omenka</w:t>
      </w:r>
      <w:proofErr w:type="spellEnd"/>
      <w:r>
        <w:t xml:space="preserve"> et al</w:t>
      </w:r>
      <w:r w:rsidR="001B3E6E">
        <w:t>.</w:t>
      </w:r>
      <w:r>
        <w:t>, 2020). Yet, relatively consistent in African-born populations is a hesitance towards research involvement and general distrust of the healthcare system (Commodore-Mensah et al</w:t>
      </w:r>
      <w:r w:rsidR="001B3E6E">
        <w:t>.</w:t>
      </w:r>
      <w:r>
        <w:t xml:space="preserve">, 2019). This stems partly from the exploitative </w:t>
      </w:r>
      <w:r>
        <w:lastRenderedPageBreak/>
        <w:t xml:space="preserve">history of Western medicine towards Black Americans, but also in extrapolating from the negative experiences of both immigrants and Black people in “personal and public domains” (Ruíz, 2020; </w:t>
      </w:r>
      <w:proofErr w:type="spellStart"/>
      <w:r>
        <w:t>Omenka</w:t>
      </w:r>
      <w:proofErr w:type="spellEnd"/>
      <w:r>
        <w:t xml:space="preserve"> et al</w:t>
      </w:r>
      <w:r w:rsidR="001B3E6E">
        <w:t>.</w:t>
      </w:r>
      <w:r>
        <w:t>, 2020). Existing at the intersection of these targeted identities fuels justified doubt that their wellbeing is valued or even considered in both general and medical contexts.</w:t>
      </w:r>
    </w:p>
    <w:p w14:paraId="00000069" w14:textId="63D70374" w:rsidR="007436C6" w:rsidRDefault="00D4549A">
      <w:pPr>
        <w:spacing w:line="480" w:lineRule="auto"/>
        <w:ind w:firstLine="720"/>
      </w:pPr>
      <w:r>
        <w:t xml:space="preserve">This hesitation is reflected in apprehensive beliefs, reinforced by tangible barriers to East African immigrants’ engagement with the healthcare system. One key variant is the understanding of when and why to seek medical care. In many of these countries, </w:t>
      </w:r>
      <w:r w:rsidR="0037056B">
        <w:t>doctors’</w:t>
      </w:r>
      <w:r>
        <w:t xml:space="preserve"> visits and some prescription medications are often viewed as a last resort, reserved for serious, worsening conditions that hinder day-to-day activities (</w:t>
      </w:r>
      <w:proofErr w:type="spellStart"/>
      <w:r>
        <w:t>Omenka</w:t>
      </w:r>
      <w:proofErr w:type="spellEnd"/>
      <w:r>
        <w:t xml:space="preserve"> et al</w:t>
      </w:r>
      <w:r w:rsidR="001B3E6E">
        <w:t>.</w:t>
      </w:r>
      <w:r>
        <w:t>, 2020). The logic is: why uncover an expensive problem if you don’t feel sick? This mindset contrasts sharply with Western medical norms, which emphasize seeking care at the earliest signs of illness (Murray et al</w:t>
      </w:r>
      <w:r w:rsidR="001B3E6E">
        <w:t>.</w:t>
      </w:r>
      <w:r>
        <w:t xml:space="preserve">, 2013). </w:t>
      </w:r>
    </w:p>
    <w:p w14:paraId="0000006A" w14:textId="77777777" w:rsidR="007436C6" w:rsidRDefault="00D4549A">
      <w:pPr>
        <w:spacing w:line="480" w:lineRule="auto"/>
        <w:ind w:firstLine="720"/>
      </w:pPr>
      <w:r>
        <w:t>At the heart of this divergence is the deeply rooted epistemology of traditional self-care practices and norms, which have long been used to independently manage certain illnesses and health concerns. Consequently, the prolonged and often aggressive management of chronic illnesses common in the United States may appear “counterintuitive” to these individuals from</w:t>
      </w:r>
      <w:r>
        <w:rPr>
          <w:highlight w:val="yellow"/>
        </w:rPr>
        <w:t xml:space="preserve"> </w:t>
      </w:r>
      <w:r>
        <w:t xml:space="preserve">prevention-oriented communities, particularly when there are gaps in recognizing early symptoms. This prevention and implementation of at-home remedies is dependent on a knowledge of common signs and symptoms of diseases. However, in a new environment full of unfamiliar diseases, accurate, comprehensive health knowledge of this sort is difficult to find. These epistemic differences are compounded by practical and systemic barriers. </w:t>
      </w:r>
    </w:p>
    <w:p w14:paraId="0000006B" w14:textId="625BEAF3" w:rsidR="007436C6" w:rsidRDefault="00D4549A">
      <w:pPr>
        <w:spacing w:line="480" w:lineRule="auto"/>
        <w:ind w:firstLine="720"/>
      </w:pPr>
      <w:r>
        <w:lastRenderedPageBreak/>
        <w:t xml:space="preserve">One study focusing on “Health and Prevention among East African women” identified several critical challenges including language difficulties and insufficient interpretation, misunderstanding </w:t>
      </w:r>
      <w:r w:rsidR="00376D9D">
        <w:t>regarding</w:t>
      </w:r>
      <w:r>
        <w:t xml:space="preserve"> screening importance, and lack of transportation (Murray et al</w:t>
      </w:r>
      <w:r w:rsidR="001B3E6E">
        <w:t>.</w:t>
      </w:r>
      <w:r>
        <w:t>, 2013, p. 2). Additionally, the study identified “concerns regarding female gen</w:t>
      </w:r>
      <w:r w:rsidR="00EC1618">
        <w:t>i</w:t>
      </w:r>
      <w:r>
        <w:t xml:space="preserve">talia mutilation” and a preference for “gender concordance between doctor and </w:t>
      </w:r>
      <w:r w:rsidR="00140C2A">
        <w:t>patient” --</w:t>
      </w:r>
      <w:r>
        <w:t xml:space="preserve">two </w:t>
      </w:r>
      <w:r w:rsidR="00140C2A">
        <w:t>culturally rooted</w:t>
      </w:r>
      <w:r>
        <w:t xml:space="preserve"> factors. The former reflects a genuine fear among immigrant women, particularly in contexts where FGM has been medicalized in parts of Africa, while the latter stems from a desire for privacy and concerns about social perception. Together, these highlight how </w:t>
      </w:r>
      <w:r w:rsidR="00140C2A">
        <w:t>culturally influenced</w:t>
      </w:r>
      <w:r>
        <w:t xml:space="preserve"> experiences shape medical decisions and reflect the potential stigma associated with healthcare interactions. </w:t>
      </w:r>
    </w:p>
    <w:p w14:paraId="00000077" w14:textId="78E773F6" w:rsidR="007436C6" w:rsidRPr="00486327" w:rsidRDefault="00D4549A" w:rsidP="00486327">
      <w:pPr>
        <w:spacing w:line="480" w:lineRule="auto"/>
        <w:ind w:firstLine="720"/>
      </w:pPr>
      <w:r>
        <w:t>Altogether, these factors are indicative of a growing disconnect between patient and physician which, while not directly casual, correlates with a higher proportional incidence of chronic disease among African migrant populations. Cancer</w:t>
      </w:r>
      <w:r w:rsidR="00FD2E0C">
        <w:t xml:space="preserve"> </w:t>
      </w:r>
      <w:proofErr w:type="gramStart"/>
      <w:r>
        <w:t>in particular has</w:t>
      </w:r>
      <w:proofErr w:type="gramEnd"/>
      <w:r>
        <w:t xml:space="preserve"> shown increased incidence and disproportionately high mortality rates. This disparity underscores the tangible consequences of low engagement with early preventative screening for largely preventable diseases. Further discouraging engagement are reports of culturally insensitive care, expensive care, complexity of the system and insurance, and unwelcoming provider attitudes. Hence, this misalignment between patient and physician demonstrates a population’s dire need for health literacy while revealing the deficiencies of a system that cannot seem to appropriately respond. While these challenges are not unique to East African immigrant populations, they offer valuable perspectives on health beliefs and care-seeking behavior that influence the progression and treatment of illness. In such a strained and seemingly incompatible relationship, East African </w:t>
      </w:r>
      <w:r>
        <w:lastRenderedPageBreak/>
        <w:t xml:space="preserve">immigrant patients are left vulnerable as victims of epistemic oppression, where their hesitations are devalued and their care is compromised. </w:t>
      </w:r>
    </w:p>
    <w:p w14:paraId="00000078" w14:textId="77777777" w:rsidR="007436C6" w:rsidRDefault="00D4549A">
      <w:pPr>
        <w:spacing w:line="480" w:lineRule="auto"/>
        <w:ind w:firstLine="720"/>
        <w:rPr>
          <w:b/>
          <w:i/>
        </w:rPr>
      </w:pPr>
      <w:r>
        <w:rPr>
          <w:b/>
          <w:i/>
        </w:rPr>
        <w:t>1.4 Testimony vs. Evidence</w:t>
      </w:r>
    </w:p>
    <w:p w14:paraId="00000079" w14:textId="3A48977F" w:rsidR="007436C6" w:rsidRDefault="00D4549A">
      <w:pPr>
        <w:spacing w:line="480" w:lineRule="auto"/>
      </w:pPr>
      <w:r>
        <w:tab/>
        <w:t xml:space="preserve">This paper was inspired by a unique and personal case study that I found fascinating as a future physician and East African myself. Within a small, Eritrean church community of approximately 50 families, several families have reported observing autistic-like </w:t>
      </w:r>
      <w:r w:rsidR="006D5066">
        <w:t>traits</w:t>
      </w:r>
      <w:r>
        <w:t xml:space="preserve"> in their children that appeared after routine childhood vaccinations over the past eight to ten years. While these accounts are anecdotal and do not establish causation, they reflect community-level perceptions that may influence healthcare decision-making and overall trust in vaccination practices. Every parent among this group is an immigrant with </w:t>
      </w:r>
      <w:proofErr w:type="gramStart"/>
      <w:r>
        <w:t>the vast majority of</w:t>
      </w:r>
      <w:proofErr w:type="gramEnd"/>
      <w:r>
        <w:t xml:space="preserve"> their children born in the United States. Thus, there is a noted unfamiliarity with these vaccines in that regard; however, parents observed a clear difference compared to the vaccination process experienced with their older kids. </w:t>
      </w:r>
    </w:p>
    <w:p w14:paraId="0000007A" w14:textId="432C7B52" w:rsidR="007436C6" w:rsidRDefault="00D4549A">
      <w:pPr>
        <w:spacing w:line="480" w:lineRule="auto"/>
      </w:pPr>
      <w:r>
        <w:tab/>
        <w:t xml:space="preserve">In one testimonial, parents recalled the vaccination process as distressing from the start. Their </w:t>
      </w:r>
      <w:r w:rsidR="0037056B">
        <w:t>18-month-old</w:t>
      </w:r>
      <w:r>
        <w:t xml:space="preserve"> daughter had been meeting developmental milestones, speaking and responding to simple commands. As she was administered the MMR, Hepatitis A (</w:t>
      </w:r>
      <w:proofErr w:type="spellStart"/>
      <w:r>
        <w:t>HepA</w:t>
      </w:r>
      <w:proofErr w:type="spellEnd"/>
      <w:r>
        <w:t xml:space="preserve">) and consecutive vaccines, she developed recurring high fevers that lasted for three days at a time. However, they proceeded with the vaccinations as doctors assured them that this was a natural side effect as the body developed an immune response. The parents grew exceedingly alarmed in the following months when they observed a significant decline in her verbal communication, to the point where she was nonverbal, a condition that has persisted in the years since. Though healthcare providers expressed </w:t>
      </w:r>
      <w:r w:rsidR="00140E07">
        <w:t>that the</w:t>
      </w:r>
      <w:r>
        <w:t xml:space="preserve"> vaccination period coincided with the 2-3 age when </w:t>
      </w:r>
      <w:r w:rsidR="00A84052">
        <w:t>children may</w:t>
      </w:r>
      <w:r w:rsidR="005D6297">
        <w:t xml:space="preserve"> </w:t>
      </w:r>
      <w:r w:rsidR="00A84052">
        <w:t>lose</w:t>
      </w:r>
      <w:r w:rsidR="005D6297">
        <w:t xml:space="preserve"> certain skills</w:t>
      </w:r>
      <w:r w:rsidR="00A84052">
        <w:t xml:space="preserve"> and symptoms of autism may appear</w:t>
      </w:r>
      <w:r>
        <w:t>, the parents remained wary</w:t>
      </w:r>
      <w:r w:rsidR="00A56C17">
        <w:t xml:space="preserve"> </w:t>
      </w:r>
      <w:r w:rsidR="00A56C17">
        <w:lastRenderedPageBreak/>
        <w:t>(Mayo Clinic, 2025). L</w:t>
      </w:r>
      <w:r>
        <w:t xml:space="preserve">ike many in the community, sought Eritrean doctors and online support groups with other parents who had reported similar experiences.  </w:t>
      </w:r>
    </w:p>
    <w:p w14:paraId="0000007B" w14:textId="77777777" w:rsidR="007436C6" w:rsidRDefault="00D4549A">
      <w:pPr>
        <w:spacing w:line="480" w:lineRule="auto"/>
        <w:ind w:firstLine="720"/>
      </w:pPr>
      <w:r>
        <w:t>Some community members, drawing upon their backgrounds as nurses, speculated that their experiences could be linked to the new generation of vaccine combinations introduced in 2011. This prior exposure and education within the healthcare field significantly shapes their impact in this specific case. First, health literacy is not the central issue at hand as these parents are trained health care providers with medical knowledge far greater than the average person. Second, as both advocates for their children and practitioners administering care, they hold a dual stake in the system. As their perceptions of medicine’s limitations and possibilities evolve as recipients, their confidence in the care they deliver professionally is susceptible to influence. This makes it essential to address the potential consequences of such disconnect, mitigating consequences for both their families and the patients they serve.</w:t>
      </w:r>
    </w:p>
    <w:p w14:paraId="0000007C" w14:textId="14A63C62" w:rsidR="007436C6" w:rsidRPr="00B45CA7" w:rsidRDefault="00D4549A" w:rsidP="00B45CA7">
      <w:pPr>
        <w:pStyle w:val="NormalWeb"/>
        <w:spacing w:before="0" w:beforeAutospacing="0" w:after="0" w:afterAutospacing="0" w:line="480" w:lineRule="auto"/>
        <w:ind w:firstLine="720"/>
      </w:pPr>
      <w:r>
        <w:t xml:space="preserve">Looking at the medical literature of today, </w:t>
      </w:r>
      <w:r w:rsidR="00192145">
        <w:t>extensive</w:t>
      </w:r>
      <w:r>
        <w:t xml:space="preserve"> studies have demonstrated evidence that shows that vaccines in routine use in this country are both safe and effective with no relationship to autism (Davidson, 2017). This myth began in 1998 when Andrew Wakefield, a now disgraced physician, published a study suggesting a “temporal” relationship between 12 vaccinated </w:t>
      </w:r>
      <w:r w:rsidRPr="005932A5">
        <w:t xml:space="preserve">children and “behavioral </w:t>
      </w:r>
      <w:r w:rsidR="00FE24B5" w:rsidRPr="005932A5">
        <w:t>regression</w:t>
      </w:r>
      <w:r w:rsidR="00094C65" w:rsidRPr="005932A5">
        <w:t xml:space="preserve"> and pervasive developmental disorder</w:t>
      </w:r>
      <w:r w:rsidRPr="005932A5">
        <w:t>” (</w:t>
      </w:r>
      <w:r w:rsidR="005932A5" w:rsidRPr="00965500">
        <w:rPr>
          <w:color w:val="2C3E50"/>
          <w:shd w:val="clear" w:color="auto" w:fill="FFFFFF"/>
        </w:rPr>
        <w:t xml:space="preserve">Rao &amp; Andrade, 2011). </w:t>
      </w:r>
      <w:r w:rsidRPr="005932A5">
        <w:t>This</w:t>
      </w:r>
      <w:r>
        <w:t xml:space="preserve"> connection was drawn by cherry-picking a handful of cases with no control group or regard for confounding factors, such as the age period of MMR (measles, mumps, rubella) vaccination coinciding with when symptoms of autism begin to emerge (</w:t>
      </w:r>
      <w:r>
        <w:rPr>
          <w:i/>
          <w:highlight w:val="white"/>
        </w:rPr>
        <w:t xml:space="preserve">The Evidence on Vaccines and Autism, </w:t>
      </w:r>
      <w:r>
        <w:rPr>
          <w:highlight w:val="white"/>
        </w:rPr>
        <w:t>2025). What gave this study further traction was the broader context: in the late 90’s, and still to this day, autism had been perceived as “increasing in incidence or prevalence,</w:t>
      </w:r>
      <w:r w:rsidR="00FD2E0C">
        <w:rPr>
          <w:highlight w:val="white"/>
        </w:rPr>
        <w:t>”</w:t>
      </w:r>
      <w:r>
        <w:rPr>
          <w:highlight w:val="white"/>
        </w:rPr>
        <w:t xml:space="preserve"> yet its underlying causes remain poorly understood. Thus</w:t>
      </w:r>
      <w:r w:rsidR="00EC1618">
        <w:rPr>
          <w:highlight w:val="white"/>
        </w:rPr>
        <w:t>,</w:t>
      </w:r>
      <w:r>
        <w:rPr>
          <w:highlight w:val="white"/>
        </w:rPr>
        <w:t xml:space="preserve"> as more vaccines were </w:t>
      </w:r>
      <w:r>
        <w:rPr>
          <w:highlight w:val="white"/>
        </w:rPr>
        <w:lastRenderedPageBreak/>
        <w:t>implemented to the schedule, it appeared to serve as the missing link for helpless parents. As many large-scale studies have been thoroughly carried out to ensure there is no connection, this proposed “link” lacks scientific integrity at its foundation. Researchers acknowledge the fact that the causes of autism remain unclear, but investigating presents a number of challenges: (a)</w:t>
      </w:r>
      <w:r w:rsidR="00B45CA7">
        <w:rPr>
          <w:highlight w:val="white"/>
        </w:rPr>
        <w:t xml:space="preserve"> t</w:t>
      </w:r>
      <w:r w:rsidR="006C5BC6">
        <w:rPr>
          <w:highlight w:val="white"/>
        </w:rPr>
        <w:t xml:space="preserve">hough this number is rising among varying vaccine series, about 2% of </w:t>
      </w:r>
      <w:r>
        <w:rPr>
          <w:highlight w:val="white"/>
        </w:rPr>
        <w:t xml:space="preserve">American children are unvaccinated making comparative studies difficult, (b) several confounding variables such as general use of medicine and health care </w:t>
      </w:r>
      <w:r w:rsidR="007F415B">
        <w:rPr>
          <w:highlight w:val="white"/>
        </w:rPr>
        <w:t xml:space="preserve">services </w:t>
      </w:r>
      <w:r>
        <w:rPr>
          <w:highlight w:val="white"/>
        </w:rPr>
        <w:t xml:space="preserve">complicate the analysis and (c) the issue ranks lower in research priority </w:t>
      </w:r>
      <w:r w:rsidR="007F415B">
        <w:rPr>
          <w:highlight w:val="white"/>
        </w:rPr>
        <w:t>as an already extensively studied condition in comparison to others</w:t>
      </w:r>
      <w:r w:rsidR="0024368C">
        <w:rPr>
          <w:highlight w:val="white"/>
        </w:rPr>
        <w:t xml:space="preserve"> </w:t>
      </w:r>
      <w:r w:rsidR="00B45CA7">
        <w:rPr>
          <w:highlight w:val="white"/>
        </w:rPr>
        <w:t xml:space="preserve">(Hill et </w:t>
      </w:r>
      <w:r w:rsidR="001B3E6E">
        <w:rPr>
          <w:highlight w:val="white"/>
        </w:rPr>
        <w:t>al.,</w:t>
      </w:r>
      <w:r w:rsidR="00B45CA7">
        <w:rPr>
          <w:highlight w:val="white"/>
        </w:rPr>
        <w:t xml:space="preserve"> 2024)</w:t>
      </w:r>
      <w:r>
        <w:rPr>
          <w:highlight w:val="white"/>
        </w:rPr>
        <w:t>.</w:t>
      </w:r>
    </w:p>
    <w:p w14:paraId="0000007F" w14:textId="390242EF" w:rsidR="007436C6" w:rsidRDefault="00D4549A" w:rsidP="00486327">
      <w:pPr>
        <w:spacing w:line="480" w:lineRule="auto"/>
        <w:ind w:firstLine="720"/>
        <w:rPr>
          <w:highlight w:val="white"/>
        </w:rPr>
      </w:pPr>
      <w:r>
        <w:rPr>
          <w:highlight w:val="white"/>
        </w:rPr>
        <w:t xml:space="preserve">With this scientific knowledge in mind, we understand </w:t>
      </w:r>
      <w:r>
        <w:t>the physician's perspective w</w:t>
      </w:r>
      <w:r>
        <w:rPr>
          <w:highlight w:val="white"/>
        </w:rPr>
        <w:t>hen met with these concerns. What complicates this issue is the fact that this understanding is likely common ground with health providers within the Eritrean community. Regardless, this background knowledge is often insufficient in relieving their seemingly contradictory, though legitimate, experiences. Given how repeatedly and long ago this myth was debunked, it is often regarded as one of the more implausible or irrational medical misconceptions. In this instance, parents expressing these worries often encounter dismissive reactions. This dynamic is further strained by communication breakdowns and shortcomings on both the patients’ and providers’ sides. Many have reported to experience minimization of their symptoms and even shaming for questioning the safety of these vaccines. The latter is a phenomen</w:t>
      </w:r>
      <w:r w:rsidR="00EC1618">
        <w:rPr>
          <w:highlight w:val="white"/>
        </w:rPr>
        <w:t>on</w:t>
      </w:r>
      <w:r>
        <w:rPr>
          <w:highlight w:val="white"/>
        </w:rPr>
        <w:t xml:space="preserve"> that I will discuss later, particularly in its inefficacy. Their concerns are often disregarded as illegitimate, a pattern seen beyond vaccine hesitancy. To navigate the healthcare system, many rely on more experienced community members who help them advocate for themselves, communicate their symptoms and </w:t>
      </w:r>
      <w:r>
        <w:rPr>
          <w:highlight w:val="white"/>
        </w:rPr>
        <w:lastRenderedPageBreak/>
        <w:t xml:space="preserve">bridge language gaps. This mitigating factor is insufficient to ease the sense of rejection felt by parents whose worries are left completely unsettled and their realities deemed invalid. </w:t>
      </w:r>
    </w:p>
    <w:p w14:paraId="12DE247B" w14:textId="6F2A3914" w:rsidR="006606A1" w:rsidRDefault="006606A1">
      <w:pPr>
        <w:spacing w:line="276" w:lineRule="auto"/>
        <w:rPr>
          <w:highlight w:val="white"/>
        </w:rPr>
      </w:pPr>
      <w:r>
        <w:rPr>
          <w:highlight w:val="white"/>
        </w:rPr>
        <w:br w:type="page"/>
      </w:r>
    </w:p>
    <w:p w14:paraId="00000080" w14:textId="404755D3" w:rsidR="007436C6" w:rsidRDefault="00486327">
      <w:pPr>
        <w:spacing w:line="480" w:lineRule="auto"/>
        <w:jc w:val="center"/>
        <w:rPr>
          <w:b/>
        </w:rPr>
      </w:pPr>
      <w:r>
        <w:rPr>
          <w:b/>
        </w:rPr>
        <w:lastRenderedPageBreak/>
        <w:t>SECTION 2.1 THE HEALTH COSTS OF MEDICAL DISBELIEF</w:t>
      </w:r>
    </w:p>
    <w:p w14:paraId="00000081" w14:textId="486741F6" w:rsidR="007436C6" w:rsidRDefault="00D4549A">
      <w:pPr>
        <w:spacing w:line="480" w:lineRule="auto"/>
        <w:ind w:firstLine="720"/>
        <w:rPr>
          <w:highlight w:val="white"/>
        </w:rPr>
      </w:pPr>
      <w:r>
        <w:rPr>
          <w:highlight w:val="white"/>
        </w:rPr>
        <w:t xml:space="preserve">Though this case is distinctive, the underlying bias and tone-deaf elements of these dismissive experiences are dangerous, familiar, and intensified by membership in multiple minority communities. Now that we have familiarized ourselves with the positioning of East Africans within the healthcare system, we can analyze the corresponding harm of gaslighting that continues to sustain their exclusion, along with other minorities, by structural and interpersonal modes </w:t>
      </w:r>
      <w:r>
        <w:t>(Berenstain, 2025; Berenstain et al</w:t>
      </w:r>
      <w:r w:rsidR="001B3E6E">
        <w:t>.</w:t>
      </w:r>
      <w:r>
        <w:t>, 2021; Ruíz, 2020)</w:t>
      </w:r>
      <w:r>
        <w:rPr>
          <w:highlight w:val="white"/>
        </w:rPr>
        <w:t xml:space="preserve">. This suppression of independent thought is captured by medical, structural, and cultural gaslighting and continues to be a method of sustenance for </w:t>
      </w:r>
      <w:proofErr w:type="spellStart"/>
      <w:r>
        <w:rPr>
          <w:highlight w:val="white"/>
        </w:rPr>
        <w:t>unreflexive</w:t>
      </w:r>
      <w:proofErr w:type="spellEnd"/>
      <w:r>
        <w:rPr>
          <w:highlight w:val="white"/>
        </w:rPr>
        <w:t xml:space="preserve"> </w:t>
      </w:r>
      <w:r w:rsidR="00D1188F">
        <w:rPr>
          <w:highlight w:val="white"/>
        </w:rPr>
        <w:t xml:space="preserve">epistemological </w:t>
      </w:r>
      <w:r>
        <w:rPr>
          <w:highlight w:val="white"/>
        </w:rPr>
        <w:t>systems at the cost of minority populations.</w:t>
      </w:r>
    </w:p>
    <w:p w14:paraId="00000082" w14:textId="76EA0C84" w:rsidR="007436C6" w:rsidRDefault="00D4549A">
      <w:pPr>
        <w:spacing w:line="480" w:lineRule="auto"/>
        <w:ind w:firstLine="720"/>
        <w:rPr>
          <w:highlight w:val="white"/>
        </w:rPr>
      </w:pPr>
      <w:r>
        <w:rPr>
          <w:highlight w:val="white"/>
        </w:rPr>
        <w:t xml:space="preserve"> As defined before by Elena </w:t>
      </w:r>
      <w:r>
        <w:t>Ruíz</w:t>
      </w:r>
      <w:r>
        <w:rPr>
          <w:highlight w:val="white"/>
        </w:rPr>
        <w:t>, the structural phenomenon of gaslighting is a violent, carefully directed tactic meant to skew one’s perception of their own experiences through “organized failures of understanding” (</w:t>
      </w:r>
      <w:r>
        <w:t>Ruíz, 2020, p. 689). These “organized failures of understanding” are pronounced on various scales from the quiet suppression of testimony to “robust frameworks” full of self-preserving, cultural “insights” that tell the wounded and oppressed, “You’ve got it all wrong, this is what you are truly experiencing</w:t>
      </w:r>
      <w:r w:rsidR="00C87574">
        <w:t>.</w:t>
      </w:r>
      <w:r>
        <w:t xml:space="preserve">” Medical gaslighting is a means by which such credibility is withheld from marginalized communities.   </w:t>
      </w:r>
    </w:p>
    <w:p w14:paraId="00000083" w14:textId="6DD68406" w:rsidR="007436C6" w:rsidRDefault="00D4549A">
      <w:pPr>
        <w:spacing w:line="480" w:lineRule="auto"/>
        <w:ind w:firstLine="720"/>
      </w:pPr>
      <w:r>
        <w:rPr>
          <w:highlight w:val="white"/>
        </w:rPr>
        <w:t>Medical gaslighting has recently been coined to describe this experience that resonates strongly with women and people of color (</w:t>
      </w:r>
      <w:r w:rsidR="005B788E">
        <w:rPr>
          <w:highlight w:val="white"/>
        </w:rPr>
        <w:t>Isaac KS Ng et al.</w:t>
      </w:r>
      <w:r>
        <w:rPr>
          <w:highlight w:val="white"/>
        </w:rPr>
        <w:t xml:space="preserve">, 2022). This phrase </w:t>
      </w:r>
      <w:r w:rsidR="00FD2E0C">
        <w:rPr>
          <w:highlight w:val="white"/>
        </w:rPr>
        <w:t>has</w:t>
      </w:r>
      <w:r>
        <w:rPr>
          <w:highlight w:val="white"/>
        </w:rPr>
        <w:t xml:space="preserve"> faced skepticism on its emotionally charged nature and has seen an uptick in everyday, often hyperbolic use, making it difficult to characterize precisely in clinical terms. Nonetheless, medical gaslighting is a dominating feature of resilience in the healthcare system by design, an obstruction to the elevation of specific voices that are silenced for the benefit of other populations. </w:t>
      </w:r>
      <w:r>
        <w:t xml:space="preserve">Ruíz describes this as “having one’s experience of illness marginalized” by a </w:t>
      </w:r>
      <w:r>
        <w:lastRenderedPageBreak/>
        <w:t>healthcare provider, commonly understood in the interpersonal sense by the downplaying of one’s symptoms often with psychological manipulation</w:t>
      </w:r>
      <w:r>
        <w:rPr>
          <w:highlight w:val="white"/>
        </w:rPr>
        <w:t xml:space="preserve"> (</w:t>
      </w:r>
      <w:r>
        <w:t>Ruíz, 2020, p. 689). She emphasizes that the “reductive” yet common understanding of medical gaslighting remains fixed on the intimate interactions within the patient’s room, overlooking the compounding effects of various, macro-level intersectional oppressions with detrimental harms.</w:t>
      </w:r>
    </w:p>
    <w:p w14:paraId="00000084" w14:textId="3ADB97BE" w:rsidR="007436C6" w:rsidRDefault="00D4549A">
      <w:pPr>
        <w:spacing w:line="480" w:lineRule="auto"/>
        <w:ind w:firstLine="720"/>
      </w:pPr>
      <w:r>
        <w:t xml:space="preserve">A frequently reported experience by women of color is the misattribution of physical symptoms or pain to anxiety or mental health disorders. This is not a novel injustice but a testament to the “exploitative history of medical experimentation on Black Americans” that has laid the enduring foundation of mistrust for non-white populations for centuries </w:t>
      </w:r>
      <w:r>
        <w:rPr>
          <w:highlight w:val="white"/>
        </w:rPr>
        <w:t>(</w:t>
      </w:r>
      <w:r>
        <w:t>Ruíz, 2020, p. 691). Modern-day medical school education has not been entirely cleansed of this influence as misconceptions linger in the understanding of Black people and their experience of pain. This can occur on a micro level with the invalidation of pain that leads to delayed diagnosis or preventable health outcomes. However, Ru</w:t>
      </w:r>
      <w:r w:rsidR="005F490E">
        <w:t>í</w:t>
      </w:r>
      <w:r>
        <w:t xml:space="preserve">z encourages us to take a structural approach that studies the “policies, training manuals, advisory boards, disciplinary and institutional procedures–even medical equipment–... that upholds the structured inattention” leading to this violence, especially against Black women </w:t>
      </w:r>
      <w:r>
        <w:rPr>
          <w:highlight w:val="white"/>
        </w:rPr>
        <w:t>(</w:t>
      </w:r>
      <w:r>
        <w:t xml:space="preserve">Ruíz, 2020, p. 693).   </w:t>
      </w:r>
    </w:p>
    <w:p w14:paraId="00000085" w14:textId="435C6EAB" w:rsidR="007436C6" w:rsidRDefault="00D4549A">
      <w:pPr>
        <w:spacing w:line="480" w:lineRule="auto"/>
        <w:ind w:firstLine="720"/>
      </w:pPr>
      <w:r>
        <w:rPr>
          <w:highlight w:val="white"/>
        </w:rPr>
        <w:t>Looking at heart disease, for instance, up until the early 90’s it was assumed that evidence from studies of predominantly middle</w:t>
      </w:r>
      <w:r w:rsidR="00992D40">
        <w:rPr>
          <w:highlight w:val="white"/>
        </w:rPr>
        <w:t>-</w:t>
      </w:r>
      <w:r>
        <w:rPr>
          <w:highlight w:val="white"/>
        </w:rPr>
        <w:t xml:space="preserve">aged men was sufficient for a ‘one-size-fits-all’ approach (Williamson, 2024). This information gap is slowly beginning to close but continues to shape expectations of the presentation of illness, reinforcing distinctions between the “typical” and “atypical” symptoms and influencing the likelihood of accurate diagnosis of women (Corliss, 2022, para. 5). Though women develop heart disease about ten years later than men, they are less likely to receive timely treatment, especially post-heart attack, and more likely to </w:t>
      </w:r>
      <w:r>
        <w:rPr>
          <w:highlight w:val="white"/>
        </w:rPr>
        <w:lastRenderedPageBreak/>
        <w:t xml:space="preserve">die from heart failure. Black women are especially affected by this “structured inattention”, as they are both underrepresented in research studies and </w:t>
      </w:r>
      <w:r>
        <w:t>positioned at the intersection of “racism, white supremacy, and misogynoir” (Ruíz, 2020, p. 693). The result is that symptoms are not taken seriously while “race-neutral” explanations frame social determinants of health as self-inflicted rather than as products of structural racism–such is the work of structural gaslighting. According to the American Heart Association, “</w:t>
      </w:r>
      <w:r w:rsidR="00BD49DC">
        <w:t>B</w:t>
      </w:r>
      <w:r>
        <w:t xml:space="preserve">lack women have the highest rates of blood pressure, stroke, heart failure and coronary heart disease”, a disproportionate effect with a scale unknown to other ethnic and racial minorities (Williamson, 2024). Framing this disparity as isolated or rooted in personal choices or stereotypes is to succumb to the notion that settler colonies have evaporated within a patriarchal, white supremacist society; these structures exist precisely because they “need to be needed” </w:t>
      </w:r>
      <w:r w:rsidR="009C5FF8">
        <w:t xml:space="preserve">for the primary purpose of reinforcing </w:t>
      </w:r>
      <w:r>
        <w:t>who has power and who is without, remaining embedded in the blueprint while dynamically evolving (Ruíz, 2020, p. 692, 705).</w:t>
      </w:r>
    </w:p>
    <w:p w14:paraId="38D8A0E0" w14:textId="57113396" w:rsidR="00761708" w:rsidRDefault="00D4549A" w:rsidP="00BF4B81">
      <w:pPr>
        <w:spacing w:line="480" w:lineRule="auto"/>
        <w:ind w:firstLine="720"/>
      </w:pPr>
      <w:r>
        <w:t>In focusing our attention on the institutions and their selected narratives meant to justify</w:t>
      </w:r>
      <w:r w:rsidR="00F331AA">
        <w:t xml:space="preserve">, </w:t>
      </w:r>
      <w:r>
        <w:t>“normalize”</w:t>
      </w:r>
      <w:r w:rsidR="00F331AA">
        <w:t xml:space="preserve">, and </w:t>
      </w:r>
      <w:r>
        <w:t xml:space="preserve">“obscure” the violence and disparities they perpetuate, we face the very nature of structural gaslighting (Berenstain, 2025, p. 3). The foundation of this framework is the idea that inequities suffered by oppressed peoples are not consequences of their marginalization but natural, inevitably tragic, or determined by fate (Berenstain, 2025, p. 5). By depoliticizing violence, settler colonies absolve themselves of responsibility while legitimizing the harms they produce by establishing self-perpetuating scientific and philosophical ideologies. One such method is in the transformation of the “doings of racism” into the objective, “inborn individual trait” of race that, unlike other inequalities, cannot be escaped (Berenstain, 2025, p. 11; Fields </w:t>
      </w:r>
      <w:r w:rsidR="00C143E7">
        <w:t>&amp;</w:t>
      </w:r>
      <w:r>
        <w:t xml:space="preserve"> Fields, 20</w:t>
      </w:r>
      <w:r w:rsidR="00C143E7">
        <w:t>14</w:t>
      </w:r>
      <w:r>
        <w:t>, p. 261). “</w:t>
      </w:r>
      <w:proofErr w:type="spellStart"/>
      <w:r>
        <w:t>Racecraft</w:t>
      </w:r>
      <w:proofErr w:type="spellEnd"/>
      <w:r>
        <w:t xml:space="preserve">” </w:t>
      </w:r>
      <w:r w:rsidR="000E7556">
        <w:t>is a framework</w:t>
      </w:r>
      <w:r w:rsidR="00A10DDF">
        <w:t xml:space="preserve"> </w:t>
      </w:r>
      <w:r w:rsidR="00CB43D6">
        <w:t xml:space="preserve">created </w:t>
      </w:r>
      <w:r w:rsidR="004D556A">
        <w:t xml:space="preserve">by Karen and Barbara Fields </w:t>
      </w:r>
      <w:r w:rsidR="00F77CD6">
        <w:t xml:space="preserve">(2014) </w:t>
      </w:r>
      <w:r w:rsidR="00A10DDF">
        <w:lastRenderedPageBreak/>
        <w:t xml:space="preserve">meant to theorize </w:t>
      </w:r>
      <w:r w:rsidR="00986242">
        <w:t xml:space="preserve">the </w:t>
      </w:r>
      <w:r w:rsidR="007D4D57">
        <w:t xml:space="preserve">creation and </w:t>
      </w:r>
      <w:r w:rsidR="00986242">
        <w:t xml:space="preserve">active maintenance of </w:t>
      </w:r>
      <w:r w:rsidR="007D4D57">
        <w:t>race as an illuso</w:t>
      </w:r>
      <w:r w:rsidR="00D37029">
        <w:t>ry category</w:t>
      </w:r>
      <w:r w:rsidR="007F6AF1">
        <w:t xml:space="preserve"> within society</w:t>
      </w:r>
      <w:r w:rsidR="00BF4B81">
        <w:t xml:space="preserve">. </w:t>
      </w:r>
      <w:r w:rsidR="003F5E66">
        <w:t xml:space="preserve">This is accomplished via shared societal beliefs and practices that </w:t>
      </w:r>
      <w:r w:rsidR="008F4943">
        <w:t xml:space="preserve">perform the ultimate magic trick of </w:t>
      </w:r>
      <w:proofErr w:type="spellStart"/>
      <w:r w:rsidR="008F4943">
        <w:t>racecraft</w:t>
      </w:r>
      <w:proofErr w:type="spellEnd"/>
      <w:r w:rsidR="00BF4B81">
        <w:t>:</w:t>
      </w:r>
      <w:r>
        <w:t xml:space="preserve"> “disappearing white people, the architects and beneficiaries of white supremacy</w:t>
      </w:r>
      <w:r w:rsidR="00B22DA8">
        <w:t>”</w:t>
      </w:r>
      <w:r>
        <w:t xml:space="preserve"> from view while making racist segregation appear “to be a </w:t>
      </w:r>
      <w:r w:rsidR="009C5FF8">
        <w:t>property</w:t>
      </w:r>
      <w:r>
        <w:t xml:space="preserve"> of </w:t>
      </w:r>
      <w:r w:rsidR="00C87574">
        <w:t>B</w:t>
      </w:r>
      <w:r>
        <w:t>lack people” (Berenstain, 2025, p. 11).</w:t>
      </w:r>
      <w:r w:rsidR="00761708">
        <w:t xml:space="preserve"> </w:t>
      </w:r>
    </w:p>
    <w:p w14:paraId="00000086" w14:textId="49F4E931" w:rsidR="007436C6" w:rsidRDefault="00F13EF1" w:rsidP="003473AF">
      <w:pPr>
        <w:spacing w:line="480" w:lineRule="auto"/>
        <w:ind w:firstLine="720"/>
      </w:pPr>
      <w:r>
        <w:t>Central</w:t>
      </w:r>
      <w:r w:rsidR="008C5F3B">
        <w:t xml:space="preserve"> to understanding </w:t>
      </w:r>
      <w:proofErr w:type="spellStart"/>
      <w:r w:rsidR="008C5F3B">
        <w:t>racecraft</w:t>
      </w:r>
      <w:proofErr w:type="spellEnd"/>
      <w:r w:rsidR="008C5F3B">
        <w:t xml:space="preserve"> i</w:t>
      </w:r>
      <w:r w:rsidR="00FF0CE1">
        <w:t xml:space="preserve">s </w:t>
      </w:r>
      <w:r>
        <w:t xml:space="preserve">distinguishing it from both racial </w:t>
      </w:r>
      <w:r w:rsidR="00CC640B">
        <w:t xml:space="preserve">groupings and stereotypical ideas of groups’ traits that define </w:t>
      </w:r>
      <w:r w:rsidR="00505578">
        <w:t>racism</w:t>
      </w:r>
      <w:r w:rsidR="00CC640B">
        <w:t xml:space="preserve">. </w:t>
      </w:r>
      <w:proofErr w:type="spellStart"/>
      <w:r w:rsidR="0098324D">
        <w:t>R</w:t>
      </w:r>
      <w:r w:rsidR="00505578">
        <w:t>acecraft</w:t>
      </w:r>
      <w:proofErr w:type="spellEnd"/>
      <w:r w:rsidR="00505578">
        <w:t xml:space="preserve"> </w:t>
      </w:r>
      <w:r w:rsidR="00C7049E">
        <w:t xml:space="preserve">is unique in its </w:t>
      </w:r>
      <w:r w:rsidR="0062409B">
        <w:t>existence within</w:t>
      </w:r>
      <w:r w:rsidR="0098324D">
        <w:t xml:space="preserve"> an</w:t>
      </w:r>
      <w:r w:rsidR="0062409B">
        <w:t xml:space="preserve"> objective</w:t>
      </w:r>
      <w:r w:rsidR="0098324D">
        <w:t xml:space="preserve"> reality while </w:t>
      </w:r>
      <w:r w:rsidR="00990899">
        <w:t>originating in and inhabiting</w:t>
      </w:r>
      <w:r w:rsidR="0098324D">
        <w:t xml:space="preserve"> </w:t>
      </w:r>
      <w:r w:rsidR="0062409B">
        <w:t>“mental terrain”</w:t>
      </w:r>
      <w:r w:rsidR="00D92E39">
        <w:t xml:space="preserve"> (Fields &amp; Fields, 2014, p. 18)</w:t>
      </w:r>
      <w:r w:rsidR="0062409B">
        <w:t>.</w:t>
      </w:r>
      <w:r w:rsidR="008F7E7B">
        <w:t xml:space="preserve"> It is the </w:t>
      </w:r>
      <w:r w:rsidR="00FF6E53">
        <w:t>juncture where action</w:t>
      </w:r>
      <w:r w:rsidR="008F7E7B">
        <w:t xml:space="preserve">, </w:t>
      </w:r>
      <w:r w:rsidR="00362607">
        <w:t xml:space="preserve">in the wake of racism, </w:t>
      </w:r>
      <w:r w:rsidR="00FF6E53">
        <w:t>converges with</w:t>
      </w:r>
      <w:r w:rsidR="00362607">
        <w:t xml:space="preserve"> imagination</w:t>
      </w:r>
      <w:r w:rsidR="00085C12">
        <w:t>---</w:t>
      </w:r>
      <w:r w:rsidR="008F15E4">
        <w:t xml:space="preserve">the </w:t>
      </w:r>
      <w:r w:rsidR="00085C12">
        <w:t>generative</w:t>
      </w:r>
      <w:r w:rsidR="008F15E4">
        <w:t xml:space="preserve"> </w:t>
      </w:r>
      <w:r w:rsidR="00085C12">
        <w:t>space</w:t>
      </w:r>
      <w:r w:rsidR="008F15E4">
        <w:t xml:space="preserve"> </w:t>
      </w:r>
      <w:r w:rsidR="00085C12">
        <w:t>for</w:t>
      </w:r>
      <w:r w:rsidR="008F15E4">
        <w:t xml:space="preserve"> </w:t>
      </w:r>
      <w:r w:rsidR="005B44D1">
        <w:t>social norms</w:t>
      </w:r>
      <w:r w:rsidR="00E66DAB">
        <w:t xml:space="preserve">, rituals </w:t>
      </w:r>
      <w:r w:rsidR="00CE2EF5">
        <w:t>that establish race-based hierarchies</w:t>
      </w:r>
      <w:r w:rsidR="00D218F6">
        <w:t xml:space="preserve"> and “</w:t>
      </w:r>
      <w:r w:rsidR="00DF5A5D">
        <w:t>the gaze”</w:t>
      </w:r>
      <w:r w:rsidR="00B10B4F">
        <w:t xml:space="preserve"> by which we perceive ourselves and one another</w:t>
      </w:r>
      <w:r w:rsidR="00085C12">
        <w:t>, all of which</w:t>
      </w:r>
      <w:r w:rsidR="00DF5A5D">
        <w:t xml:space="preserve"> </w:t>
      </w:r>
      <w:r w:rsidR="00085C12">
        <w:t xml:space="preserve">materialize as </w:t>
      </w:r>
      <w:r w:rsidR="00DF5A5D">
        <w:t>social facts</w:t>
      </w:r>
      <w:r w:rsidR="00A67030">
        <w:t xml:space="preserve"> (Fields &amp; Fields, 2014, p. 25). </w:t>
      </w:r>
      <w:r w:rsidR="006D6B02">
        <w:t>Fields</w:t>
      </w:r>
      <w:r w:rsidR="00C87574">
        <w:t xml:space="preserve"> and Fields</w:t>
      </w:r>
      <w:r w:rsidR="006D6B02">
        <w:t xml:space="preserve"> </w:t>
      </w:r>
      <w:r w:rsidR="00C87574">
        <w:t xml:space="preserve">suggest </w:t>
      </w:r>
      <w:r w:rsidR="006D6B02">
        <w:t xml:space="preserve">that </w:t>
      </w:r>
      <w:proofErr w:type="spellStart"/>
      <w:r w:rsidR="006D6B02">
        <w:t>racecraft</w:t>
      </w:r>
      <w:proofErr w:type="spellEnd"/>
      <w:r w:rsidR="006D6B02">
        <w:t xml:space="preserve"> bears </w:t>
      </w:r>
      <w:r w:rsidR="008B567A">
        <w:t xml:space="preserve">a likeness </w:t>
      </w:r>
      <w:r w:rsidR="006D6B02">
        <w:t xml:space="preserve">to </w:t>
      </w:r>
      <w:r w:rsidR="008B6BA0">
        <w:t xml:space="preserve">witchcraft, </w:t>
      </w:r>
      <w:r w:rsidR="00950212">
        <w:t xml:space="preserve">a system </w:t>
      </w:r>
      <w:r w:rsidR="00EE216E">
        <w:t xml:space="preserve">deeper than superstition but </w:t>
      </w:r>
      <w:r w:rsidR="00950212">
        <w:t>sustained</w:t>
      </w:r>
      <w:r w:rsidR="000A3661">
        <w:t xml:space="preserve"> </w:t>
      </w:r>
      <w:r w:rsidR="00950212">
        <w:t>through a continual</w:t>
      </w:r>
      <w:r w:rsidR="000A3661">
        <w:t xml:space="preserve"> </w:t>
      </w:r>
      <w:r w:rsidR="00950212">
        <w:t>cycle</w:t>
      </w:r>
      <w:r w:rsidR="000A3661">
        <w:t xml:space="preserve"> of</w:t>
      </w:r>
      <w:r w:rsidR="002D2420">
        <w:t xml:space="preserve"> “</w:t>
      </w:r>
      <w:r w:rsidR="00E8144A">
        <w:t>imagining, acting upon, and re-imagining</w:t>
      </w:r>
      <w:r w:rsidR="00C87574">
        <w:t>,</w:t>
      </w:r>
      <w:r w:rsidR="00E8144A">
        <w:t>”</w:t>
      </w:r>
      <w:r w:rsidR="00950212">
        <w:t xml:space="preserve"> giving rise to beliefs that come to</w:t>
      </w:r>
      <w:r w:rsidR="008B567A">
        <w:t xml:space="preserve"> resemble </w:t>
      </w:r>
      <w:r w:rsidR="00496DD3">
        <w:t>truth</w:t>
      </w:r>
      <w:r w:rsidR="006D6B02">
        <w:t xml:space="preserve"> (Fields &amp; Fields, 2014, p. 19)</w:t>
      </w:r>
      <w:r w:rsidR="00496DD3">
        <w:t>.</w:t>
      </w:r>
      <w:r w:rsidR="006456BA">
        <w:t xml:space="preserve"> </w:t>
      </w:r>
      <w:r w:rsidR="00964E2A">
        <w:t xml:space="preserve">However, unlike with witchcraft, society </w:t>
      </w:r>
      <w:r w:rsidR="002D4F7C">
        <w:t xml:space="preserve">does not </w:t>
      </w:r>
      <w:r w:rsidR="00964E2A">
        <w:t>necessarily encourage</w:t>
      </w:r>
      <w:r w:rsidR="002D4F7C">
        <w:t xml:space="preserve"> us to </w:t>
      </w:r>
      <w:r w:rsidR="00964E2A">
        <w:t xml:space="preserve">doubt </w:t>
      </w:r>
      <w:proofErr w:type="spellStart"/>
      <w:r w:rsidR="00964E2A">
        <w:t>racecraf</w:t>
      </w:r>
      <w:r w:rsidR="002D4F7C">
        <w:t>t</w:t>
      </w:r>
      <w:proofErr w:type="spellEnd"/>
      <w:r w:rsidR="00EE6687">
        <w:t xml:space="preserve"> but produces an overwhelming amount of </w:t>
      </w:r>
      <w:r w:rsidR="00CF5909">
        <w:t xml:space="preserve">“supporting </w:t>
      </w:r>
      <w:r w:rsidR="00EE6687">
        <w:t>evidence”</w:t>
      </w:r>
      <w:r w:rsidR="00CF5909">
        <w:t xml:space="preserve"> for it (Fields &amp; Fields, 2014, p. 24). </w:t>
      </w:r>
      <w:r w:rsidR="00263C67">
        <w:t xml:space="preserve">An individual can </w:t>
      </w:r>
      <w:r w:rsidR="0066738A">
        <w:t>swiftly</w:t>
      </w:r>
      <w:r w:rsidR="00406833">
        <w:t xml:space="preserve"> be</w:t>
      </w:r>
      <w:r w:rsidR="004E26BC">
        <w:t xml:space="preserve"> reduced to </w:t>
      </w:r>
      <w:r w:rsidR="00406833">
        <w:t>race</w:t>
      </w:r>
      <w:r w:rsidR="00372042">
        <w:t xml:space="preserve"> </w:t>
      </w:r>
      <w:r w:rsidR="00445E41">
        <w:t>as</w:t>
      </w:r>
      <w:r w:rsidR="00372042">
        <w:t xml:space="preserve"> an </w:t>
      </w:r>
      <w:r w:rsidR="00406833">
        <w:t xml:space="preserve">interaction </w:t>
      </w:r>
      <w:r w:rsidR="00121479">
        <w:t>between</w:t>
      </w:r>
      <w:r w:rsidR="008D5123">
        <w:t xml:space="preserve"> </w:t>
      </w:r>
      <w:r w:rsidR="00445E41">
        <w:t xml:space="preserve">two individuals </w:t>
      </w:r>
      <w:r w:rsidR="00121479">
        <w:t>becomes</w:t>
      </w:r>
      <w:r w:rsidR="00406833">
        <w:t xml:space="preserve"> “race relations”</w:t>
      </w:r>
      <w:r w:rsidR="00372042">
        <w:t xml:space="preserve"> in a</w:t>
      </w:r>
      <w:r w:rsidR="0066738A">
        <w:t>n everyday,</w:t>
      </w:r>
      <w:r w:rsidR="00372042">
        <w:t xml:space="preserve"> </w:t>
      </w:r>
      <w:r w:rsidR="009A283B">
        <w:t xml:space="preserve">seemingly obvious manner (Fields &amp; Fields, 2014, p. 40,74). Yet, </w:t>
      </w:r>
      <w:r w:rsidR="00EA2487">
        <w:t xml:space="preserve">in describing the </w:t>
      </w:r>
      <w:r w:rsidR="003473AF">
        <w:t xml:space="preserve">exact </w:t>
      </w:r>
      <w:r w:rsidR="00EA2487">
        <w:t xml:space="preserve">mechanism </w:t>
      </w:r>
      <w:r w:rsidR="003473AF">
        <w:t xml:space="preserve">or reasoning for this, we have no answer. </w:t>
      </w:r>
      <w:r w:rsidR="00E23982">
        <w:t xml:space="preserve">Within scientific ideologies, </w:t>
      </w:r>
      <w:proofErr w:type="spellStart"/>
      <w:r w:rsidR="00E23982">
        <w:t>racecraft</w:t>
      </w:r>
      <w:proofErr w:type="spellEnd"/>
      <w:r w:rsidR="00E23982">
        <w:t xml:space="preserve"> </w:t>
      </w:r>
      <w:r w:rsidR="00760226">
        <w:t xml:space="preserve">holds </w:t>
      </w:r>
      <w:r w:rsidR="003473AF">
        <w:t xml:space="preserve">a firm </w:t>
      </w:r>
      <w:r w:rsidR="00760226">
        <w:t>grip on collective understandings</w:t>
      </w:r>
      <w:r w:rsidR="00CF00E9">
        <w:t xml:space="preserve"> of health inequalities. It paints a narrative that i</w:t>
      </w:r>
      <w:r>
        <w:t xml:space="preserve">t is </w:t>
      </w:r>
      <w:r>
        <w:rPr>
          <w:i/>
        </w:rPr>
        <w:t xml:space="preserve">because </w:t>
      </w:r>
      <w:r>
        <w:t>of skin color that abuse has been and is suffered</w:t>
      </w:r>
      <w:r w:rsidR="00026174">
        <w:t xml:space="preserve"> b</w:t>
      </w:r>
      <w:r w:rsidR="00383217">
        <w:t xml:space="preserve">y </w:t>
      </w:r>
      <w:r w:rsidR="008D7D5F">
        <w:t>Black people</w:t>
      </w:r>
      <w:r>
        <w:t xml:space="preserve">. Through </w:t>
      </w:r>
      <w:r w:rsidR="008D7D5F">
        <w:t xml:space="preserve">this </w:t>
      </w:r>
      <w:r>
        <w:t>“narrative complicity</w:t>
      </w:r>
      <w:r w:rsidR="00226578">
        <w:t>,</w:t>
      </w:r>
      <w:r>
        <w:t xml:space="preserve">” the </w:t>
      </w:r>
      <w:proofErr w:type="spellStart"/>
      <w:r>
        <w:t>unreflexive</w:t>
      </w:r>
      <w:proofErr w:type="spellEnd"/>
      <w:r>
        <w:t xml:space="preserve"> system and its actions are no longer the perpetrators (Berenstain, 2025, p. 13).</w:t>
      </w:r>
      <w:r w:rsidR="006456BA">
        <w:t xml:space="preserve"> </w:t>
      </w:r>
    </w:p>
    <w:p w14:paraId="22128D08" w14:textId="25ADBC00" w:rsidR="00F302AD" w:rsidRPr="000D314D" w:rsidRDefault="00D4549A" w:rsidP="00F302AD">
      <w:pPr>
        <w:spacing w:line="480" w:lineRule="auto"/>
        <w:ind w:firstLine="720"/>
      </w:pPr>
      <w:r>
        <w:lastRenderedPageBreak/>
        <w:t xml:space="preserve">A system's ultimate form of resilience </w:t>
      </w:r>
      <w:r w:rsidR="00F40938">
        <w:t xml:space="preserve">is by means of </w:t>
      </w:r>
      <w:r>
        <w:t>resistance to critic</w:t>
      </w:r>
      <w:r w:rsidR="00296870">
        <w:t xml:space="preserve">al confrontation of </w:t>
      </w:r>
      <w:r>
        <w:t xml:space="preserve">its own internal </w:t>
      </w:r>
      <w:r w:rsidR="00657385">
        <w:t>limitations</w:t>
      </w:r>
      <w:r>
        <w:t xml:space="preserve"> (Dotson, 2014). This mode of deflection looks to the oppressed and their supposedly “natural” qualities </w:t>
      </w:r>
      <w:r w:rsidR="00E360F7">
        <w:t>to</w:t>
      </w:r>
      <w:r>
        <w:t xml:space="preserve"> normalize</w:t>
      </w:r>
      <w:r w:rsidR="00E360F7">
        <w:t xml:space="preserve"> corresponding</w:t>
      </w:r>
      <w:r>
        <w:t xml:space="preserve"> “pathologizing narratives” (Ruíz, 2020, p. 694).</w:t>
      </w:r>
      <w:r w:rsidR="00A26D03">
        <w:t xml:space="preserve"> </w:t>
      </w:r>
      <w:r w:rsidR="0061043A">
        <w:t xml:space="preserve">In </w:t>
      </w:r>
      <w:r w:rsidR="0066612A">
        <w:t xml:space="preserve">pathologizing, </w:t>
      </w:r>
      <w:r w:rsidR="001C6E1F">
        <w:t xml:space="preserve">there </w:t>
      </w:r>
      <w:r w:rsidR="00181FCF">
        <w:t xml:space="preserve">is an </w:t>
      </w:r>
      <w:r w:rsidR="001C6E1F">
        <w:t xml:space="preserve">over-reliance on the knowledge </w:t>
      </w:r>
      <w:r w:rsidR="00181FCF">
        <w:t xml:space="preserve">and experiences of the storyteller when interpreting </w:t>
      </w:r>
      <w:r w:rsidR="00E46998">
        <w:t xml:space="preserve">a subject </w:t>
      </w:r>
      <w:r w:rsidR="00C821A8">
        <w:t xml:space="preserve">(Sutton, 2020). </w:t>
      </w:r>
      <w:r w:rsidR="00B74CA1">
        <w:t xml:space="preserve">This is commonly seen in Western psychology with the </w:t>
      </w:r>
      <w:r w:rsidR="00F115CD">
        <w:t xml:space="preserve">over-pathologization of </w:t>
      </w:r>
      <w:r w:rsidR="00831B42">
        <w:t>normal human behavior shaped by unique life experiences</w:t>
      </w:r>
      <w:r w:rsidR="00020791">
        <w:t xml:space="preserve"> and backgrounds.</w:t>
      </w:r>
      <w:r w:rsidR="0076712E">
        <w:t xml:space="preserve"> </w:t>
      </w:r>
      <w:r w:rsidR="0067438C">
        <w:t>Ethan</w:t>
      </w:r>
      <w:r w:rsidR="00246E37">
        <w:t xml:space="preserve"> </w:t>
      </w:r>
      <w:r w:rsidR="0067438C">
        <w:t>Watter</w:t>
      </w:r>
      <w:r w:rsidR="00AA15C5">
        <w:t>s</w:t>
      </w:r>
      <w:r w:rsidR="00673210">
        <w:t xml:space="preserve"> describes thi</w:t>
      </w:r>
      <w:r w:rsidR="00DC129C">
        <w:t xml:space="preserve">s </w:t>
      </w:r>
      <w:r w:rsidR="00673210">
        <w:t xml:space="preserve">“process of </w:t>
      </w:r>
      <w:r w:rsidR="00EA1C90">
        <w:t>homogenizing</w:t>
      </w:r>
      <w:r w:rsidR="00DC129C">
        <w:t xml:space="preserve">” mental </w:t>
      </w:r>
      <w:r w:rsidR="006C3B0B">
        <w:t xml:space="preserve">wellbeing, and illness, as </w:t>
      </w:r>
      <w:r w:rsidR="00D55C09">
        <w:t xml:space="preserve">destructive in contact with </w:t>
      </w:r>
      <w:r w:rsidR="009B6AA7">
        <w:t xml:space="preserve">different cultures. </w:t>
      </w:r>
      <w:r w:rsidR="003B2802">
        <w:t>This is not to completely discredit the</w:t>
      </w:r>
      <w:r w:rsidR="00727405">
        <w:t xml:space="preserve"> </w:t>
      </w:r>
      <w:r w:rsidR="00381727">
        <w:t xml:space="preserve">functionality of </w:t>
      </w:r>
      <w:r w:rsidR="00D564B3">
        <w:t>all</w:t>
      </w:r>
      <w:r w:rsidR="00A46E1C">
        <w:t xml:space="preserve"> </w:t>
      </w:r>
      <w:r w:rsidR="005A236B">
        <w:t>bias</w:t>
      </w:r>
      <w:r w:rsidR="00A46E1C">
        <w:t xml:space="preserve"> that </w:t>
      </w:r>
      <w:r w:rsidR="00D564B3">
        <w:t>is</w:t>
      </w:r>
      <w:r w:rsidR="00A46E1C">
        <w:t xml:space="preserve"> at times </w:t>
      </w:r>
      <w:r w:rsidR="00D564B3">
        <w:t xml:space="preserve">beneficial </w:t>
      </w:r>
      <w:r w:rsidR="0020683B">
        <w:t>and understandably rooted</w:t>
      </w:r>
      <w:r w:rsidR="00A46E1C">
        <w:t xml:space="preserve"> </w:t>
      </w:r>
      <w:r w:rsidR="0020683B">
        <w:t>in</w:t>
      </w:r>
      <w:r w:rsidR="00A46E1C">
        <w:t xml:space="preserve"> the education, background, and experiences of the provider</w:t>
      </w:r>
      <w:r w:rsidR="00D564B3">
        <w:t xml:space="preserve">, carrying potential for greater understanding </w:t>
      </w:r>
      <w:r w:rsidR="00482BB3">
        <w:t>with the patient</w:t>
      </w:r>
      <w:r w:rsidR="00A46E1C">
        <w:t>. However</w:t>
      </w:r>
      <w:r w:rsidR="00482BB3">
        <w:t xml:space="preserve">, </w:t>
      </w:r>
      <w:r w:rsidR="00883C05">
        <w:t>in</w:t>
      </w:r>
      <w:r w:rsidR="00415349">
        <w:t xml:space="preserve"> the </w:t>
      </w:r>
      <w:r>
        <w:t xml:space="preserve">fraught relationship between </w:t>
      </w:r>
      <w:r w:rsidRPr="000D314D">
        <w:t xml:space="preserve">East African immigrants and </w:t>
      </w:r>
      <w:r w:rsidR="00415349" w:rsidRPr="000D314D">
        <w:t xml:space="preserve">the </w:t>
      </w:r>
      <w:r w:rsidRPr="000D314D">
        <w:t xml:space="preserve">American healthcare </w:t>
      </w:r>
      <w:r w:rsidR="00415349" w:rsidRPr="000D314D">
        <w:t xml:space="preserve">system, </w:t>
      </w:r>
      <w:r w:rsidR="00525CF4" w:rsidRPr="000D314D">
        <w:t xml:space="preserve">we observe </w:t>
      </w:r>
      <w:r w:rsidR="009B7C08" w:rsidRPr="000D314D">
        <w:t>the harms</w:t>
      </w:r>
      <w:r w:rsidR="000D5912" w:rsidRPr="000D314D">
        <w:t xml:space="preserve"> in </w:t>
      </w:r>
      <w:r w:rsidR="00383F57" w:rsidRPr="000D314D">
        <w:t>relying on</w:t>
      </w:r>
      <w:r w:rsidR="000D5912" w:rsidRPr="000D314D">
        <w:t xml:space="preserve"> We</w:t>
      </w:r>
      <w:r w:rsidR="00F302AD" w:rsidRPr="000D314D">
        <w:t>s</w:t>
      </w:r>
      <w:r w:rsidR="000D5912" w:rsidRPr="000D314D">
        <w:t>tern</w:t>
      </w:r>
      <w:r w:rsidR="00383F57" w:rsidRPr="000D314D">
        <w:t xml:space="preserve"> epistemology</w:t>
      </w:r>
      <w:r w:rsidR="003A318A" w:rsidRPr="000D314D">
        <w:t>,</w:t>
      </w:r>
      <w:r w:rsidR="00591838" w:rsidRPr="000D314D">
        <w:t xml:space="preserve"> leading to in</w:t>
      </w:r>
      <w:r w:rsidR="00792C14" w:rsidRPr="000D314D">
        <w:t>appropriate diagnoses</w:t>
      </w:r>
      <w:r w:rsidR="003A318A" w:rsidRPr="000D314D">
        <w:t xml:space="preserve"> demonstrating</w:t>
      </w:r>
      <w:r w:rsidRPr="000D314D">
        <w:t xml:space="preserve"> </w:t>
      </w:r>
      <w:proofErr w:type="spellStart"/>
      <w:r w:rsidRPr="000D314D">
        <w:t>racecraft</w:t>
      </w:r>
      <w:proofErr w:type="spellEnd"/>
      <w:r w:rsidRPr="000D314D">
        <w:t xml:space="preserve"> in action. </w:t>
      </w:r>
    </w:p>
    <w:p w14:paraId="00000087" w14:textId="30C77D8E" w:rsidR="007436C6" w:rsidRDefault="00F302AD" w:rsidP="00965500">
      <w:pPr>
        <w:spacing w:line="480" w:lineRule="auto"/>
        <w:ind w:firstLine="720"/>
      </w:pPr>
      <w:r w:rsidRPr="000D314D">
        <w:t xml:space="preserve">With medical knowledge </w:t>
      </w:r>
      <w:r w:rsidR="00DB3E59" w:rsidRPr="000D314D">
        <w:t xml:space="preserve">and psychological </w:t>
      </w:r>
      <w:r w:rsidR="002776C5" w:rsidRPr="000D314D">
        <w:t xml:space="preserve">diagnoses </w:t>
      </w:r>
      <w:r w:rsidRPr="000D314D">
        <w:t xml:space="preserve">centered around </w:t>
      </w:r>
      <w:r w:rsidR="00E94336" w:rsidRPr="000D314D">
        <w:t xml:space="preserve">“middle class, </w:t>
      </w:r>
      <w:r w:rsidR="00BD49DC" w:rsidRPr="000D314D">
        <w:t>w</w:t>
      </w:r>
      <w:r w:rsidR="00E94336" w:rsidRPr="000D314D">
        <w:t xml:space="preserve">hite </w:t>
      </w:r>
      <w:r w:rsidR="00DB3E59" w:rsidRPr="000D314D">
        <w:t>persons</w:t>
      </w:r>
      <w:r w:rsidR="00E94336" w:rsidRPr="000D314D">
        <w:t xml:space="preserve"> of Euro</w:t>
      </w:r>
      <w:r w:rsidR="00DB3E59" w:rsidRPr="000D314D">
        <w:t>-American origins</w:t>
      </w:r>
      <w:r w:rsidR="00226578" w:rsidRPr="000D314D">
        <w:t>,</w:t>
      </w:r>
      <w:r w:rsidR="00DB3E59" w:rsidRPr="000D314D">
        <w:t>”</w:t>
      </w:r>
      <w:r w:rsidR="00B5280D" w:rsidRPr="000D314D">
        <w:t xml:space="preserve"> </w:t>
      </w:r>
      <w:r w:rsidR="00C451A3" w:rsidRPr="000D314D">
        <w:t xml:space="preserve">minority groups are </w:t>
      </w:r>
      <w:r w:rsidR="004633F7" w:rsidRPr="000D314D">
        <w:t xml:space="preserve">further silenced in the discrediting of their </w:t>
      </w:r>
      <w:r w:rsidR="00750426" w:rsidRPr="000D314D">
        <w:t xml:space="preserve">own </w:t>
      </w:r>
      <w:r w:rsidR="00CE0D0D" w:rsidRPr="000D314D">
        <w:t xml:space="preserve">experiences </w:t>
      </w:r>
      <w:r w:rsidR="00750426" w:rsidRPr="000D314D">
        <w:t xml:space="preserve">that differ from this standard </w:t>
      </w:r>
      <w:r w:rsidR="00B5280D" w:rsidRPr="00965500">
        <w:t>(De Arth Pendley, 2012).</w:t>
      </w:r>
      <w:r w:rsidR="00044086" w:rsidRPr="000D314D">
        <w:t xml:space="preserve"> In instances of discordance between the East African patient and the physician</w:t>
      </w:r>
      <w:r w:rsidR="00CD3801" w:rsidRPr="000D314D">
        <w:t xml:space="preserve">, patients are </w:t>
      </w:r>
      <w:r w:rsidR="00255992" w:rsidRPr="000D314D">
        <w:t xml:space="preserve">painted as non-compliant and dishonest </w:t>
      </w:r>
      <w:r w:rsidR="00697FF8" w:rsidRPr="000D314D">
        <w:t xml:space="preserve">patients </w:t>
      </w:r>
      <w:r w:rsidR="00255992" w:rsidRPr="000D314D">
        <w:t xml:space="preserve">responsible for their own marginalization. However, </w:t>
      </w:r>
      <w:r w:rsidR="00A56F3B" w:rsidRPr="000D314D">
        <w:t>the</w:t>
      </w:r>
      <w:r w:rsidR="00BD6AF8" w:rsidRPr="000D314D">
        <w:t xml:space="preserve">se negative encounters </w:t>
      </w:r>
      <w:r w:rsidR="00A56F3B" w:rsidRPr="000D314D">
        <w:t>are</w:t>
      </w:r>
      <w:r w:rsidR="00BD6AF8" w:rsidRPr="000D314D">
        <w:t xml:space="preserve"> taken at face value, without any further interpretation. There is not a second thought that perhaps </w:t>
      </w:r>
      <w:r w:rsidR="00566E1E" w:rsidRPr="000D314D">
        <w:t>the sentiments and reactions held by such patients could in fact be “logical and predictable responses</w:t>
      </w:r>
      <w:r w:rsidR="00522CD2" w:rsidRPr="000D314D">
        <w:t xml:space="preserve"> to racism, harassment, </w:t>
      </w:r>
      <w:r w:rsidR="00E2654F" w:rsidRPr="000D314D">
        <w:t>chronic stress, and</w:t>
      </w:r>
      <w:r w:rsidR="00522CD2" w:rsidRPr="000D314D">
        <w:t xml:space="preserve"> oppression</w:t>
      </w:r>
      <w:r w:rsidR="00226578" w:rsidRPr="000D314D">
        <w:t>,</w:t>
      </w:r>
      <w:r w:rsidR="00522CD2" w:rsidRPr="000D314D">
        <w:t xml:space="preserve">” </w:t>
      </w:r>
      <w:r w:rsidR="00025229" w:rsidRPr="000D314D">
        <w:t>among</w:t>
      </w:r>
      <w:r w:rsidR="00025229">
        <w:t xml:space="preserve"> other potential exacerbating factors. </w:t>
      </w:r>
      <w:r>
        <w:t xml:space="preserve">In true illusionary fashion, </w:t>
      </w:r>
      <w:r w:rsidR="00C553A3">
        <w:t xml:space="preserve">experiences </w:t>
      </w:r>
      <w:r w:rsidR="006025AD">
        <w:t xml:space="preserve">of discrimination, gaslighting, and </w:t>
      </w:r>
      <w:r w:rsidR="00601F95">
        <w:t xml:space="preserve">unbridged language barriers </w:t>
      </w:r>
      <w:r w:rsidR="005C22D3">
        <w:t xml:space="preserve">are </w:t>
      </w:r>
      <w:r w:rsidR="0059403F">
        <w:t>reframed</w:t>
      </w:r>
      <w:r w:rsidR="005C22D3">
        <w:t xml:space="preserve"> as </w:t>
      </w:r>
      <w:r w:rsidR="00030F83">
        <w:t xml:space="preserve">inherent cultural deficiencies </w:t>
      </w:r>
      <w:r w:rsidR="003E62FA">
        <w:t xml:space="preserve">or </w:t>
      </w:r>
      <w:r w:rsidR="003E62FA">
        <w:lastRenderedPageBreak/>
        <w:t xml:space="preserve">misinterpretations </w:t>
      </w:r>
      <w:r w:rsidR="00030F83">
        <w:t xml:space="preserve">within </w:t>
      </w:r>
      <w:r w:rsidR="00030F83" w:rsidRPr="00496C8F">
        <w:t xml:space="preserve">East African </w:t>
      </w:r>
      <w:r w:rsidR="003E62FA" w:rsidRPr="00496C8F">
        <w:t xml:space="preserve">communities </w:t>
      </w:r>
      <w:r w:rsidR="00B514AC" w:rsidRPr="00496C8F">
        <w:t xml:space="preserve">rather than be recognized as systemic injustices </w:t>
      </w:r>
      <w:r w:rsidR="003E62FA" w:rsidRPr="00496C8F">
        <w:t xml:space="preserve">without </w:t>
      </w:r>
      <w:r w:rsidR="00AC14EA" w:rsidRPr="00496C8F">
        <w:t>recourse</w:t>
      </w:r>
      <w:r w:rsidR="002666B5" w:rsidRPr="00496C8F">
        <w:t>.</w:t>
      </w:r>
      <w:r w:rsidR="00430DD4" w:rsidRPr="00496C8F">
        <w:t xml:space="preserve"> This </w:t>
      </w:r>
      <w:r w:rsidR="00140C2A">
        <w:t>specific move</w:t>
      </w:r>
      <w:r w:rsidR="00140C2A" w:rsidRPr="00496C8F">
        <w:t xml:space="preserve"> </w:t>
      </w:r>
      <w:r w:rsidR="00430DD4" w:rsidRPr="00496C8F">
        <w:t>o</w:t>
      </w:r>
      <w:r w:rsidR="0013393E" w:rsidRPr="00496C8F">
        <w:t xml:space="preserve">f </w:t>
      </w:r>
      <w:proofErr w:type="spellStart"/>
      <w:r w:rsidR="0013393E" w:rsidRPr="00496C8F">
        <w:t>racecraft</w:t>
      </w:r>
      <w:proofErr w:type="spellEnd"/>
      <w:r w:rsidR="0013393E" w:rsidRPr="00496C8F">
        <w:t xml:space="preserve"> </w:t>
      </w:r>
      <w:r w:rsidR="00430DD4" w:rsidRPr="00496C8F">
        <w:t xml:space="preserve">is one that I </w:t>
      </w:r>
      <w:r w:rsidR="00D32135" w:rsidRPr="00496C8F">
        <w:t>reject</w:t>
      </w:r>
      <w:r w:rsidR="00140C2A">
        <w:t xml:space="preserve"> as illegitimate</w:t>
      </w:r>
      <w:r w:rsidR="00D32135" w:rsidRPr="00496C8F">
        <w:t xml:space="preserve">. </w:t>
      </w:r>
      <w:r w:rsidR="00944D46" w:rsidRPr="00496C8F">
        <w:t>Invoking</w:t>
      </w:r>
      <w:r w:rsidR="00A93948" w:rsidRPr="00496C8F">
        <w:t xml:space="preserve"> cultural incompatibility</w:t>
      </w:r>
      <w:r w:rsidR="001000D2" w:rsidRPr="00496C8F">
        <w:t xml:space="preserve"> </w:t>
      </w:r>
      <w:r w:rsidR="00A93948" w:rsidRPr="00496C8F">
        <w:t>as a scapegoat to accountability</w:t>
      </w:r>
      <w:r w:rsidR="00944D46" w:rsidRPr="00496C8F">
        <w:t xml:space="preserve"> </w:t>
      </w:r>
      <w:r w:rsidR="00AA18A7" w:rsidRPr="00496C8F">
        <w:t xml:space="preserve">serves </w:t>
      </w:r>
      <w:r w:rsidR="00812816" w:rsidRPr="00496C8F">
        <w:t>yet</w:t>
      </w:r>
      <w:r w:rsidR="001000D2" w:rsidRPr="00496C8F">
        <w:t xml:space="preserve"> another </w:t>
      </w:r>
      <w:r w:rsidR="00AA18A7" w:rsidRPr="00496C8F">
        <w:t>representation</w:t>
      </w:r>
      <w:r w:rsidR="001000D2" w:rsidRPr="00496C8F">
        <w:t xml:space="preserve"> of “narrative complicity” in action, removing the</w:t>
      </w:r>
      <w:r w:rsidR="00342B38" w:rsidRPr="00496C8F">
        <w:t xml:space="preserve"> system as the perpetrator</w:t>
      </w:r>
      <w:r w:rsidR="00992880">
        <w:t xml:space="preserve"> and carrying the torch of </w:t>
      </w:r>
      <w:proofErr w:type="spellStart"/>
      <w:r w:rsidR="00992880">
        <w:t>unreflexivity</w:t>
      </w:r>
      <w:proofErr w:type="spellEnd"/>
      <w:r w:rsidR="00747299">
        <w:t xml:space="preserve"> that is</w:t>
      </w:r>
      <w:r w:rsidR="00992880">
        <w:t xml:space="preserve"> central to </w:t>
      </w:r>
      <w:r w:rsidR="00ED6117">
        <w:t xml:space="preserve">disastrous </w:t>
      </w:r>
      <w:r w:rsidR="00992880">
        <w:t xml:space="preserve">colonial </w:t>
      </w:r>
      <w:r w:rsidR="00747299">
        <w:t>epistemologies</w:t>
      </w:r>
      <w:r w:rsidR="00ED6117">
        <w:t xml:space="preserve"> (Berenstain, 2025, p. 13)</w:t>
      </w:r>
      <w:r w:rsidR="0013393E" w:rsidRPr="00496C8F">
        <w:t xml:space="preserve">. By these means, </w:t>
      </w:r>
      <w:r w:rsidRPr="00496C8F">
        <w:t>epistemic</w:t>
      </w:r>
      <w:r>
        <w:t xml:space="preserve"> oppression </w:t>
      </w:r>
      <w:r w:rsidR="0013393E">
        <w:t>is sustained in</w:t>
      </w:r>
      <w:r>
        <w:t xml:space="preserve"> healthcare while minority patients are left powerless, alienated, and labeled as over-reactive in their cries for visibility.  </w:t>
      </w:r>
    </w:p>
    <w:p w14:paraId="00000088" w14:textId="77777777" w:rsidR="007436C6" w:rsidRDefault="00D4549A">
      <w:pPr>
        <w:spacing w:line="480" w:lineRule="auto"/>
        <w:ind w:firstLine="720"/>
      </w:pPr>
      <w:r>
        <w:t xml:space="preserve">It is crucial to anticipate how the continued neglect of minorities could manifest in the future of healthcare (Metzl &amp; Hansen, 2014). One of the key components of patients’ sense of betrayal by an unyielding system is a sense of exclusion from a resource that claims to serve their best interests. Unfortunately, we have already witnessed the consequences of such beliefs when they have gone to the extreme with irreversible harms. In October of 2019, the Samoan Ministry of Health declared a measles outbreak that was not entirely unforeseen. Several factors were at play including low immunization coverage, “systemic primary and public health system community constraints limiting response capacity” and the overall prominence of measles in 2019, its global record year (Craig et al., 2020). Samoan immunization had plummeted far below the recommended coverage for herd immunity as first-dose coverage of MMR vaccination dropped from 99% in 2013 to 40% in 2018, with similar patterns seen in second-dose coverage. </w:t>
      </w:r>
    </w:p>
    <w:p w14:paraId="00000089" w14:textId="279A3B26" w:rsidR="007436C6" w:rsidRDefault="00D4549A">
      <w:pPr>
        <w:spacing w:line="480" w:lineRule="auto"/>
        <w:ind w:firstLine="720"/>
      </w:pPr>
      <w:r>
        <w:t>The reasoning for this decline is layered but is due largely in part to the community’s mistrust of vaccine safety after two vaccine-associated infant deaths occu</w:t>
      </w:r>
      <w:r w:rsidR="00BB50AB">
        <w:t>r</w:t>
      </w:r>
      <w:r>
        <w:t>red in 2018. This accident occur</w:t>
      </w:r>
      <w:r w:rsidR="00B14424">
        <w:t>r</w:t>
      </w:r>
      <w:r>
        <w:t xml:space="preserve">ed after a nurse </w:t>
      </w:r>
      <w:r w:rsidR="006C5FA8">
        <w:t xml:space="preserve">inappropriately prepared and administered </w:t>
      </w:r>
      <w:r>
        <w:t>the MMR vaccine</w:t>
      </w:r>
      <w:r w:rsidR="006C5FA8">
        <w:t xml:space="preserve"> </w:t>
      </w:r>
      <w:r>
        <w:t>(</w:t>
      </w:r>
      <w:r w:rsidR="00AF57E2" w:rsidRPr="00965500">
        <w:rPr>
          <w:iCs/>
        </w:rPr>
        <w:t>Kaspar</w:t>
      </w:r>
      <w:r w:rsidR="00E422B2" w:rsidRPr="00965500">
        <w:rPr>
          <w:iCs/>
        </w:rPr>
        <w:t xml:space="preserve"> et al</w:t>
      </w:r>
      <w:r w:rsidR="001B3E6E">
        <w:rPr>
          <w:iCs/>
        </w:rPr>
        <w:t>.</w:t>
      </w:r>
      <w:r w:rsidR="00E422B2" w:rsidRPr="00965500">
        <w:rPr>
          <w:iCs/>
        </w:rPr>
        <w:t>, 2020)</w:t>
      </w:r>
      <w:r w:rsidRPr="00E422B2">
        <w:rPr>
          <w:iCs/>
        </w:rPr>
        <w:t>.</w:t>
      </w:r>
      <w:r>
        <w:t xml:space="preserve"> Though the investigation established the case as one of medical negligence, </w:t>
      </w:r>
      <w:r>
        <w:lastRenderedPageBreak/>
        <w:t xml:space="preserve">alarm struck the community, rumors spread, and the vaccination program sustained serious damage in the public eye following a temporary suspension and immediate vaccine recall. In the wake of this fragile tipping point, Robert F. Kennedy Jr., who at the time was chairman of Children’s Health Defense, an anti-vaccine non-profit, collaborated with the Prime Minister of the island to observe “health outcomes following the ‘natural experiment’” (Zadrozny, 2025). </w:t>
      </w:r>
    </w:p>
    <w:p w14:paraId="0000008A" w14:textId="62DBF1E0" w:rsidR="007436C6" w:rsidRDefault="00D4549A">
      <w:pPr>
        <w:spacing w:line="480" w:lineRule="auto"/>
        <w:ind w:firstLine="720"/>
      </w:pPr>
      <w:r>
        <w:t>The situation presented an opportunity to test the efficacy of vaccines in a way that was not possible in the States: by performing trials dependent on the results of large numbers of children remaining unvaccinated. The premise of this potential “experiment” would be the withholding of vaccines known to effectively prevent disease and intentionally leaving children vulnerable to contraction and possible death– arguably one of the most unethical, crooked means to improve scientific understanding. Though the vaccines were not forcibly withheld in the Samoan nation, the insertion of a prominent and engaged figure in support of their fearful decisions for his own gain unleashed damage of a similar scale. Over the course of several months, RFK continued to ‘guide’ local anti-vaccine activists, though he eventually claimed that blaming measles as the cause of death for 80 lives was a “controversial supposition</w:t>
      </w:r>
      <w:r w:rsidR="00226578">
        <w:t>.</w:t>
      </w:r>
      <w:r>
        <w:t>”</w:t>
      </w:r>
      <w:r w:rsidR="00226578">
        <w:t xml:space="preserve"> </w:t>
      </w:r>
      <w:r>
        <w:t>While RFK isn’t solely responsible for this loss and the infection of thousands, this case illustrates the powerful impact of disbelief and how seamlessly non-scientific explanations can infiltrate spaces of disconnect. RFK and his movement helped provide visibility to a desperate, scared population in a vulnerable time, something that marginalized communities have been pleading for centuries. In the move to address systematic exclusion, the healthcare system must grant this visibility in an effective, authentic manner before misinformation bridges the gap and contributes to severe health consequences.</w:t>
      </w:r>
    </w:p>
    <w:p w14:paraId="0000008B" w14:textId="13F92FD6" w:rsidR="007436C6" w:rsidRDefault="00D4549A">
      <w:pPr>
        <w:spacing w:line="480" w:lineRule="auto"/>
        <w:ind w:firstLine="720"/>
      </w:pPr>
      <w:r>
        <w:lastRenderedPageBreak/>
        <w:t>These cases in combination with previous literature suggest several blatant limitations within our healthcare system, one of them being a lack of diversity among the physician population. As patients, our dependence on the knowledge of physicians displays a perceptible power dynamic. To add to the divide, many in my focus population lack English proficiency, making them unable to thoroughly vocalize their concerns to their American providers, ultimately rendering them even more vulnerable. In</w:t>
      </w:r>
      <w:r w:rsidR="00625F0E">
        <w:t xml:space="preserve"> a study capturing </w:t>
      </w:r>
      <w:r w:rsidR="00CA155A">
        <w:t>the racial and ethnic composition of primary care physicians in the U.S.</w:t>
      </w:r>
      <w:r>
        <w:t xml:space="preserve">, </w:t>
      </w:r>
      <w:r w:rsidR="00362CCE">
        <w:t xml:space="preserve">between </w:t>
      </w:r>
      <w:r>
        <w:t>6</w:t>
      </w:r>
      <w:r w:rsidR="00362CCE">
        <w:t>8</w:t>
      </w:r>
      <w:r>
        <w:t>%</w:t>
      </w:r>
      <w:r w:rsidR="00362CCE">
        <w:t xml:space="preserve"> to </w:t>
      </w:r>
      <w:r w:rsidR="00DB33F1">
        <w:t>75%</w:t>
      </w:r>
      <w:r>
        <w:t xml:space="preserve"> </w:t>
      </w:r>
      <w:r w:rsidR="00CA155A">
        <w:t xml:space="preserve">were found to be </w:t>
      </w:r>
      <w:r>
        <w:t xml:space="preserve">white, while only </w:t>
      </w:r>
      <w:r w:rsidR="00227E8B">
        <w:t>around 6</w:t>
      </w:r>
      <w:r>
        <w:t>% identif</w:t>
      </w:r>
      <w:r w:rsidR="00CA155A">
        <w:t>ied</w:t>
      </w:r>
      <w:r>
        <w:t xml:space="preserve"> as Hispanic or Latino and </w:t>
      </w:r>
      <w:r w:rsidR="00227E8B">
        <w:t>7</w:t>
      </w:r>
      <w:r>
        <w:t>% identif</w:t>
      </w:r>
      <w:r w:rsidR="00DE2ED9">
        <w:t>ied</w:t>
      </w:r>
      <w:r>
        <w:t xml:space="preserve"> as Black or African </w:t>
      </w:r>
      <w:r w:rsidRPr="00DE6E19">
        <w:t>American</w:t>
      </w:r>
      <w:r w:rsidR="00DE2ED9">
        <w:t xml:space="preserve">, though varying across </w:t>
      </w:r>
      <w:proofErr w:type="spellStart"/>
      <w:r w:rsidR="00DE2ED9">
        <w:t>specialities</w:t>
      </w:r>
      <w:proofErr w:type="spellEnd"/>
      <w:r w:rsidRPr="00DE6E19">
        <w:t xml:space="preserve"> (</w:t>
      </w:r>
      <w:proofErr w:type="spellStart"/>
      <w:r w:rsidR="00E107A0" w:rsidRPr="00965500">
        <w:t>Xierali</w:t>
      </w:r>
      <w:proofErr w:type="spellEnd"/>
      <w:r w:rsidRPr="00965500">
        <w:t>, 20</w:t>
      </w:r>
      <w:r w:rsidR="00DE6E19" w:rsidRPr="00965500">
        <w:t>18</w:t>
      </w:r>
      <w:r w:rsidRPr="00965500">
        <w:t>).</w:t>
      </w:r>
      <w:r>
        <w:rPr>
          <w:i/>
        </w:rPr>
        <w:t xml:space="preserve"> </w:t>
      </w:r>
      <w:r>
        <w:t>The privilege of matching every patient to a physician of their same ethnic/racial background and gender is a privilege that is largely implausible though proven to improve health outcomes (</w:t>
      </w:r>
      <w:proofErr w:type="spellStart"/>
      <w:r>
        <w:t>Alsan</w:t>
      </w:r>
      <w:proofErr w:type="spellEnd"/>
      <w:r>
        <w:t xml:space="preserve"> et al</w:t>
      </w:r>
      <w:r w:rsidR="00AB0B9A">
        <w:t>.</w:t>
      </w:r>
      <w:r>
        <w:t xml:space="preserve">, 2018). There is hope in the years to come as more women and minorities </w:t>
      </w:r>
      <w:r w:rsidR="00226578">
        <w:t>enter</w:t>
      </w:r>
      <w:r>
        <w:t xml:space="preserve"> the medical field and mitigate these inequities. However, this burden cannot be redressed simply by diversity in recruitment but in education. All physicians must be equipped to care for patients across demographics, with cultural competence, race-conscious practice, and heightened awareness of gender, socioeconomic, and ableist biases among others. </w:t>
      </w:r>
    </w:p>
    <w:p w14:paraId="0000008C" w14:textId="1A88DED6" w:rsidR="007436C6" w:rsidRDefault="00D4549A">
      <w:pPr>
        <w:spacing w:line="480" w:lineRule="auto"/>
        <w:ind w:firstLine="720"/>
      </w:pPr>
      <w:r>
        <w:t>This is no simple task, as this demands a physician’s commitment to placing shared humanity above the often</w:t>
      </w:r>
      <w:r w:rsidR="00992D40">
        <w:t>-</w:t>
      </w:r>
      <w:r>
        <w:t xml:space="preserve">daunting effort of understanding their differences. At the same time, physicians also suffer at the hands of a healthcare system with constantly rising expectations often at the expense of their own wellbeing and to the detriment of everyone (West et al., 2018). Bridging the gap between the misunderstood patient and the physician relies not only on the background and character of a physician or their willingness to learn, but also on recognizing the systemic context that has long permitted this disconnect. Insurance companies remain a </w:t>
      </w:r>
      <w:r>
        <w:lastRenderedPageBreak/>
        <w:t xml:space="preserve">confounding variable that marks patient-physician interactions with a </w:t>
      </w:r>
      <w:r w:rsidR="00B727B4">
        <w:t xml:space="preserve">heavily </w:t>
      </w:r>
      <w:r>
        <w:t>business minded framework</w:t>
      </w:r>
      <w:r w:rsidR="0087577A">
        <w:t xml:space="preserve"> (UNC Pembroke, 2024)</w:t>
      </w:r>
      <w:r>
        <w:t xml:space="preserve">. </w:t>
      </w:r>
    </w:p>
    <w:p w14:paraId="0000008D" w14:textId="48E6F828" w:rsidR="007436C6" w:rsidRDefault="00D4549A">
      <w:pPr>
        <w:spacing w:line="480" w:lineRule="auto"/>
        <w:ind w:firstLine="720"/>
      </w:pPr>
      <w:r>
        <w:t>By minimizing payment for medical services, insurance companies’ expenses are cut. Insurers lower doctors</w:t>
      </w:r>
      <w:r w:rsidR="00BB50AB">
        <w:t>’</w:t>
      </w:r>
      <w:r>
        <w:t xml:space="preserve"> fees, a form of imbursement, so low to the point where it becomes too costly for medical offices to provide certain services, effectively discouraging comprehensive care. Additionally, tracking systems pressure doctors to shorten individual appointments to cover more patients in volume. When physicians are under these rigid, time-constrained guidelines designed for the general population and not for individual concerns, it’s easy to see why deeper consideration for cultural and contextual factors is often absent in the exam room. Rushed and expensive appointments foster a culture of dissatisfaction a</w:t>
      </w:r>
      <w:r w:rsidR="00030E3B">
        <w:t xml:space="preserve">s </w:t>
      </w:r>
      <w:proofErr w:type="gramStart"/>
      <w:r w:rsidR="00030E3B">
        <w:t>physicians</w:t>
      </w:r>
      <w:proofErr w:type="gramEnd"/>
      <w:r w:rsidR="00030E3B">
        <w:t xml:space="preserve"> attention is directed to navigating </w:t>
      </w:r>
      <w:r w:rsidR="00427C2A">
        <w:t>difficult policies instead of “direct clinical care.”</w:t>
      </w:r>
      <w:r>
        <w:t xml:space="preserve"> Thus, the vicious cycle continues as diagnoses are made too late and minorities increasingly disengage from providers that are systematically constrained from addressing their specific needs. </w:t>
      </w:r>
      <w:r w:rsidR="00B22DA8">
        <w:t>So,</w:t>
      </w:r>
      <w:r>
        <w:t xml:space="preserve"> are both the patient and physician entirely helpless?</w:t>
      </w:r>
    </w:p>
    <w:p w14:paraId="0000008E" w14:textId="5FCAE188" w:rsidR="007436C6" w:rsidRDefault="00D4549A">
      <w:pPr>
        <w:spacing w:line="480" w:lineRule="auto"/>
        <w:ind w:firstLine="720"/>
      </w:pPr>
      <w:r>
        <w:t>Another distinct limitation is the underrepresentation of minorities in research studies. Many studies have pinned individual and community factors as the primary contributors to low minority participation, citing unwillingness among other factors such as low health literacy, high opportunity cost, and mistrust in the purpose and beneficiaries of the research (Bibbins-Domingo &amp; Helman, 2022). Establishing a distinct cause of low participation is difficult partly because researchers simply have not deeply inquired as to why people don’t want to join. However, even as the issue of trust remains the “most commonly cited individual-level reason</w:t>
      </w:r>
      <w:r w:rsidR="00226578">
        <w:t>,</w:t>
      </w:r>
      <w:r>
        <w:t xml:space="preserve">” some studies claim that it is not the biggest obstacle (Bibbins-Domingo &amp; Helman, 2022, p. 80). Analyzing the social and economic factors that may drive personal decision-making </w:t>
      </w:r>
      <w:proofErr w:type="gramStart"/>
      <w:r>
        <w:t>in light of</w:t>
      </w:r>
      <w:proofErr w:type="gramEnd"/>
      <w:r>
        <w:t xml:space="preserve"> the “link </w:t>
      </w:r>
      <w:r>
        <w:lastRenderedPageBreak/>
        <w:t xml:space="preserve">between historical and contemporary occurrences of scientific misconduct/abuse and the mistrust of underrepresented populations toward research” is a better, well-informed way of identifying these systematic barriers. This holds dominating structures accountable for their contributions while recognizing that minorities should not be blamed for their own exclusion as epistemic outsiders. </w:t>
      </w:r>
    </w:p>
    <w:p w14:paraId="0000008F" w14:textId="696205E9" w:rsidR="007436C6" w:rsidRDefault="00D4549A">
      <w:pPr>
        <w:spacing w:line="480" w:lineRule="auto"/>
        <w:ind w:firstLine="720"/>
      </w:pPr>
      <w:r>
        <w:t>This welcoming of minority communities as epistemic contribut</w:t>
      </w:r>
      <w:r w:rsidR="00B07070">
        <w:t>or</w:t>
      </w:r>
      <w:r>
        <w:t xml:space="preserve">s to research should be prioritized from the start. Generally, research questions are framed by the interests of academia, researchers, and funding. However, by including individuals and communities in the development of research questions, the underrepresented are exposed to the process, making them more likely to further engage and encourage others to join, and potentially enhancing the quality of the study in relevance, equity, retention, and potentially outcomes. For instance, “activism by the HIV/AIDS community led to the first federally funded community advisory boards” and transformed the research process and focused research priorities on the needs of the underserved (Bibbins-Domingo &amp; Helman, 2022, p. 83). Even as the value of engagement is increasingly recognized, true partnership between community and researchers is a fine balance with wavering commitment in the academic world. The early stages of the COVID-19 pandemic give a revealing, modern-day perspective on the involvement of patient and communal experiences in the research process. </w:t>
      </w:r>
    </w:p>
    <w:p w14:paraId="00000090" w14:textId="470C841D" w:rsidR="007436C6" w:rsidRDefault="00D4549A">
      <w:pPr>
        <w:spacing w:line="480" w:lineRule="auto"/>
        <w:ind w:firstLine="720"/>
      </w:pPr>
      <w:r>
        <w:t xml:space="preserve">The uniqueness of the pandemic was its unprecedented impact and scale, but the pattern of dismissal was recognized by patients with Long Covid in a study surveying 334 patients (Au et al., 2022). Even </w:t>
      </w:r>
      <w:r w:rsidR="00226578">
        <w:t>during</w:t>
      </w:r>
      <w:r>
        <w:t xml:space="preserve"> both physicians and patients navigating an unknown illness with numerous symptoms and limited medical answers, many patients found their realities dismissed and their credibility doubted. Ultimately this led to exhausting searches for specialists and </w:t>
      </w:r>
      <w:r>
        <w:lastRenderedPageBreak/>
        <w:t>“diagnostic odysseys” that aligned with physicians existing frameworks, causing patients to rely on online support groups instead. In the solidarity of prolonged struggle, these patients transformed personal experiences into credible, authoritative claims. Au captures this powerfully, noting how physicians, as “spokespersons for the institution of medicine</w:t>
      </w:r>
      <w:r w:rsidR="00226578">
        <w:t>,</w:t>
      </w:r>
      <w:r>
        <w:t>”</w:t>
      </w:r>
      <w:r w:rsidR="00226578">
        <w:t xml:space="preserve"> </w:t>
      </w:r>
      <w:r>
        <w:t>define what is real with textbook “signs” often overriding patient testimonies. However, this initial gap is being bridged by Long Covid communities through patient-led research that has refined medical categorization. It is undeniable that their contributions have translated lived experiences into research studies and interventions that will shape scientific knowledge and validate many future patients, but what remains unclear is the likelihood of such positive, widespread impact by other hesitant populations.</w:t>
      </w:r>
    </w:p>
    <w:p w14:paraId="00000091" w14:textId="4D4012F1" w:rsidR="007436C6" w:rsidRDefault="00D4549A">
      <w:pPr>
        <w:spacing w:line="480" w:lineRule="auto"/>
        <w:ind w:firstLine="720"/>
      </w:pPr>
      <w:r>
        <w:t xml:space="preserve">In consideration of the Long Covid scenario, </w:t>
      </w:r>
      <w:r w:rsidR="00226578">
        <w:t>a few</w:t>
      </w:r>
      <w:r>
        <w:t xml:space="preserve"> distinct factors are at play including patients’ internet use to gain legitimacy in their experiences, the novelty of the disease, and the fact that patients' suspicions ultimately proved to be true (Sadeghi </w:t>
      </w:r>
      <w:proofErr w:type="spellStart"/>
      <w:r>
        <w:t>Dousari</w:t>
      </w:r>
      <w:proofErr w:type="spellEnd"/>
      <w:r>
        <w:t xml:space="preserve"> et al., 2020). Now transferring these factors to my original case study with the small Eritrean community, we notice a parallel that is incredibly delicate and difficult to judge in our current socio-political context. The facts are as such: an understudied and vulnerable population is experiencing real symptoms without appropriate validation of their experiences leading to vaccine hesitancy. Though uncommon in the Eritrean community, the condition of autism is not novel and the suspected connection to child vaccines has</w:t>
      </w:r>
      <w:r w:rsidR="003D782F">
        <w:t>, until this point, not been proven by any means but disproven.</w:t>
      </w:r>
      <w:r>
        <w:t xml:space="preserve"> Naturally, the community has turned to online sources for support and visibility. These compelling features seem typical of societal understandings of extreme right-wing vaccine-skepticism rooted in ignorance, privilege, and misinformation, but this characterization </w:t>
      </w:r>
      <w:r w:rsidR="00032B5F">
        <w:t xml:space="preserve">is </w:t>
      </w:r>
      <w:r w:rsidR="00032B5F">
        <w:lastRenderedPageBreak/>
        <w:t xml:space="preserve">unreasonable </w:t>
      </w:r>
      <w:r>
        <w:t>(Campeau, 2023</w:t>
      </w:r>
      <w:r w:rsidR="00032B5F">
        <w:t>).</w:t>
      </w:r>
      <w:r>
        <w:t xml:space="preserve"> I argue that such an interpretation is overly reductive and unjust considering this community's marginalization in the epistemic world.</w:t>
      </w:r>
    </w:p>
    <w:p w14:paraId="000000A6" w14:textId="7FFC3E73" w:rsidR="006606A1" w:rsidRDefault="00D4549A" w:rsidP="00486327">
      <w:pPr>
        <w:spacing w:line="480" w:lineRule="auto"/>
        <w:ind w:firstLine="720"/>
      </w:pPr>
      <w:r>
        <w:t xml:space="preserve">This case is unique </w:t>
      </w:r>
      <w:r w:rsidR="00032B5F">
        <w:t>because</w:t>
      </w:r>
      <w:r>
        <w:t xml:space="preserve"> both the persistent patient and the skeptical physician have justified grounds of concern, but to affirm both sides would appear contradictory. One common tactic meant to squash the vaccine hesitancy of the patient is by shaming ‘anti-vaxxers</w:t>
      </w:r>
      <w:r w:rsidR="00032B5F">
        <w:t>.</w:t>
      </w:r>
      <w:r>
        <w:t xml:space="preserve">’ Even in its rightful intentions of encouraging public safety and trust in evidence-based medicine, its collateral effects of polarization and alienation are counterproductive and further compounded by the already adverse experiences of an already dismissed, gaslit population. </w:t>
      </w:r>
      <w:r w:rsidR="00032B5F">
        <w:t>Considering</w:t>
      </w:r>
      <w:r>
        <w:t xml:space="preserve"> this, I consider vaccine shaming extremely ineffective </w:t>
      </w:r>
      <w:proofErr w:type="gramStart"/>
      <w:r>
        <w:t>as a means to</w:t>
      </w:r>
      <w:proofErr w:type="gramEnd"/>
      <w:r>
        <w:t xml:space="preserve"> mitigate hesitation and ease the worries of the patient. Race-based medicine may be framed as a way for healthcare systems and physicians to provide more attentive care centered on the distinct presentations, diagnoses, and interventions needed by a historically marginalized population. Some would go as far as to claim it as a mode of “reparations” for Black populations as seen with the introduction of Bi-Dil, a drug advertised to treat “</w:t>
      </w:r>
      <w:r w:rsidR="00BD49DC">
        <w:t>B</w:t>
      </w:r>
      <w:r>
        <w:t>lack heart failure” (Roberts, 2011). However, the short success of this approach proved to be an absolute failure, revealing its ultimate blight–</w:t>
      </w:r>
      <w:r w:rsidR="00362CC3">
        <w:t>specifically</w:t>
      </w:r>
      <w:r>
        <w:t xml:space="preserve"> its “scientific” fixation on race. Race-based medicine does not remedy the epistemic oppression of minority populations; it perpetuates the </w:t>
      </w:r>
      <w:proofErr w:type="spellStart"/>
      <w:r>
        <w:t>unreflexive</w:t>
      </w:r>
      <w:proofErr w:type="spellEnd"/>
      <w:r>
        <w:t xml:space="preserve"> nature of the system that sustains health disparities in the first place.    </w:t>
      </w:r>
    </w:p>
    <w:p w14:paraId="0AF4B685" w14:textId="77777777" w:rsidR="006606A1" w:rsidRDefault="006606A1">
      <w:pPr>
        <w:spacing w:line="276" w:lineRule="auto"/>
      </w:pPr>
      <w:r>
        <w:br w:type="page"/>
      </w:r>
    </w:p>
    <w:p w14:paraId="000000A7" w14:textId="76E9B714" w:rsidR="007436C6" w:rsidRDefault="00486327">
      <w:pPr>
        <w:spacing w:line="480" w:lineRule="auto"/>
        <w:jc w:val="center"/>
      </w:pPr>
      <w:r>
        <w:rPr>
          <w:b/>
        </w:rPr>
        <w:lastRenderedPageBreak/>
        <w:t>SECTION 3.1 RACE: FROM GENETIC PROXY TO SOCIAL STRUCTURE</w:t>
      </w:r>
    </w:p>
    <w:p w14:paraId="000000A8" w14:textId="601A4BE5" w:rsidR="007436C6" w:rsidRDefault="00D4549A">
      <w:pPr>
        <w:spacing w:line="480" w:lineRule="auto"/>
      </w:pPr>
      <w:r>
        <w:tab/>
        <w:t>The work of Dorothy Roberts has been critical in uncovering the deficiencies of race-based medicine, beginning with its treatment of race, “a critical variable, so unscientifically” (Roberts, 2016). In many studies, race is self-reported by participants as a form of identification. Roberts highlights the fluidity of races as “social groupings” with fabricated demarcations that have varied across time and space. For example, many African immigrants in the States do not identify as “Black” but dismiss it as an American term, placing their identity in other factors such as ethnicity and oftentimes hoping to distinguish themselves from the perceived prejudice that comes with “Blackness</w:t>
      </w:r>
      <w:r w:rsidR="00032B5F">
        <w:t>.</w:t>
      </w:r>
      <w:r>
        <w:t xml:space="preserve">” This approach is futile in research, as African immigrants are often automatically categorized as Black based on their phenotype and ties to African geographic ancestry. Yet even the latter classification is flawed as demonstrated by North African immigrants. For example, Egyptian immigrants are clearly geographically African, but </w:t>
      </w:r>
      <w:r w:rsidR="002B09F1">
        <w:t>they</w:t>
      </w:r>
      <w:r>
        <w:t xml:space="preserve"> </w:t>
      </w:r>
      <w:r w:rsidR="002B09F1">
        <w:t>are not</w:t>
      </w:r>
      <w:r>
        <w:t xml:space="preserve"> Black in our society's context</w:t>
      </w:r>
      <w:r w:rsidR="002B09F1">
        <w:t xml:space="preserve">. </w:t>
      </w:r>
      <w:r>
        <w:t>Label</w:t>
      </w:r>
      <w:r w:rsidR="002B09F1">
        <w:t>ling</w:t>
      </w:r>
      <w:r>
        <w:t xml:space="preserve"> them as </w:t>
      </w:r>
      <w:r w:rsidR="00BD49DC">
        <w:t>w</w:t>
      </w:r>
      <w:r>
        <w:t>hite also erases their unique ancestry and excludes the population all together</w:t>
      </w:r>
      <w:r w:rsidR="004065A5">
        <w:t>, causing them to fall through the cracks</w:t>
      </w:r>
      <w:r w:rsidR="00F26EBE">
        <w:t xml:space="preserve"> in medical research</w:t>
      </w:r>
      <w:r>
        <w:t xml:space="preserve">. Thus, we understand that society and politics have established our understanding of race, with “lawmakers, not biologists establishing the legal definitions of races” (Roberts, 2016). </w:t>
      </w:r>
    </w:p>
    <w:p w14:paraId="000000A9" w14:textId="4FC8EA2E" w:rsidR="007436C6" w:rsidRDefault="00D4549A">
      <w:pPr>
        <w:spacing w:line="480" w:lineRule="auto"/>
        <w:ind w:firstLine="720"/>
      </w:pPr>
      <w:r>
        <w:t>In 2003, the Human Genome project ended its sequencing of the complete human genome with findings indicating that humans are genetically more than 99% the same (Green, 2022). The minute difference has not yet been found, which is where the “race-by-proxy theory” has attempted to fill the gaps (Roberts, 2016). Race has become the ultimate “shortcut… a convenient proxy for more important (genetic) factors</w:t>
      </w:r>
      <w:r w:rsidR="00032B5F">
        <w:t>,</w:t>
      </w:r>
      <w:r>
        <w:t>”</w:t>
      </w:r>
      <w:r w:rsidR="00735ACA">
        <w:t xml:space="preserve"> </w:t>
      </w:r>
      <w:r>
        <w:t xml:space="preserve">often </w:t>
      </w:r>
      <w:r w:rsidR="00735ACA">
        <w:t>taking</w:t>
      </w:r>
      <w:r>
        <w:t xml:space="preserve"> precedence over evidence-based factors from the very start of a diagnosis</w:t>
      </w:r>
      <w:r w:rsidR="00735ACA">
        <w:t>.</w:t>
      </w:r>
      <w:r w:rsidR="005C3D1A">
        <w:t xml:space="preserve"> </w:t>
      </w:r>
      <w:r>
        <w:t>It has substituted for potential “clinical measures” such as the patient’s “symptoms, family illnesses, their history, their own illnesses</w:t>
      </w:r>
      <w:r w:rsidR="00032B5F">
        <w:t>,</w:t>
      </w:r>
      <w:r>
        <w:t xml:space="preserve">” </w:t>
      </w:r>
      <w:r>
        <w:lastRenderedPageBreak/>
        <w:t xml:space="preserve">and directly impacts their corresponding treatments. For instance, a </w:t>
      </w:r>
      <w:r w:rsidR="00BD49DC">
        <w:t>w</w:t>
      </w:r>
      <w:r>
        <w:t>hite and a Black patient can walk into an emergency room with the same painful condition, and the Black patient will be less likely to receive pain medication at all, let alone receive the same dosage (Hoffman et al., 2016). Before a diagnosis is actually made, the stereotypes and biases of “race-as-proxy” medicine assign the patient to a preconceived notion of illness that is no</w:t>
      </w:r>
      <w:r w:rsidR="00590FB3">
        <w:t xml:space="preserve">t </w:t>
      </w:r>
      <w:r w:rsidR="004D0894">
        <w:t xml:space="preserve">necessarily </w:t>
      </w:r>
      <w:r w:rsidR="00590FB3">
        <w:t>representative of their actual experience</w:t>
      </w:r>
      <w:r>
        <w:t xml:space="preserve">, often </w:t>
      </w:r>
      <w:r w:rsidR="00590FB3">
        <w:t>rooted in</w:t>
      </w:r>
      <w:r>
        <w:t xml:space="preserve"> the beliefs that Black people “feel less pain, exaggerate their pain, and are more predisposed to drug addiction</w:t>
      </w:r>
      <w:r w:rsidR="00032B5F">
        <w:t>;</w:t>
      </w:r>
      <w:r>
        <w:t>”</w:t>
      </w:r>
      <w:r w:rsidR="00D8227D">
        <w:t xml:space="preserve"> these</w:t>
      </w:r>
      <w:r w:rsidR="009544EA">
        <w:t xml:space="preserve"> beliefs then</w:t>
      </w:r>
      <w:r>
        <w:t xml:space="preserve"> direct the very interventions for their condition (Roberts, 2016). </w:t>
      </w:r>
      <w:r w:rsidR="00DF306E">
        <w:t>The substitutio</w:t>
      </w:r>
      <w:r w:rsidR="00ED3F6B">
        <w:t xml:space="preserve">n of race </w:t>
      </w:r>
      <w:r w:rsidR="00DD5229">
        <w:t xml:space="preserve">within a patient room </w:t>
      </w:r>
      <w:r w:rsidR="00A65741">
        <w:t xml:space="preserve">can be traced back to its </w:t>
      </w:r>
      <w:r w:rsidR="0058416A">
        <w:t>original</w:t>
      </w:r>
      <w:r w:rsidR="00FF0497">
        <w:t xml:space="preserve"> </w:t>
      </w:r>
      <w:r w:rsidR="00A65741">
        <w:t>role as a biological category</w:t>
      </w:r>
      <w:r w:rsidR="0058416A">
        <w:t>.</w:t>
      </w:r>
    </w:p>
    <w:p w14:paraId="000000AA" w14:textId="5C45F26B" w:rsidR="007436C6" w:rsidRDefault="00D4549A">
      <w:pPr>
        <w:spacing w:line="480" w:lineRule="auto"/>
        <w:ind w:firstLine="720"/>
      </w:pPr>
      <w:r>
        <w:t>The very idea of a “racial concept of disease” stems from the days of slavery. Samuel Cartwright, a doctor in the pre-Civil war, promoted the belief that “people of different races suffer from different diseases and experience common diseases differently</w:t>
      </w:r>
      <w:r w:rsidR="008F70D4">
        <w:t>.</w:t>
      </w:r>
      <w:r>
        <w:t xml:space="preserve">” This reflects a fixation on race that was instilled </w:t>
      </w:r>
      <w:r w:rsidR="00032B5F">
        <w:t>to</w:t>
      </w:r>
      <w:r>
        <w:t xml:space="preserve"> preserve and justify systems of oppression meant to distance the </w:t>
      </w:r>
      <w:r w:rsidR="00BD49DC">
        <w:t>w</w:t>
      </w:r>
      <w:r>
        <w:t>hite body as far as possible from the Black body. It is far easier to exploit another human believed to be more resistant to pain</w:t>
      </w:r>
      <w:r w:rsidR="00867AA6">
        <w:t xml:space="preserve">, </w:t>
      </w:r>
      <w:r w:rsidR="00454E78">
        <w:t xml:space="preserve">less </w:t>
      </w:r>
      <w:r>
        <w:t>disease-prone due to their “tougher” skin and naturally suited to harsh labor. While the motivations behind contemporary race-based medicine are quite different, the underlying logic of biological distinction remains disturbingly consistent–how can this be reconciled?</w:t>
      </w:r>
      <w:r w:rsidR="00736788">
        <w:t xml:space="preserve"> I argue that </w:t>
      </w:r>
      <w:r w:rsidR="00A13416">
        <w:t xml:space="preserve">though </w:t>
      </w:r>
      <w:r w:rsidR="00F046A0">
        <w:t xml:space="preserve">the idea of </w:t>
      </w:r>
      <w:r w:rsidR="00A13416">
        <w:t xml:space="preserve">race has </w:t>
      </w:r>
      <w:r w:rsidR="00B44C7A">
        <w:t xml:space="preserve">entered a conceptual </w:t>
      </w:r>
      <w:r w:rsidR="00C30D72">
        <w:t>gray</w:t>
      </w:r>
      <w:r w:rsidR="002E2329">
        <w:t xml:space="preserve"> </w:t>
      </w:r>
      <w:r w:rsidR="00C30D72">
        <w:t>phase</w:t>
      </w:r>
      <w:r w:rsidR="00B77C4F">
        <w:t xml:space="preserve">, </w:t>
      </w:r>
      <w:r w:rsidR="00B44C7A">
        <w:t>widely acknowledged as</w:t>
      </w:r>
      <w:r w:rsidR="00C30D72">
        <w:t xml:space="preserve"> </w:t>
      </w:r>
      <w:r w:rsidR="00B8109D">
        <w:t>a social construct</w:t>
      </w:r>
      <w:r w:rsidR="00B77C4F">
        <w:t xml:space="preserve"> while </w:t>
      </w:r>
      <w:r w:rsidR="004039C0">
        <w:t xml:space="preserve">still </w:t>
      </w:r>
      <w:r w:rsidR="00CC03D2">
        <w:t>implicitly or explicitly being</w:t>
      </w:r>
      <w:r w:rsidR="004039C0">
        <w:t xml:space="preserve"> accepted by some as a biological category</w:t>
      </w:r>
      <w:r w:rsidR="00B44C7A">
        <w:t>.</w:t>
      </w:r>
      <w:r w:rsidR="004039C0">
        <w:t xml:space="preserve"> </w:t>
      </w:r>
      <w:r w:rsidR="00CC03D2">
        <w:t>This ambiguity may</w:t>
      </w:r>
      <w:r w:rsidR="004039C0">
        <w:t xml:space="preserve"> </w:t>
      </w:r>
      <w:r w:rsidR="001816BC">
        <w:t>be due</w:t>
      </w:r>
      <w:r w:rsidR="00D568A0">
        <w:t xml:space="preserve"> in part to its </w:t>
      </w:r>
      <w:r w:rsidR="004039C0">
        <w:t>conflation with geographic ancestry</w:t>
      </w:r>
      <w:r w:rsidR="000F005A">
        <w:t xml:space="preserve">, a factor that carries a degree of </w:t>
      </w:r>
      <w:r w:rsidR="001005A4">
        <w:t xml:space="preserve">nuanced </w:t>
      </w:r>
      <w:r w:rsidR="00D568A0">
        <w:t xml:space="preserve">scientific </w:t>
      </w:r>
      <w:r w:rsidR="00157362">
        <w:t>legitimacy</w:t>
      </w:r>
      <w:r w:rsidR="00C406A9">
        <w:t xml:space="preserve"> though still bearing remnants of historically embedded social beliefs</w:t>
      </w:r>
      <w:r w:rsidR="00CC0096">
        <w:t xml:space="preserve">. </w:t>
      </w:r>
      <w:r w:rsidR="004A7207">
        <w:t xml:space="preserve"> </w:t>
      </w:r>
    </w:p>
    <w:p w14:paraId="35F1695E" w14:textId="5BCB5C61" w:rsidR="00210380" w:rsidRDefault="00D4549A" w:rsidP="00DC7CBC">
      <w:pPr>
        <w:spacing w:line="480" w:lineRule="auto"/>
        <w:ind w:firstLine="720"/>
      </w:pPr>
      <w:r>
        <w:lastRenderedPageBreak/>
        <w:t xml:space="preserve">Contemporary race-based medicine is focused on finding “innate racial differences” as a substitute for currently unknown “genetic or pathophysiological differences” (Roberts, 2011). </w:t>
      </w:r>
      <w:r w:rsidR="004C4BD5" w:rsidRPr="00C22DC8">
        <w:rPr>
          <w:color w:val="000000"/>
        </w:rPr>
        <w:t>The introduction of Bi-Dil as a drug meant to treat “</w:t>
      </w:r>
      <w:r w:rsidR="00C87574">
        <w:rPr>
          <w:color w:val="000000"/>
        </w:rPr>
        <w:t>African American</w:t>
      </w:r>
      <w:r w:rsidR="00C87574" w:rsidRPr="00C22DC8">
        <w:rPr>
          <w:color w:val="000000"/>
        </w:rPr>
        <w:t xml:space="preserve"> </w:t>
      </w:r>
      <w:r w:rsidR="004C4BD5" w:rsidRPr="00C22DC8">
        <w:rPr>
          <w:color w:val="000000"/>
        </w:rPr>
        <w:t xml:space="preserve">heart failure” exhibits this </w:t>
      </w:r>
      <w:r w:rsidR="00865803" w:rsidRPr="00C22DC8">
        <w:rPr>
          <w:color w:val="000000"/>
        </w:rPr>
        <w:t xml:space="preserve">very </w:t>
      </w:r>
      <w:r w:rsidR="00426EB6" w:rsidRPr="00C22DC8">
        <w:rPr>
          <w:color w:val="000000"/>
        </w:rPr>
        <w:t>flaw</w:t>
      </w:r>
      <w:r w:rsidR="00865803" w:rsidRPr="00C22DC8">
        <w:rPr>
          <w:color w:val="000000"/>
        </w:rPr>
        <w:t>.</w:t>
      </w:r>
      <w:r w:rsidR="004C4BD5" w:rsidRPr="00C22DC8">
        <w:rPr>
          <w:color w:val="000000"/>
        </w:rPr>
        <w:t xml:space="preserve"> </w:t>
      </w:r>
      <w:r w:rsidR="00865803" w:rsidRPr="00C22DC8">
        <w:rPr>
          <w:color w:val="000000"/>
        </w:rPr>
        <w:t>S</w:t>
      </w:r>
      <w:r w:rsidR="004C4BD5" w:rsidRPr="00C22DC8">
        <w:rPr>
          <w:color w:val="000000"/>
        </w:rPr>
        <w:t>cientific integrity was overlooked for the sake of the public appea</w:t>
      </w:r>
      <w:r w:rsidR="00793ACB">
        <w:rPr>
          <w:color w:val="000000"/>
        </w:rPr>
        <w:t xml:space="preserve">l of creating a </w:t>
      </w:r>
      <w:r w:rsidR="00B838B3">
        <w:rPr>
          <w:color w:val="000000"/>
        </w:rPr>
        <w:t xml:space="preserve">miracle </w:t>
      </w:r>
      <w:r w:rsidR="00793ACB">
        <w:rPr>
          <w:color w:val="000000"/>
        </w:rPr>
        <w:t>drug specifically catered to addressing health disparities</w:t>
      </w:r>
      <w:r w:rsidR="004C4BD5" w:rsidRPr="00C22DC8">
        <w:rPr>
          <w:color w:val="000000"/>
        </w:rPr>
        <w:t xml:space="preserve"> for a vulnerable population. Differences in reactions to the drug, particularly in efficacy based on African Americans' predisposition towards hypertension, were then categorized as biological differences that were </w:t>
      </w:r>
      <w:r w:rsidR="007D417B">
        <w:rPr>
          <w:color w:val="000000"/>
        </w:rPr>
        <w:t>in fact</w:t>
      </w:r>
      <w:r w:rsidR="00F44C7A">
        <w:rPr>
          <w:color w:val="000000"/>
        </w:rPr>
        <w:t xml:space="preserve"> produced by</w:t>
      </w:r>
      <w:r w:rsidR="007D417B" w:rsidRPr="00C22DC8">
        <w:rPr>
          <w:color w:val="000000"/>
        </w:rPr>
        <w:t xml:space="preserve"> </w:t>
      </w:r>
      <w:r w:rsidR="004C4BD5" w:rsidRPr="00C22DC8">
        <w:rPr>
          <w:color w:val="000000"/>
        </w:rPr>
        <w:t xml:space="preserve">confounding social </w:t>
      </w:r>
      <w:r w:rsidR="00E522E1">
        <w:rPr>
          <w:color w:val="000000"/>
        </w:rPr>
        <w:t>factors sculpted by racism</w:t>
      </w:r>
      <w:r w:rsidR="004C4BD5" w:rsidRPr="00C22DC8">
        <w:rPr>
          <w:color w:val="000000"/>
        </w:rPr>
        <w:t xml:space="preserve">. </w:t>
      </w:r>
      <w:r w:rsidR="00CA7EAF" w:rsidRPr="00C22DC8">
        <w:t>Even</w:t>
      </w:r>
      <w:r w:rsidR="00CA7EAF">
        <w:t xml:space="preserve"> in this </w:t>
      </w:r>
      <w:r w:rsidR="00C87574">
        <w:t xml:space="preserve">purported </w:t>
      </w:r>
      <w:r w:rsidR="00EE6515">
        <w:t xml:space="preserve">attempt to </w:t>
      </w:r>
      <w:r w:rsidR="00D92CA4">
        <w:t>mitigate</w:t>
      </w:r>
      <w:r w:rsidR="00EE6515">
        <w:t xml:space="preserve"> </w:t>
      </w:r>
      <w:r w:rsidR="00D92CA4">
        <w:t>a</w:t>
      </w:r>
      <w:r w:rsidR="00EE6515">
        <w:t xml:space="preserve"> health disparity,</w:t>
      </w:r>
      <w:r w:rsidRPr="004C4BD5">
        <w:t xml:space="preserve"> yet another method of deflection by a broken, </w:t>
      </w:r>
      <w:proofErr w:type="spellStart"/>
      <w:r w:rsidRPr="004C4BD5">
        <w:t>unreflexive</w:t>
      </w:r>
      <w:proofErr w:type="spellEnd"/>
      <w:r w:rsidRPr="004C4BD5">
        <w:t xml:space="preserve"> system</w:t>
      </w:r>
      <w:r w:rsidR="00EE6515">
        <w:t xml:space="preserve"> is highlighted</w:t>
      </w:r>
      <w:r w:rsidR="00B95C82">
        <w:t xml:space="preserve">. Bi-Dil was </w:t>
      </w:r>
      <w:r w:rsidR="0089469E">
        <w:t>strictly tested on African Americans</w:t>
      </w:r>
      <w:r w:rsidR="00B31EC7">
        <w:t>, with no other demographics</w:t>
      </w:r>
      <w:r w:rsidR="00640B95">
        <w:t xml:space="preserve"> serving as controls</w:t>
      </w:r>
      <w:r w:rsidR="00360E78">
        <w:t xml:space="preserve">. </w:t>
      </w:r>
      <w:r w:rsidR="00795651">
        <w:t>Though</w:t>
      </w:r>
      <w:r w:rsidR="00700888">
        <w:t xml:space="preserve"> the</w:t>
      </w:r>
      <w:r w:rsidR="00360E78">
        <w:t xml:space="preserve"> drug’s maker, Nitro-Med, did not </w:t>
      </w:r>
      <w:r w:rsidR="00C61175">
        <w:t>explicitly</w:t>
      </w:r>
      <w:r w:rsidR="00B838B3">
        <w:t xml:space="preserve"> </w:t>
      </w:r>
      <w:r w:rsidR="00360E78">
        <w:t xml:space="preserve">claim that </w:t>
      </w:r>
      <w:r w:rsidR="00C17C41">
        <w:t xml:space="preserve">Bi-Dil couldn’t work for other populations, </w:t>
      </w:r>
      <w:r w:rsidR="00C61175">
        <w:t>its targeted marketing</w:t>
      </w:r>
      <w:r w:rsidR="000A3FFF">
        <w:t xml:space="preserve"> </w:t>
      </w:r>
      <w:r w:rsidR="00BA7248">
        <w:t>implicitly framed</w:t>
      </w:r>
      <w:r w:rsidR="0034740A">
        <w:t xml:space="preserve"> </w:t>
      </w:r>
      <w:r w:rsidR="00BA7248">
        <w:t>its</w:t>
      </w:r>
      <w:r w:rsidR="0034740A">
        <w:t xml:space="preserve"> </w:t>
      </w:r>
      <w:r w:rsidR="00BA7248">
        <w:t>effectiveness</w:t>
      </w:r>
      <w:r w:rsidR="0034740A">
        <w:t xml:space="preserve"> for only </w:t>
      </w:r>
      <w:r w:rsidR="00700888">
        <w:t>Black</w:t>
      </w:r>
      <w:r w:rsidR="0034740A">
        <w:t xml:space="preserve"> </w:t>
      </w:r>
      <w:r w:rsidR="00700888">
        <w:t>patients</w:t>
      </w:r>
      <w:r w:rsidR="0034740A">
        <w:t xml:space="preserve">. This </w:t>
      </w:r>
      <w:r w:rsidR="00AE2ACD">
        <w:t>need for broader efficacy data ha</w:t>
      </w:r>
      <w:r w:rsidR="00520CC1">
        <w:t>d</w:t>
      </w:r>
      <w:r w:rsidR="00AE2ACD">
        <w:t xml:space="preserve"> not been </w:t>
      </w:r>
      <w:r w:rsidR="00520CC1">
        <w:t xml:space="preserve">enforced as a </w:t>
      </w:r>
      <w:r w:rsidR="00AE2ACD">
        <w:t xml:space="preserve">standard in </w:t>
      </w:r>
      <w:r w:rsidR="00EE54DA">
        <w:t>many FDA-approved pharmaceutical drugs</w:t>
      </w:r>
      <w:r w:rsidR="002C10B1">
        <w:t xml:space="preserve">, as </w:t>
      </w:r>
      <w:r w:rsidR="00F36E4D">
        <w:t xml:space="preserve">historically </w:t>
      </w:r>
      <w:r w:rsidR="00E569DC">
        <w:t xml:space="preserve">nearly </w:t>
      </w:r>
      <w:r w:rsidR="00880905">
        <w:t>“</w:t>
      </w:r>
      <w:r w:rsidR="0041683F">
        <w:t>80%</w:t>
      </w:r>
      <w:r w:rsidR="00880905">
        <w:t xml:space="preserve"> of clinical trials were completed on white males” </w:t>
      </w:r>
      <w:r w:rsidR="0041683F">
        <w:t>(Berryhill, 2025).</w:t>
      </w:r>
      <w:r w:rsidR="00DC7CBC">
        <w:t xml:space="preserve"> </w:t>
      </w:r>
      <w:r w:rsidR="00233FE4">
        <w:t xml:space="preserve">The inclusion of women and </w:t>
      </w:r>
      <w:r w:rsidR="00593647">
        <w:t xml:space="preserve">non-white populations in research studies </w:t>
      </w:r>
      <w:r w:rsidR="002F60A7">
        <w:t>had been</w:t>
      </w:r>
      <w:r w:rsidR="00593647">
        <w:t xml:space="preserve"> </w:t>
      </w:r>
      <w:r w:rsidR="00B0690D">
        <w:t>recognized as a</w:t>
      </w:r>
      <w:r w:rsidR="00B87592">
        <w:t xml:space="preserve"> critical component </w:t>
      </w:r>
      <w:r w:rsidR="008E53F0">
        <w:t xml:space="preserve">in </w:t>
      </w:r>
      <w:r w:rsidR="00CE049D">
        <w:t>ensuring</w:t>
      </w:r>
      <w:r w:rsidR="008E53F0">
        <w:t xml:space="preserve"> the generalizability of results. However, </w:t>
      </w:r>
      <w:r w:rsidR="00EC5CA4">
        <w:t xml:space="preserve">Bi-Dil </w:t>
      </w:r>
      <w:r w:rsidR="00CE049D">
        <w:t>appeared to contradict</w:t>
      </w:r>
      <w:r w:rsidR="002F60A7">
        <w:t xml:space="preserve"> this </w:t>
      </w:r>
      <w:r w:rsidR="00147C13">
        <w:t xml:space="preserve">principle </w:t>
      </w:r>
      <w:r w:rsidR="00346FFB">
        <w:t>in denying</w:t>
      </w:r>
      <w:r w:rsidR="007B7F67">
        <w:t xml:space="preserve"> </w:t>
      </w:r>
      <w:r w:rsidR="00147C13">
        <w:t>the generation of inclusive</w:t>
      </w:r>
      <w:r w:rsidR="007B7F67">
        <w:t xml:space="preserve"> evidence </w:t>
      </w:r>
      <w:r w:rsidR="00147C13">
        <w:t xml:space="preserve">that might have </w:t>
      </w:r>
      <w:r w:rsidR="00586E05">
        <w:t>challenged</w:t>
      </w:r>
      <w:r w:rsidR="007B7F67">
        <w:t xml:space="preserve"> its </w:t>
      </w:r>
      <w:r w:rsidR="00147C13">
        <w:t xml:space="preserve">assignment </w:t>
      </w:r>
      <w:r w:rsidR="007B7F67">
        <w:t>as</w:t>
      </w:r>
      <w:r w:rsidR="002F60A7">
        <w:t xml:space="preserve"> </w:t>
      </w:r>
      <w:r w:rsidR="00586E05">
        <w:t xml:space="preserve">a </w:t>
      </w:r>
      <w:r w:rsidR="002F60A7">
        <w:t>race-specific drug.</w:t>
      </w:r>
      <w:r w:rsidR="00B0690D">
        <w:t xml:space="preserve"> </w:t>
      </w:r>
      <w:r w:rsidR="00DC7CBC">
        <w:t xml:space="preserve">Thus, while </w:t>
      </w:r>
      <w:r w:rsidR="00210380">
        <w:t xml:space="preserve">the white body remains the universal standard, </w:t>
      </w:r>
      <w:r w:rsidR="00210380" w:rsidRPr="008A40D9">
        <w:t xml:space="preserve">sufficient for </w:t>
      </w:r>
      <w:r w:rsidR="00D52E4D">
        <w:t>supplying</w:t>
      </w:r>
      <w:r w:rsidR="00210380" w:rsidRPr="008A40D9">
        <w:t xml:space="preserve"> research </w:t>
      </w:r>
      <w:r w:rsidR="00D52E4D">
        <w:t xml:space="preserve">pertaining to all populations, the </w:t>
      </w:r>
      <w:r w:rsidR="00C87574">
        <w:t>B</w:t>
      </w:r>
      <w:r w:rsidR="00C22DC8">
        <w:t xml:space="preserve">lack body </w:t>
      </w:r>
      <w:r w:rsidR="0057368F">
        <w:t>is</w:t>
      </w:r>
      <w:r w:rsidR="00C22DC8">
        <w:t xml:space="preserve"> ineligible</w:t>
      </w:r>
      <w:r w:rsidR="00BF0179">
        <w:t xml:space="preserve">, only </w:t>
      </w:r>
      <w:r w:rsidR="00EE3640">
        <w:t xml:space="preserve">representative of itself and similar populations. </w:t>
      </w:r>
      <w:r w:rsidR="00CC2AE2">
        <w:t xml:space="preserve">This speaks to white supremacy </w:t>
      </w:r>
      <w:r w:rsidR="00BE7F0F">
        <w:t>and</w:t>
      </w:r>
      <w:r w:rsidR="003F161F">
        <w:t xml:space="preserve"> further encourages a </w:t>
      </w:r>
      <w:r w:rsidR="00BE7F0F">
        <w:t>cognitive separation</w:t>
      </w:r>
      <w:r w:rsidR="003F161F">
        <w:t xml:space="preserve"> between the</w:t>
      </w:r>
      <w:r w:rsidR="00C87574">
        <w:t xml:space="preserve"> B</w:t>
      </w:r>
      <w:r w:rsidR="003F161F">
        <w:t>lack and white body.</w:t>
      </w:r>
    </w:p>
    <w:p w14:paraId="0C07D454" w14:textId="23A3D96B" w:rsidR="00A67FD6" w:rsidRDefault="00BE7F0F" w:rsidP="004C4BD5">
      <w:pPr>
        <w:spacing w:line="480" w:lineRule="auto"/>
        <w:ind w:firstLine="720"/>
      </w:pPr>
      <w:r>
        <w:lastRenderedPageBreak/>
        <w:t>The</w:t>
      </w:r>
      <w:r w:rsidRPr="004C4BD5">
        <w:t xml:space="preserve"> diversion of “attention and resources from the social determinants” responsible for </w:t>
      </w:r>
      <w:r w:rsidR="00B63551">
        <w:t>stark racial health inequities</w:t>
      </w:r>
      <w:r w:rsidRPr="004C4BD5">
        <w:t xml:space="preserve"> cannot be misattributed as an innocent byproduct but a familiar impurity</w:t>
      </w:r>
      <w:r>
        <w:t xml:space="preserve"> of a deliberate, lasting, and crooked epistemology. These disparities are “biological consequences” of race as a </w:t>
      </w:r>
      <w:r>
        <w:rPr>
          <w:i/>
        </w:rPr>
        <w:t>social</w:t>
      </w:r>
      <w:r>
        <w:t xml:space="preserve"> category, reflecting the “impact of social inequality on people’s health” (Roberts, 2016). Research has found the presence of negative, generational, risk factors for disease that are tied to stressful, resource-poor environments (Metzl &amp; Hansen, 2014, p. 4; Commodore-Mensah et al</w:t>
      </w:r>
      <w:r w:rsidR="00AB0B9A">
        <w:t>.</w:t>
      </w:r>
      <w:r>
        <w:t xml:space="preserve">, 2019, p. 619). Additionally, </w:t>
      </w:r>
      <w:proofErr w:type="gramStart"/>
      <w:r>
        <w:t>the vast majority of</w:t>
      </w:r>
      <w:proofErr w:type="gramEnd"/>
      <w:r>
        <w:t xml:space="preserve"> human genetic variation is found within a given population, not across different populations (Witherspoon et al., 2007). These findings illuminate the incredible complexity of human diversity and the slow, but steady, advancements of research that “scientific” race cannot simplify or rush.</w:t>
      </w:r>
    </w:p>
    <w:p w14:paraId="2BDC7457" w14:textId="77777777" w:rsidR="00946BEC" w:rsidRDefault="00D4549A" w:rsidP="005B2931">
      <w:pPr>
        <w:spacing w:line="480" w:lineRule="auto"/>
        <w:ind w:firstLine="720"/>
      </w:pPr>
      <w:r>
        <w:t xml:space="preserve">We have established that the ultimate downfall of race-based medicine is its “conflation of race, genetics, ancestry” and medical knowledge (National Academies of Sciences et al., 2023). However, this is not to entirely diminish the few corresponding differences tied to geographic ancestry. For instance, Sickle Cell Disease (SCD) is a congenital disease with worldwide prevalence that was once confined to Sub-Saharan Africa, commonly known as the malaria belt (Campbell et al., 2020). People of African descent are more predisposed to this illness as the dual effect of increased malaria resistance, however, SCD demonstrates extremely diverse phenotypic presentation and is impacted by the complex intertwining of genetics, culture, diet, disparities in healthcare access, and exacerbating co-morbidities (such as diabetes). Migration from maternal countries of origin also plays a role temporally as genetic information can be lost from one generation to the next. While some of these differences can be tied to individual </w:t>
      </w:r>
      <w:r w:rsidR="005970B7">
        <w:t>characteristics</w:t>
      </w:r>
      <w:r>
        <w:t xml:space="preserve"> or </w:t>
      </w:r>
      <w:r w:rsidR="00D6220B">
        <w:t>shared features</w:t>
      </w:r>
      <w:r w:rsidR="00D100DF">
        <w:t xml:space="preserve"> across </w:t>
      </w:r>
      <w:r w:rsidR="00D6220B">
        <w:t>ethnic groups</w:t>
      </w:r>
      <w:r>
        <w:t xml:space="preserve">, </w:t>
      </w:r>
      <w:r w:rsidR="00CA4DB5">
        <w:t xml:space="preserve">it is essential that race is </w:t>
      </w:r>
      <w:r w:rsidR="006A4EF9">
        <w:t>distinguished</w:t>
      </w:r>
      <w:r w:rsidR="00CA4DB5">
        <w:t xml:space="preserve"> </w:t>
      </w:r>
      <w:r w:rsidR="006A4EF9">
        <w:t>from</w:t>
      </w:r>
      <w:r w:rsidR="00CA4DB5">
        <w:t xml:space="preserve"> the geographic ancestry </w:t>
      </w:r>
      <w:r w:rsidR="006A4EF9">
        <w:t xml:space="preserve">often associated to these </w:t>
      </w:r>
      <w:r w:rsidR="007D55DB">
        <w:t>findings.</w:t>
      </w:r>
      <w:r w:rsidR="005B2931">
        <w:t xml:space="preserve"> </w:t>
      </w:r>
    </w:p>
    <w:p w14:paraId="4DAF4534" w14:textId="1734FC7E" w:rsidR="00C76FC7" w:rsidRDefault="00C12015" w:rsidP="00C82943">
      <w:pPr>
        <w:spacing w:line="480" w:lineRule="auto"/>
        <w:ind w:firstLine="720"/>
      </w:pPr>
      <w:r>
        <w:lastRenderedPageBreak/>
        <w:t>Race</w:t>
      </w:r>
      <w:r w:rsidR="00C464E5">
        <w:t xml:space="preserve"> as a construct is inconsistent, varying across region</w:t>
      </w:r>
      <w:r w:rsidR="00142B3A">
        <w:t>s</w:t>
      </w:r>
      <w:r w:rsidR="00C464E5">
        <w:t xml:space="preserve">, time periods, </w:t>
      </w:r>
      <w:r w:rsidR="0027630A">
        <w:t xml:space="preserve">and </w:t>
      </w:r>
      <w:r w:rsidR="00383B4E">
        <w:t xml:space="preserve">representative of </w:t>
      </w:r>
      <w:r w:rsidR="007C1E94">
        <w:t>shifting</w:t>
      </w:r>
      <w:r w:rsidR="00E82220">
        <w:t xml:space="preserve"> social </w:t>
      </w:r>
      <w:r w:rsidR="00BC4CEC">
        <w:t xml:space="preserve">hierarchies. </w:t>
      </w:r>
      <w:r w:rsidR="00534AB2">
        <w:t xml:space="preserve">To position geographic ancestry under this clouded </w:t>
      </w:r>
      <w:r w:rsidR="00D125C7">
        <w:t>and assumption-laden</w:t>
      </w:r>
      <w:r w:rsidR="00383B4E">
        <w:t xml:space="preserve"> category is to </w:t>
      </w:r>
      <w:r w:rsidR="004D4954">
        <w:t xml:space="preserve">be under the impression that these factors have suddenly </w:t>
      </w:r>
      <w:r w:rsidR="00EC7840">
        <w:t>consolidated</w:t>
      </w:r>
      <w:r w:rsidR="00F13A6F">
        <w:t xml:space="preserve"> to create a </w:t>
      </w:r>
      <w:r w:rsidR="00EC7840">
        <w:t>well-defined</w:t>
      </w:r>
      <w:r w:rsidR="00F13A6F">
        <w:t>, fluid understanding</w:t>
      </w:r>
      <w:r w:rsidR="005B2931">
        <w:t xml:space="preserve">; </w:t>
      </w:r>
      <w:r w:rsidR="00527BD6">
        <w:t>however,</w:t>
      </w:r>
      <w:r w:rsidR="00EC7840">
        <w:t xml:space="preserve"> this is not the case. </w:t>
      </w:r>
      <w:r w:rsidR="008A3C32">
        <w:t xml:space="preserve">Another </w:t>
      </w:r>
      <w:r w:rsidR="008A3C32" w:rsidRPr="00EC13E3">
        <w:t xml:space="preserve">proposed solution is to </w:t>
      </w:r>
      <w:r w:rsidR="00AC2862" w:rsidRPr="00EC13E3">
        <w:t xml:space="preserve">practice medicine </w:t>
      </w:r>
      <w:r w:rsidR="00C15719" w:rsidRPr="00EC13E3">
        <w:t>“</w:t>
      </w:r>
      <w:r w:rsidR="00AC2862" w:rsidRPr="00EC13E3">
        <w:t>color-blind</w:t>
      </w:r>
      <w:r w:rsidR="00032B5F">
        <w:t>,</w:t>
      </w:r>
      <w:r w:rsidR="00C15719" w:rsidRPr="00EC13E3">
        <w:t>”</w:t>
      </w:r>
      <w:r w:rsidR="00F7005A" w:rsidRPr="00EC13E3">
        <w:t xml:space="preserve"> impartial to the race of patients</w:t>
      </w:r>
      <w:r w:rsidR="00C15719" w:rsidRPr="00EC13E3">
        <w:t xml:space="preserve"> </w:t>
      </w:r>
      <w:r w:rsidR="00EC13E3" w:rsidRPr="00EC13E3">
        <w:rPr>
          <w:color w:val="2C3E50"/>
          <w:shd w:val="clear" w:color="auto" w:fill="FFFFFF"/>
        </w:rPr>
        <w:t xml:space="preserve">(Suleman &amp; Qureshi, 2023). </w:t>
      </w:r>
      <w:r w:rsidR="004F5A41" w:rsidRPr="00EC13E3">
        <w:t>However</w:t>
      </w:r>
      <w:r w:rsidR="004F5A41">
        <w:t xml:space="preserve">, to do so is </w:t>
      </w:r>
      <w:r w:rsidR="0038578C">
        <w:t>disregard</w:t>
      </w:r>
      <w:r w:rsidR="003D7732">
        <w:t xml:space="preserve"> the </w:t>
      </w:r>
      <w:r w:rsidR="002479AF">
        <w:t xml:space="preserve">current landscape </w:t>
      </w:r>
      <w:r w:rsidR="0038578C">
        <w:t xml:space="preserve">of </w:t>
      </w:r>
      <w:r w:rsidR="00C15719">
        <w:t>healthcare inequalities shaped by the social consequences of race.</w:t>
      </w:r>
      <w:r w:rsidR="00066D8B">
        <w:t xml:space="preserve"> In a </w:t>
      </w:r>
      <w:r w:rsidR="006D27E1">
        <w:t>society</w:t>
      </w:r>
      <w:r w:rsidR="00066D8B">
        <w:t xml:space="preserve"> where </w:t>
      </w:r>
      <w:r w:rsidR="00FC59C2">
        <w:t>these wrongs are rectified</w:t>
      </w:r>
      <w:r w:rsidR="006D27E1">
        <w:t xml:space="preserve"> in their entirety, color-blind </w:t>
      </w:r>
      <w:r w:rsidR="003A51A8">
        <w:t xml:space="preserve">medicine can </w:t>
      </w:r>
      <w:r w:rsidR="000C1017">
        <w:t>be considered, but this is not the case either.</w:t>
      </w:r>
      <w:r w:rsidR="006D27E1">
        <w:t xml:space="preserve">  </w:t>
      </w:r>
      <w:r w:rsidR="00C15719">
        <w:t xml:space="preserve"> </w:t>
      </w:r>
      <w:r w:rsidR="00AC2862">
        <w:t xml:space="preserve"> </w:t>
      </w:r>
    </w:p>
    <w:p w14:paraId="000000AD" w14:textId="2A5CC677" w:rsidR="007436C6" w:rsidRDefault="00D4549A" w:rsidP="004410BD">
      <w:pPr>
        <w:spacing w:line="480" w:lineRule="auto"/>
        <w:ind w:firstLine="720"/>
      </w:pPr>
      <w:r>
        <w:t xml:space="preserve">In </w:t>
      </w:r>
      <w:r w:rsidR="000C1017">
        <w:t>my</w:t>
      </w:r>
      <w:r>
        <w:t xml:space="preserve"> rejection of race-based medicine as a proposed solution to the incongruity between minority patients and doctors, I suggest two essential features of an improved healthcare system within the current broken epistemology. The first necessary quality would directly counter one of the ultimate defects of the healthcare system: its absence in reflexivity. Knowledge powerfully shapes a society's understanding of truth, relevance, and norms. The reality of an individual or population is determined by their positioning within these systems, and exclusion from this resource brings destructive consequences.</w:t>
      </w:r>
      <w:r w:rsidR="008B207F">
        <w:t xml:space="preserve"> Epistemologies do not remain </w:t>
      </w:r>
      <w:r w:rsidR="003931FB">
        <w:t>idle but</w:t>
      </w:r>
      <w:r w:rsidR="008B207F">
        <w:t xml:space="preserve"> are </w:t>
      </w:r>
      <w:r w:rsidR="0033525B">
        <w:t xml:space="preserve">constantly oriented towards a </w:t>
      </w:r>
      <w:r w:rsidR="00EA1859">
        <w:t>s</w:t>
      </w:r>
      <w:r w:rsidR="00E64FA9">
        <w:t xml:space="preserve">pecific </w:t>
      </w:r>
      <w:r w:rsidR="003D3049">
        <w:t xml:space="preserve">manifestation. </w:t>
      </w:r>
      <w:r w:rsidR="00981BCB">
        <w:t>Reflexivity</w:t>
      </w:r>
      <w:r w:rsidR="003931FB">
        <w:t xml:space="preserve"> </w:t>
      </w:r>
      <w:r w:rsidR="00ED5830">
        <w:t>must</w:t>
      </w:r>
      <w:r w:rsidR="003931FB">
        <w:t xml:space="preserve"> demand a </w:t>
      </w:r>
      <w:r w:rsidR="00C9275E">
        <w:t xml:space="preserve">level of </w:t>
      </w:r>
      <w:r w:rsidR="001D35CB">
        <w:t>awareness</w:t>
      </w:r>
      <w:r w:rsidR="00C9275E">
        <w:t xml:space="preserve"> </w:t>
      </w:r>
      <w:r w:rsidR="004D7DC6">
        <w:t xml:space="preserve">in this orientation but also a willingness </w:t>
      </w:r>
      <w:r w:rsidR="002F4A88">
        <w:t xml:space="preserve">to change </w:t>
      </w:r>
      <w:r w:rsidR="00981BCB">
        <w:t>trajectories</w:t>
      </w:r>
      <w:r w:rsidR="001D35CB">
        <w:t xml:space="preserve"> when the predicted outcome </w:t>
      </w:r>
      <w:r w:rsidR="000D5F8D">
        <w:t>perpetuates</w:t>
      </w:r>
      <w:r w:rsidR="00544220">
        <w:t xml:space="preserve"> norms of violence </w:t>
      </w:r>
      <w:r w:rsidR="00ED5830">
        <w:t xml:space="preserve">against </w:t>
      </w:r>
      <w:r w:rsidR="000D3E7C">
        <w:t>marginalized communities</w:t>
      </w:r>
      <w:r w:rsidR="002F4A88">
        <w:t xml:space="preserve">. </w:t>
      </w:r>
      <w:r w:rsidR="00471390">
        <w:t xml:space="preserve">This way, the preservation of colonial systems </w:t>
      </w:r>
      <w:r w:rsidR="00D60152">
        <w:t xml:space="preserve">and governance values </w:t>
      </w:r>
      <w:r w:rsidR="00471390">
        <w:t xml:space="preserve">is recognized as the blatant commitment it is instead of a passive </w:t>
      </w:r>
      <w:r w:rsidR="00D60152">
        <w:t>act</w:t>
      </w:r>
      <w:r w:rsidR="004E7551">
        <w:t>.</w:t>
      </w:r>
      <w:r w:rsidR="007C4E11">
        <w:t xml:space="preserve"> </w:t>
      </w:r>
    </w:p>
    <w:p w14:paraId="000000AE" w14:textId="02CD6B9D" w:rsidR="007436C6" w:rsidRDefault="00D4549A">
      <w:pPr>
        <w:spacing w:line="480" w:lineRule="auto"/>
        <w:ind w:firstLine="720"/>
      </w:pPr>
      <w:r>
        <w:t xml:space="preserve">The difficulty and scale of this transformation cannot be undermined considering the harms already endured by minority populations, however, I believe the solution begins at the interpersonal level. We have already established the influence of settler colonialism on </w:t>
      </w:r>
      <w:r>
        <w:lastRenderedPageBreak/>
        <w:t xml:space="preserve">contemporary structures of power such as the healthcare system. The impression of these structures on healthcare providers is channeled prominently through education and training. In the past two decades, medical education has implemented “cultural competency” as a mediator in the tension of patient-physician interactions (Metzl &amp; Hansen, 2014). Though it served as a beneficial preliminary step in addressing the effect of bias on treatment decisions, it </w:t>
      </w:r>
      <w:r w:rsidR="00032B5F">
        <w:t>needs</w:t>
      </w:r>
      <w:r>
        <w:t xml:space="preserve"> reinforcement. “Structural competency</w:t>
      </w:r>
      <w:r w:rsidR="00032B5F">
        <w:t>,</w:t>
      </w:r>
      <w:r>
        <w:t xml:space="preserve">” as described by Jonathon Metzl, extends beyond sensitivity to nuances indicative of “cultural” variables acknowledged by cultural competency. This does not invalidate the relevance of cultural </w:t>
      </w:r>
      <w:r w:rsidR="00032B5F">
        <w:t>competency but</w:t>
      </w:r>
      <w:r>
        <w:t xml:space="preserve"> focuses attention on the “economic and political conditions that produce and racialize inequalities in the first place” (Metzl &amp; Hansen, 2014, p. 2). Even </w:t>
      </w:r>
      <w:r w:rsidR="002C5D8F">
        <w:t>if</w:t>
      </w:r>
      <w:r>
        <w:t xml:space="preserve"> trust is entirely restored between patients and physicians, insufficient resources and </w:t>
      </w:r>
      <w:r w:rsidR="00142E4D">
        <w:t>structural</w:t>
      </w:r>
      <w:r>
        <w:t xml:space="preserve"> barriers will continue to obstruct the quality of care unless properly addressed. </w:t>
      </w:r>
    </w:p>
    <w:p w14:paraId="27FEE178" w14:textId="4E530243" w:rsidR="006606A1" w:rsidRDefault="00D4549A" w:rsidP="000C1017">
      <w:pPr>
        <w:spacing w:line="480" w:lineRule="auto"/>
        <w:ind w:firstLine="720"/>
      </w:pPr>
      <w:r>
        <w:t xml:space="preserve">Though physicians are limited in their ability to directly combat these structures, their increased awareness of the social determinants in medicine will enrich their understanding of stigma as a systemic issue extending beyond their interactions with a patient. The focus of structural competency is in “discerning how a host of issues defined clinically as symptoms, attitudes, or diseases” are reflections of systemic factors such as “healthcare and food delivery systems, zoning laws, urban and rural infrastructures, medicalizations, or…the very definitions of illness and health” (Metzl &amp; Hansen, 2014, p. 5). It is a trained ability to recognize and expose how medicine pathologizes the consequences of systemic and uncontrollable factors in a patient's life. Structural competency is centered around five key competencies, namely: the recognition of structural influences on clinical encounters, developing a language to describe the encounters, reframing cultural explanations in structural terms, identifying and imagining structural </w:t>
      </w:r>
      <w:r>
        <w:lastRenderedPageBreak/>
        <w:t xml:space="preserve">interventions, and cultivating structural humility. </w:t>
      </w:r>
      <w:r w:rsidR="00B53555">
        <w:t>The</w:t>
      </w:r>
      <w:r w:rsidR="00845C50">
        <w:t xml:space="preserve"> final competency is </w:t>
      </w:r>
      <w:r w:rsidR="00B53555">
        <w:t xml:space="preserve">especially </w:t>
      </w:r>
      <w:r w:rsidR="00845C50">
        <w:t>crucial</w:t>
      </w:r>
      <w:r w:rsidR="00235865">
        <w:t xml:space="preserve"> in its honest appraisal of the limitations of structural competency. </w:t>
      </w:r>
      <w:r w:rsidR="00815873">
        <w:t xml:space="preserve">Even in </w:t>
      </w:r>
      <w:r w:rsidR="009B2CD9">
        <w:t xml:space="preserve">compiling </w:t>
      </w:r>
      <w:r w:rsidR="00E66B61">
        <w:t xml:space="preserve">a seemingly comprehensive narrative of the structural barriers </w:t>
      </w:r>
      <w:r w:rsidR="00EA4AA0">
        <w:t xml:space="preserve">a patient faces, </w:t>
      </w:r>
      <w:r w:rsidR="00135256">
        <w:t xml:space="preserve">it is </w:t>
      </w:r>
      <w:r w:rsidR="00C02E22">
        <w:t>naive for a</w:t>
      </w:r>
      <w:r w:rsidR="00F76D81">
        <w:t xml:space="preserve"> physician to assume that they have reached a definitive interpretation</w:t>
      </w:r>
      <w:r w:rsidR="00187E23">
        <w:t xml:space="preserve">. </w:t>
      </w:r>
      <w:r w:rsidR="00321F5B">
        <w:t xml:space="preserve">Additionally, physicians are typically not sufficiently trained to respond appropriately based on this deepened understanding. </w:t>
      </w:r>
      <w:r w:rsidR="0011111B">
        <w:t xml:space="preserve">Nonetheless, </w:t>
      </w:r>
      <w:r w:rsidR="0056069C">
        <w:t xml:space="preserve">the primary function of structural competency is to bring to light the </w:t>
      </w:r>
      <w:r w:rsidR="00F354C3">
        <w:t>often-invisible</w:t>
      </w:r>
      <w:r w:rsidR="0056069C">
        <w:t xml:space="preserve"> structures </w:t>
      </w:r>
      <w:r w:rsidR="007E2887">
        <w:t>that “shape and enable stigma”</w:t>
      </w:r>
      <w:r w:rsidR="007C208D">
        <w:t xml:space="preserve"> and</w:t>
      </w:r>
      <w:r w:rsidR="007E2887">
        <w:t xml:space="preserve"> </w:t>
      </w:r>
      <w:r w:rsidR="00A77084">
        <w:t>develop skills to</w:t>
      </w:r>
      <w:r w:rsidR="007C208D">
        <w:t xml:space="preserve"> </w:t>
      </w:r>
      <w:r w:rsidR="007E2D28">
        <w:t>become active participants in their dismantling</w:t>
      </w:r>
      <w:r w:rsidR="007C208D">
        <w:t xml:space="preserve"> at a micro- level</w:t>
      </w:r>
      <w:r w:rsidR="007E2D28">
        <w:t xml:space="preserve"> (Metzl &amp; Hansen, 2014, p. </w:t>
      </w:r>
      <w:r w:rsidR="00F354C3">
        <w:t>14</w:t>
      </w:r>
      <w:r w:rsidR="007E2D28">
        <w:t>).</w:t>
      </w:r>
      <w:r w:rsidR="00290E5B">
        <w:t xml:space="preserve"> </w:t>
      </w:r>
      <w:r>
        <w:t xml:space="preserve">These features may not comprise a solution in </w:t>
      </w:r>
      <w:proofErr w:type="gramStart"/>
      <w:r>
        <w:t>its</w:t>
      </w:r>
      <w:proofErr w:type="gramEnd"/>
      <w:r>
        <w:t xml:space="preserve"> </w:t>
      </w:r>
      <w:r w:rsidR="00932473">
        <w:t>entirety but</w:t>
      </w:r>
      <w:r>
        <w:t xml:space="preserve"> </w:t>
      </w:r>
      <w:r w:rsidR="00290E5B">
        <w:t>are meant to serve as</w:t>
      </w:r>
      <w:r w:rsidR="00586DD7">
        <w:t xml:space="preserve"> introductory points</w:t>
      </w:r>
      <w:r w:rsidR="002E0313">
        <w:t xml:space="preserve"> focused on medical education.</w:t>
      </w:r>
    </w:p>
    <w:p w14:paraId="618A9290" w14:textId="77777777" w:rsidR="006606A1" w:rsidRDefault="006606A1">
      <w:pPr>
        <w:spacing w:line="276" w:lineRule="auto"/>
      </w:pPr>
      <w:r>
        <w:br w:type="page"/>
      </w:r>
    </w:p>
    <w:p w14:paraId="000000B2" w14:textId="0CDEED34" w:rsidR="007436C6" w:rsidRDefault="00F23931" w:rsidP="00C767FB">
      <w:pPr>
        <w:spacing w:line="480" w:lineRule="auto"/>
        <w:jc w:val="center"/>
        <w:rPr>
          <w:b/>
        </w:rPr>
      </w:pPr>
      <w:r>
        <w:rPr>
          <w:b/>
        </w:rPr>
        <w:lastRenderedPageBreak/>
        <w:t>SECTION 4.1 CONCLUSION</w:t>
      </w:r>
    </w:p>
    <w:p w14:paraId="000000B3" w14:textId="1DA61684" w:rsidR="007436C6" w:rsidRDefault="00D4549A">
      <w:pPr>
        <w:spacing w:line="480" w:lineRule="auto"/>
        <w:ind w:firstLine="720"/>
        <w:rPr>
          <w:color w:val="1B1B1B"/>
        </w:rPr>
      </w:pPr>
      <w:r>
        <w:rPr>
          <w:color w:val="1B1B1B"/>
          <w:highlight w:val="white"/>
        </w:rPr>
        <w:t>Epistemic oppression is a phenomenon of incredible scale and complexity, often concealed beneath social and institutional norms that require deliberate and thorough examination for breakdown. However, in questioning these assumptions that have “always been</w:t>
      </w:r>
      <w:r w:rsidR="00032B5F">
        <w:rPr>
          <w:color w:val="1B1B1B"/>
          <w:highlight w:val="white"/>
        </w:rPr>
        <w:t>,</w:t>
      </w:r>
      <w:r>
        <w:rPr>
          <w:color w:val="1B1B1B"/>
          <w:highlight w:val="white"/>
        </w:rPr>
        <w:t xml:space="preserve">” we begin to confront the foundations of hierarchical structures dependent on the preclusion of certain knowledge and the marginalized suffering of minorities. Historically, these abuses have been overt, from the forced displacement of Native peoples to the Jim Crow laws that enforced segregation among countless in between. The current trajectory of our Western society is one of progress that maintains a delicate balance between acknowledging the violence of the past while distancing itself from contemporary injustices that seemingly cannot parallel. </w:t>
      </w:r>
      <w:r>
        <w:rPr>
          <w:color w:val="1B1B1B"/>
        </w:rPr>
        <w:t xml:space="preserve">This is insufficient as a gauge for justice and </w:t>
      </w:r>
      <w:r w:rsidR="001127DA">
        <w:rPr>
          <w:color w:val="1B1B1B"/>
        </w:rPr>
        <w:t xml:space="preserve">is a futile perspective </w:t>
      </w:r>
      <w:r w:rsidR="00C22A85">
        <w:rPr>
          <w:color w:val="1B1B1B"/>
        </w:rPr>
        <w:t>considering</w:t>
      </w:r>
      <w:r w:rsidR="001127DA">
        <w:rPr>
          <w:color w:val="1B1B1B"/>
        </w:rPr>
        <w:t xml:space="preserve"> the </w:t>
      </w:r>
      <w:r w:rsidR="00E3264E">
        <w:rPr>
          <w:color w:val="1B1B1B"/>
        </w:rPr>
        <w:t xml:space="preserve">health outcomes currently suffered by marginalized communities.  </w:t>
      </w:r>
    </w:p>
    <w:p w14:paraId="5B25C3B3" w14:textId="712C90F7" w:rsidR="009325B6" w:rsidRPr="009325B6" w:rsidRDefault="00D4549A" w:rsidP="009325B6">
      <w:pPr>
        <w:spacing w:line="480" w:lineRule="auto"/>
        <w:ind w:firstLine="720"/>
        <w:rPr>
          <w:color w:val="1B1B1B"/>
        </w:rPr>
      </w:pPr>
      <w:r>
        <w:rPr>
          <w:color w:val="1B1B1B"/>
        </w:rPr>
        <w:t>In discussing the underrepresentation of minorities in Western medicine, there are certainly counterarguments claiming its benevolence. Without explicit hindrances that bar their participation in research studies or appointments with physicians, the situation appears to speak to the rite-of-passage struggles of immigrants or unfortunate circumstances. To proceed with this belief is to remain fixed in complicit ignorance. I suggest th</w:t>
      </w:r>
      <w:r w:rsidR="0063414A">
        <w:rPr>
          <w:color w:val="1B1B1B"/>
        </w:rPr>
        <w:t xml:space="preserve">at an adequate response </w:t>
      </w:r>
      <w:r>
        <w:rPr>
          <w:color w:val="1B1B1B"/>
        </w:rPr>
        <w:t xml:space="preserve">begins with a reframing of </w:t>
      </w:r>
      <w:r w:rsidR="00766BA3">
        <w:rPr>
          <w:color w:val="1B1B1B"/>
        </w:rPr>
        <w:t xml:space="preserve">epistemic oppression </w:t>
      </w:r>
      <w:r>
        <w:rPr>
          <w:color w:val="1B1B1B"/>
        </w:rPr>
        <w:t xml:space="preserve">as understood in the modern-day, as a </w:t>
      </w:r>
      <w:r w:rsidR="009630A7" w:rsidRPr="000F0E13">
        <w:rPr>
          <w:color w:val="000000" w:themeColor="text1"/>
        </w:rPr>
        <w:t>phenomenon</w:t>
      </w:r>
      <w:r w:rsidRPr="000F0E13">
        <w:rPr>
          <w:color w:val="000000" w:themeColor="text1"/>
        </w:rPr>
        <w:t xml:space="preserve"> often subtle in appearance, outwardly permissible enough to the point it is miscategorized. </w:t>
      </w:r>
      <w:r w:rsidR="0044185C">
        <w:rPr>
          <w:color w:val="000000" w:themeColor="text1"/>
        </w:rPr>
        <w:t>Epistemic oppression</w:t>
      </w:r>
      <w:r w:rsidR="0044185C" w:rsidRPr="000F0E13">
        <w:rPr>
          <w:color w:val="000000" w:themeColor="text1"/>
        </w:rPr>
        <w:t xml:space="preserve"> </w:t>
      </w:r>
      <w:r w:rsidR="009C2199" w:rsidRPr="000F0E13">
        <w:rPr>
          <w:color w:val="000000" w:themeColor="text1"/>
        </w:rPr>
        <w:t>in healthcare is the invalidation of pain</w:t>
      </w:r>
      <w:r w:rsidR="00215BAA" w:rsidRPr="000F0E13">
        <w:rPr>
          <w:color w:val="000000" w:themeColor="text1"/>
        </w:rPr>
        <w:t xml:space="preserve"> as stress</w:t>
      </w:r>
      <w:r w:rsidR="009C2199" w:rsidRPr="000F0E13">
        <w:rPr>
          <w:color w:val="000000" w:themeColor="text1"/>
        </w:rPr>
        <w:t xml:space="preserve"> that leads to delayed </w:t>
      </w:r>
      <w:r w:rsidR="00215BAA" w:rsidRPr="000F0E13">
        <w:rPr>
          <w:color w:val="000000" w:themeColor="text1"/>
        </w:rPr>
        <w:t xml:space="preserve">heart </w:t>
      </w:r>
      <w:r w:rsidR="00215BAA">
        <w:t xml:space="preserve">disease </w:t>
      </w:r>
      <w:r w:rsidR="009C2199">
        <w:t>diagnosis</w:t>
      </w:r>
      <w:r w:rsidR="00D4168C">
        <w:t xml:space="preserve">. It is the dismissal of patient testimony </w:t>
      </w:r>
      <w:r w:rsidR="00CC4515">
        <w:t>due to limited English proficiency</w:t>
      </w:r>
      <w:r w:rsidR="00FD7FD2">
        <w:t>.</w:t>
      </w:r>
      <w:r w:rsidR="000F0E13">
        <w:t xml:space="preserve"> Even worse, </w:t>
      </w:r>
      <w:r w:rsidR="007A4D3D">
        <w:t xml:space="preserve">epistemic oppression </w:t>
      </w:r>
      <w:r w:rsidR="00287714">
        <w:t xml:space="preserve">is the lack of any initiative to </w:t>
      </w:r>
      <w:r w:rsidR="00E8103F">
        <w:t xml:space="preserve">fortify the deficient knowledge systems that </w:t>
      </w:r>
      <w:r w:rsidR="000F2216">
        <w:lastRenderedPageBreak/>
        <w:t>enable</w:t>
      </w:r>
      <w:r w:rsidR="00287714">
        <w:t xml:space="preserve"> </w:t>
      </w:r>
      <w:r w:rsidR="000F2216">
        <w:t>this disconnect in the first place</w:t>
      </w:r>
      <w:r w:rsidR="009325B6">
        <w:t xml:space="preserve">. </w:t>
      </w:r>
      <w:r w:rsidR="002973BA">
        <w:rPr>
          <w:color w:val="1B1B1B"/>
          <w:highlight w:val="white"/>
        </w:rPr>
        <w:t>To deny this reality as anything less is to maintain a</w:t>
      </w:r>
      <w:r>
        <w:rPr>
          <w:color w:val="1B1B1B"/>
          <w:highlight w:val="white"/>
        </w:rPr>
        <w:t xml:space="preserve"> </w:t>
      </w:r>
      <w:r w:rsidR="002973BA">
        <w:rPr>
          <w:color w:val="1B1B1B"/>
          <w:highlight w:val="white"/>
        </w:rPr>
        <w:t xml:space="preserve">crooked </w:t>
      </w:r>
      <w:r>
        <w:rPr>
          <w:color w:val="1B1B1B"/>
          <w:highlight w:val="white"/>
        </w:rPr>
        <w:t>front of innocence</w:t>
      </w:r>
      <w:r w:rsidR="006D01C8">
        <w:rPr>
          <w:color w:val="1B1B1B"/>
        </w:rPr>
        <w:t>.</w:t>
      </w:r>
    </w:p>
    <w:p w14:paraId="000000B5" w14:textId="55C24B94" w:rsidR="007436C6" w:rsidRDefault="00D4549A" w:rsidP="006923B6">
      <w:pPr>
        <w:spacing w:line="480" w:lineRule="auto"/>
        <w:ind w:firstLine="720"/>
        <w:rPr>
          <w:color w:val="1B1B1B"/>
        </w:rPr>
      </w:pPr>
      <w:r>
        <w:rPr>
          <w:color w:val="1B1B1B"/>
          <w:highlight w:val="white"/>
        </w:rPr>
        <w:t xml:space="preserve"> </w:t>
      </w:r>
      <w:r w:rsidR="00D17915">
        <w:rPr>
          <w:color w:val="1B1B1B"/>
          <w:highlight w:val="white"/>
        </w:rPr>
        <w:t>W</w:t>
      </w:r>
      <w:r>
        <w:rPr>
          <w:color w:val="1B1B1B"/>
          <w:highlight w:val="white"/>
        </w:rPr>
        <w:t>ithin an epistemology that denies accountability</w:t>
      </w:r>
      <w:r w:rsidR="00D17915">
        <w:rPr>
          <w:color w:val="1B1B1B"/>
          <w:highlight w:val="white"/>
        </w:rPr>
        <w:t xml:space="preserve">, </w:t>
      </w:r>
      <w:r>
        <w:rPr>
          <w:color w:val="1B1B1B"/>
          <w:highlight w:val="white"/>
        </w:rPr>
        <w:t xml:space="preserve">blame </w:t>
      </w:r>
      <w:r w:rsidR="00D17915">
        <w:rPr>
          <w:color w:val="1B1B1B"/>
          <w:highlight w:val="white"/>
        </w:rPr>
        <w:t>is deflected onto</w:t>
      </w:r>
      <w:r>
        <w:rPr>
          <w:color w:val="1B1B1B"/>
          <w:highlight w:val="white"/>
        </w:rPr>
        <w:t xml:space="preserve"> the oppressed</w:t>
      </w:r>
      <w:r w:rsidR="00C661E2">
        <w:rPr>
          <w:color w:val="1B1B1B"/>
          <w:highlight w:val="white"/>
        </w:rPr>
        <w:t xml:space="preserve"> and </w:t>
      </w:r>
      <w:r>
        <w:rPr>
          <w:color w:val="1B1B1B"/>
          <w:highlight w:val="white"/>
        </w:rPr>
        <w:t xml:space="preserve">victims of injustices </w:t>
      </w:r>
      <w:r w:rsidR="00C661E2">
        <w:rPr>
          <w:color w:val="1B1B1B"/>
          <w:highlight w:val="white"/>
        </w:rPr>
        <w:t>are established as</w:t>
      </w:r>
      <w:r>
        <w:rPr>
          <w:color w:val="1B1B1B"/>
          <w:highlight w:val="white"/>
        </w:rPr>
        <w:t xml:space="preserve"> perpetrators. </w:t>
      </w:r>
      <w:r w:rsidR="00FE3AE1">
        <w:rPr>
          <w:color w:val="1B1B1B"/>
          <w:highlight w:val="white"/>
        </w:rPr>
        <w:t>Oftentimes, m</w:t>
      </w:r>
      <w:r>
        <w:rPr>
          <w:color w:val="1B1B1B"/>
          <w:highlight w:val="white"/>
        </w:rPr>
        <w:t>arginalized communities are deemed too loud in their cries for visibility, overly sensitive to racism and discrimination, or just difficult in their divergence from the quiet complacency that beneficiaries of injustice can enjoy.</w:t>
      </w:r>
      <w:r w:rsidR="006923B6">
        <w:rPr>
          <w:color w:val="1B1B1B"/>
          <w:highlight w:val="white"/>
        </w:rPr>
        <w:t xml:space="preserve"> </w:t>
      </w:r>
      <w:r w:rsidR="006923B6">
        <w:rPr>
          <w:color w:val="1B1B1B"/>
        </w:rPr>
        <w:t xml:space="preserve">Thus, the burden falls back onto the marginalized to perform </w:t>
      </w:r>
      <w:proofErr w:type="gramStart"/>
      <w:r w:rsidR="006923B6">
        <w:rPr>
          <w:color w:val="1B1B1B"/>
        </w:rPr>
        <w:t>in the midst of</w:t>
      </w:r>
      <w:proofErr w:type="gramEnd"/>
      <w:r w:rsidR="006923B6">
        <w:rPr>
          <w:color w:val="1B1B1B"/>
        </w:rPr>
        <w:t xml:space="preserve"> their struggle, to stifle their frustrations under the illusion of pragmatism, and to earn the privilege of a listening ear. </w:t>
      </w:r>
      <w:r w:rsidR="000E6E8F">
        <w:rPr>
          <w:color w:val="1B1B1B"/>
        </w:rPr>
        <w:t xml:space="preserve">However, </w:t>
      </w:r>
      <w:r w:rsidR="007A0239">
        <w:rPr>
          <w:color w:val="1B1B1B"/>
        </w:rPr>
        <w:t>I</w:t>
      </w:r>
      <w:r w:rsidR="000E6E8F">
        <w:rPr>
          <w:color w:val="1B1B1B"/>
        </w:rPr>
        <w:t xml:space="preserve"> welcome this </w:t>
      </w:r>
      <w:r w:rsidR="007A0239">
        <w:rPr>
          <w:color w:val="1B1B1B"/>
        </w:rPr>
        <w:t>“</w:t>
      </w:r>
      <w:r w:rsidR="003A077D">
        <w:rPr>
          <w:color w:val="1B1B1B"/>
        </w:rPr>
        <w:t>disturbance</w:t>
      </w:r>
      <w:r w:rsidR="007A0239">
        <w:rPr>
          <w:color w:val="1B1B1B"/>
        </w:rPr>
        <w:t>”</w:t>
      </w:r>
      <w:r w:rsidR="000E6E8F">
        <w:rPr>
          <w:color w:val="1B1B1B"/>
        </w:rPr>
        <w:t xml:space="preserve"> in the journey towards health equa</w:t>
      </w:r>
      <w:r w:rsidR="007A0239">
        <w:rPr>
          <w:color w:val="1B1B1B"/>
        </w:rPr>
        <w:t>lity. It</w:t>
      </w:r>
      <w:r w:rsidR="003A077D">
        <w:rPr>
          <w:color w:val="1B1B1B"/>
        </w:rPr>
        <w:t xml:space="preserve"> is necessary </w:t>
      </w:r>
      <w:r w:rsidR="00032B5F">
        <w:rPr>
          <w:color w:val="1B1B1B"/>
        </w:rPr>
        <w:t>to</w:t>
      </w:r>
      <w:r w:rsidR="003A077D">
        <w:rPr>
          <w:color w:val="1B1B1B"/>
        </w:rPr>
        <w:t xml:space="preserve"> redeem the </w:t>
      </w:r>
      <w:r w:rsidR="008D5657">
        <w:rPr>
          <w:color w:val="1B1B1B"/>
        </w:rPr>
        <w:t>privilege</w:t>
      </w:r>
      <w:r w:rsidR="003A077D">
        <w:rPr>
          <w:color w:val="1B1B1B"/>
        </w:rPr>
        <w:t xml:space="preserve"> of appropriate medical care t</w:t>
      </w:r>
      <w:r w:rsidR="006923B6">
        <w:rPr>
          <w:color w:val="1B1B1B"/>
        </w:rPr>
        <w:t>o all</w:t>
      </w:r>
      <w:r w:rsidR="008D5657">
        <w:rPr>
          <w:color w:val="1B1B1B"/>
        </w:rPr>
        <w:t xml:space="preserve"> and reinstate the knowledg</w:t>
      </w:r>
      <w:r w:rsidR="00CB4904">
        <w:rPr>
          <w:color w:val="1B1B1B"/>
        </w:rPr>
        <w:t xml:space="preserve">e </w:t>
      </w:r>
      <w:r w:rsidR="009907B7">
        <w:rPr>
          <w:color w:val="1B1B1B"/>
        </w:rPr>
        <w:t xml:space="preserve">of previously </w:t>
      </w:r>
      <w:r w:rsidR="007A0239">
        <w:rPr>
          <w:color w:val="1B1B1B"/>
        </w:rPr>
        <w:t>excluded</w:t>
      </w:r>
      <w:r w:rsidR="009907B7">
        <w:rPr>
          <w:color w:val="1B1B1B"/>
        </w:rPr>
        <w:t xml:space="preserve"> communities as </w:t>
      </w:r>
      <w:r w:rsidR="0094743C">
        <w:rPr>
          <w:color w:val="1B1B1B"/>
        </w:rPr>
        <w:t xml:space="preserve">an ethical right. </w:t>
      </w:r>
    </w:p>
    <w:p w14:paraId="000000B6" w14:textId="77777777" w:rsidR="007436C6" w:rsidRDefault="007436C6">
      <w:pPr>
        <w:spacing w:line="480" w:lineRule="auto"/>
        <w:ind w:firstLine="720"/>
        <w:rPr>
          <w:color w:val="1B1B1B"/>
          <w:highlight w:val="white"/>
        </w:rPr>
      </w:pPr>
    </w:p>
    <w:p w14:paraId="5D1E3081" w14:textId="2F475A6B" w:rsidR="00523605" w:rsidRDefault="00D4549A" w:rsidP="00EC13E3">
      <w:pPr>
        <w:spacing w:line="480" w:lineRule="auto"/>
        <w:ind w:firstLine="720"/>
        <w:rPr>
          <w:b/>
        </w:rPr>
      </w:pPr>
      <w:r>
        <w:rPr>
          <w:color w:val="1B1B1B"/>
        </w:rPr>
        <w:t xml:space="preserve">   </w:t>
      </w:r>
    </w:p>
    <w:p w14:paraId="2E31783E" w14:textId="77777777" w:rsidR="00EC13E3" w:rsidRDefault="00EC13E3" w:rsidP="00EC13E3">
      <w:pPr>
        <w:spacing w:line="480" w:lineRule="auto"/>
        <w:ind w:firstLine="720"/>
        <w:rPr>
          <w:b/>
        </w:rPr>
      </w:pPr>
    </w:p>
    <w:p w14:paraId="1DF19C29" w14:textId="77777777" w:rsidR="00523605" w:rsidRDefault="00523605">
      <w:pPr>
        <w:spacing w:line="480" w:lineRule="auto"/>
        <w:jc w:val="center"/>
        <w:rPr>
          <w:b/>
        </w:rPr>
      </w:pPr>
    </w:p>
    <w:p w14:paraId="11D550D5" w14:textId="77777777" w:rsidR="00523605" w:rsidRDefault="00523605">
      <w:pPr>
        <w:spacing w:line="480" w:lineRule="auto"/>
        <w:jc w:val="center"/>
        <w:rPr>
          <w:b/>
        </w:rPr>
      </w:pPr>
    </w:p>
    <w:p w14:paraId="083457A2" w14:textId="77777777" w:rsidR="00E32102" w:rsidRDefault="00E32102">
      <w:pPr>
        <w:spacing w:line="480" w:lineRule="auto"/>
        <w:jc w:val="center"/>
        <w:rPr>
          <w:b/>
        </w:rPr>
      </w:pPr>
    </w:p>
    <w:p w14:paraId="750E3121" w14:textId="77777777" w:rsidR="00E32102" w:rsidRDefault="00E32102">
      <w:pPr>
        <w:spacing w:line="480" w:lineRule="auto"/>
        <w:jc w:val="center"/>
        <w:rPr>
          <w:b/>
        </w:rPr>
      </w:pPr>
    </w:p>
    <w:p w14:paraId="4D746E76" w14:textId="77777777" w:rsidR="008542D0" w:rsidRDefault="008542D0">
      <w:pPr>
        <w:spacing w:line="480" w:lineRule="auto"/>
        <w:jc w:val="center"/>
        <w:rPr>
          <w:b/>
        </w:rPr>
      </w:pPr>
    </w:p>
    <w:p w14:paraId="682297F0" w14:textId="77777777" w:rsidR="006606A1" w:rsidRDefault="006606A1">
      <w:pPr>
        <w:spacing w:line="480" w:lineRule="auto"/>
        <w:jc w:val="center"/>
        <w:rPr>
          <w:b/>
        </w:rPr>
      </w:pPr>
    </w:p>
    <w:p w14:paraId="31818E0F" w14:textId="77777777" w:rsidR="006606A1" w:rsidRDefault="006606A1">
      <w:pPr>
        <w:spacing w:line="480" w:lineRule="auto"/>
        <w:jc w:val="center"/>
        <w:rPr>
          <w:b/>
        </w:rPr>
      </w:pPr>
    </w:p>
    <w:p w14:paraId="233782CD" w14:textId="77777777" w:rsidR="006606A1" w:rsidRDefault="006606A1">
      <w:pPr>
        <w:spacing w:line="480" w:lineRule="auto"/>
        <w:jc w:val="center"/>
        <w:rPr>
          <w:b/>
        </w:rPr>
      </w:pPr>
    </w:p>
    <w:p w14:paraId="3D0FBA70" w14:textId="77777777" w:rsidR="007C70A6" w:rsidRDefault="007C70A6" w:rsidP="007A0239">
      <w:pPr>
        <w:spacing w:line="480" w:lineRule="auto"/>
        <w:rPr>
          <w:b/>
        </w:rPr>
      </w:pPr>
    </w:p>
    <w:p w14:paraId="000000BE" w14:textId="0BDCE485" w:rsidR="007436C6" w:rsidRPr="00523605" w:rsidRDefault="00D4549A" w:rsidP="006606A1">
      <w:pPr>
        <w:spacing w:line="480" w:lineRule="auto"/>
        <w:jc w:val="center"/>
        <w:rPr>
          <w:b/>
        </w:rPr>
      </w:pPr>
      <w:r w:rsidRPr="00523605">
        <w:rPr>
          <w:b/>
        </w:rPr>
        <w:lastRenderedPageBreak/>
        <w:t>LIST OF REFERENCES</w:t>
      </w:r>
    </w:p>
    <w:p w14:paraId="26853361" w14:textId="2E1F74E2" w:rsidR="00D56002" w:rsidRPr="00523605" w:rsidRDefault="00D4549A" w:rsidP="006606A1">
      <w:pPr>
        <w:shd w:val="clear" w:color="auto" w:fill="FFFFFF"/>
        <w:spacing w:line="480" w:lineRule="auto"/>
      </w:pPr>
      <w:proofErr w:type="spellStart"/>
      <w:r w:rsidRPr="00523605">
        <w:t>Alsan</w:t>
      </w:r>
      <w:proofErr w:type="spellEnd"/>
      <w:r w:rsidRPr="00523605">
        <w:t xml:space="preserve"> M, Garrick O, Graziani G. (2018). Does diversity matter for health? Experimental</w:t>
      </w:r>
      <w:r w:rsidR="00D56002">
        <w:t xml:space="preserve"> </w:t>
      </w:r>
      <w:r w:rsidR="00D56002">
        <w:tab/>
      </w:r>
    </w:p>
    <w:p w14:paraId="000000C3" w14:textId="77777777" w:rsidR="007436C6" w:rsidRPr="00523605" w:rsidRDefault="00D4549A" w:rsidP="006606A1">
      <w:pPr>
        <w:shd w:val="clear" w:color="auto" w:fill="FFFFFF"/>
        <w:spacing w:line="480" w:lineRule="auto"/>
        <w:ind w:left="720"/>
      </w:pPr>
      <w:r w:rsidRPr="00523605">
        <w:t>Evidence from Oakland. National Bureau of Economic Research. https://doi.org/10.3386/w24787</w:t>
      </w:r>
    </w:p>
    <w:p w14:paraId="000000C4" w14:textId="77777777" w:rsidR="007436C6" w:rsidRPr="00523605" w:rsidRDefault="00D4549A" w:rsidP="006606A1">
      <w:pPr>
        <w:spacing w:line="480" w:lineRule="auto"/>
      </w:pPr>
      <w:r w:rsidRPr="00523605">
        <w:t xml:space="preserve">Au, L., </w:t>
      </w:r>
      <w:proofErr w:type="spellStart"/>
      <w:r w:rsidRPr="00523605">
        <w:t>Capotescu</w:t>
      </w:r>
      <w:proofErr w:type="spellEnd"/>
      <w:r w:rsidRPr="00523605">
        <w:t xml:space="preserve">, C., Eyal, G., &amp; Finestone, G. (2022). Long </w:t>
      </w:r>
    </w:p>
    <w:p w14:paraId="000000C5" w14:textId="77777777" w:rsidR="007436C6" w:rsidRPr="00523605" w:rsidRDefault="00D4549A" w:rsidP="006606A1">
      <w:pPr>
        <w:spacing w:line="480" w:lineRule="auto"/>
        <w:ind w:left="720"/>
      </w:pPr>
      <w:r w:rsidRPr="00523605">
        <w:t xml:space="preserve">covid and medical gaslighting: Dismissal, delayed diagnosis, and deferred treatment. </w:t>
      </w:r>
      <w:r w:rsidRPr="00523605">
        <w:rPr>
          <w:i/>
        </w:rPr>
        <w:t>SSM. Qualitative research in health</w:t>
      </w:r>
      <w:r w:rsidRPr="00523605">
        <w:t xml:space="preserve">, </w:t>
      </w:r>
      <w:r w:rsidRPr="00523605">
        <w:rPr>
          <w:i/>
        </w:rPr>
        <w:t>2</w:t>
      </w:r>
      <w:r w:rsidRPr="00523605">
        <w:t>, 100167. https://doi.org/10.1016/j.ssmqr.2022.100167</w:t>
      </w:r>
    </w:p>
    <w:p w14:paraId="000000C6" w14:textId="77777777" w:rsidR="007436C6" w:rsidRPr="00523605" w:rsidRDefault="00D4549A" w:rsidP="006606A1">
      <w:pPr>
        <w:spacing w:line="480" w:lineRule="auto"/>
        <w:rPr>
          <w:i/>
        </w:rPr>
      </w:pPr>
      <w:r w:rsidRPr="00523605">
        <w:t xml:space="preserve">Baciu, A., Negussie, Y., Geller, A., &amp; Weinstein, J. N. (2017, January 11). </w:t>
      </w:r>
      <w:r w:rsidRPr="00523605">
        <w:rPr>
          <w:i/>
        </w:rPr>
        <w:t xml:space="preserve">The State of </w:t>
      </w:r>
    </w:p>
    <w:p w14:paraId="000000C7" w14:textId="1B04D509" w:rsidR="007436C6" w:rsidRDefault="00D4549A" w:rsidP="006606A1">
      <w:pPr>
        <w:spacing w:line="480" w:lineRule="auto"/>
        <w:ind w:left="720"/>
      </w:pPr>
      <w:r w:rsidRPr="00523605">
        <w:rPr>
          <w:i/>
        </w:rPr>
        <w:t>Health Disparities in the United States</w:t>
      </w:r>
      <w:r w:rsidRPr="00523605">
        <w:t xml:space="preserve">. NIH.gov; National Academies Press (US). </w:t>
      </w:r>
      <w:r w:rsidR="00D40EFB" w:rsidRPr="00D40EFB">
        <w:t>https://www.ncbi.nlm.nih.gov/books/NBK425844/</w:t>
      </w:r>
    </w:p>
    <w:p w14:paraId="6BC1CD9E" w14:textId="77777777" w:rsidR="00D40EFB" w:rsidRDefault="00D40EFB" w:rsidP="006606A1">
      <w:pPr>
        <w:spacing w:line="480" w:lineRule="auto"/>
      </w:pPr>
      <w:r>
        <w:rPr>
          <w:bCs/>
        </w:rPr>
        <w:t xml:space="preserve">Berenstain, N. (forthcoming). </w:t>
      </w:r>
      <w:r w:rsidRPr="00965500">
        <w:rPr>
          <w:bCs/>
        </w:rPr>
        <w:t>Epistemic Oppression</w:t>
      </w:r>
      <w:r>
        <w:rPr>
          <w:bCs/>
          <w:i/>
          <w:iCs/>
        </w:rPr>
        <w:t xml:space="preserve">. </w:t>
      </w:r>
      <w:r>
        <w:rPr>
          <w:bCs/>
        </w:rPr>
        <w:t xml:space="preserve">In </w:t>
      </w:r>
      <w:r>
        <w:t xml:space="preserve">Sylvan, K., Dancy, J., Sosa, E., &amp; Steup, </w:t>
      </w:r>
    </w:p>
    <w:p w14:paraId="4CA68775" w14:textId="55D7C103" w:rsidR="00D40EFB" w:rsidRPr="00523605" w:rsidRDefault="00D40EFB" w:rsidP="006606A1">
      <w:pPr>
        <w:spacing w:line="480" w:lineRule="auto"/>
        <w:ind w:firstLine="720"/>
      </w:pPr>
      <w:r>
        <w:t xml:space="preserve">M. (Eds.), </w:t>
      </w:r>
      <w:r>
        <w:rPr>
          <w:rStyle w:val="Emphasis"/>
        </w:rPr>
        <w:t>A Companion to Epistemology</w:t>
      </w:r>
      <w:r>
        <w:t xml:space="preserve"> (3</w:t>
      </w:r>
      <w:r w:rsidRPr="00965500">
        <w:rPr>
          <w:vertAlign w:val="superscript"/>
        </w:rPr>
        <w:t>rd</w:t>
      </w:r>
      <w:r>
        <w:t xml:space="preserve"> ed., Vol. 2). John Wiley &amp; Sons Ltd.</w:t>
      </w:r>
      <w:r>
        <w:rPr>
          <w:bCs/>
        </w:rPr>
        <w:t xml:space="preserve"> </w:t>
      </w:r>
    </w:p>
    <w:p w14:paraId="000000C8" w14:textId="77777777" w:rsidR="007436C6" w:rsidRPr="00523605" w:rsidRDefault="00D4549A" w:rsidP="006606A1">
      <w:pPr>
        <w:spacing w:line="480" w:lineRule="auto"/>
      </w:pPr>
      <w:r w:rsidRPr="00523605">
        <w:t xml:space="preserve">Berenstain, N., Dotson, K., Paredes, J., Ruíz, E., &amp; Silva, N. K. (2021). Epistemic oppression, </w:t>
      </w:r>
    </w:p>
    <w:p w14:paraId="000000C9" w14:textId="77777777" w:rsidR="007436C6" w:rsidRPr="00523605" w:rsidRDefault="00D4549A" w:rsidP="006606A1">
      <w:pPr>
        <w:spacing w:line="480" w:lineRule="auto"/>
        <w:ind w:left="720"/>
      </w:pPr>
      <w:r w:rsidRPr="00523605">
        <w:t xml:space="preserve">resistance, and resurgence. </w:t>
      </w:r>
      <w:r w:rsidRPr="00523605">
        <w:rPr>
          <w:i/>
        </w:rPr>
        <w:t>Contemporary Political Theory, 21</w:t>
      </w:r>
      <w:r w:rsidRPr="00523605">
        <w:t>(2), 283–314. https://doi.org/10.1057/s41296-021-00483-z</w:t>
      </w:r>
    </w:p>
    <w:p w14:paraId="000000CC" w14:textId="77777777" w:rsidR="007436C6" w:rsidRPr="00523605" w:rsidRDefault="00D4549A" w:rsidP="006606A1">
      <w:pPr>
        <w:spacing w:line="480" w:lineRule="auto"/>
        <w:rPr>
          <w:highlight w:val="white"/>
        </w:rPr>
      </w:pPr>
      <w:r w:rsidRPr="00523605">
        <w:rPr>
          <w:highlight w:val="white"/>
        </w:rPr>
        <w:t xml:space="preserve">Berenstain, Nora (2025). Structural Gaslighting. In Hanna Gunn, Holly </w:t>
      </w:r>
      <w:proofErr w:type="spellStart"/>
      <w:r w:rsidRPr="00523605">
        <w:rPr>
          <w:highlight w:val="white"/>
        </w:rPr>
        <w:t>Longair</w:t>
      </w:r>
      <w:proofErr w:type="spellEnd"/>
      <w:r w:rsidRPr="00523605">
        <w:rPr>
          <w:highlight w:val="white"/>
        </w:rPr>
        <w:t xml:space="preserve"> &amp; Kelly Oliver, </w:t>
      </w:r>
    </w:p>
    <w:p w14:paraId="000000CD" w14:textId="77777777" w:rsidR="007436C6" w:rsidRDefault="00D4549A" w:rsidP="006606A1">
      <w:pPr>
        <w:spacing w:line="480" w:lineRule="auto"/>
        <w:ind w:firstLine="720"/>
        <w:rPr>
          <w:color w:val="000000" w:themeColor="text1"/>
          <w:highlight w:val="white"/>
        </w:rPr>
      </w:pPr>
      <w:r w:rsidRPr="00965500">
        <w:rPr>
          <w:i/>
          <w:color w:val="000000" w:themeColor="text1"/>
          <w:highlight w:val="white"/>
        </w:rPr>
        <w:t>Gaslighting: Philosophical Approaches</w:t>
      </w:r>
      <w:r w:rsidRPr="00965500">
        <w:rPr>
          <w:color w:val="000000" w:themeColor="text1"/>
          <w:highlight w:val="white"/>
        </w:rPr>
        <w:t>. New York: pp. 23-63.</w:t>
      </w:r>
    </w:p>
    <w:p w14:paraId="3D8B703C" w14:textId="39987F55" w:rsidR="00B036A8" w:rsidRPr="00965500" w:rsidRDefault="00B036A8" w:rsidP="006606A1">
      <w:pPr>
        <w:pStyle w:val="NormalWeb"/>
        <w:spacing w:before="0" w:beforeAutospacing="0" w:after="0" w:afterAutospacing="0" w:line="480" w:lineRule="auto"/>
        <w:ind w:left="720" w:hanging="720"/>
        <w:rPr>
          <w:color w:val="000000" w:themeColor="text1"/>
        </w:rPr>
      </w:pPr>
      <w:r w:rsidRPr="00965500">
        <w:rPr>
          <w:color w:val="000000" w:themeColor="text1"/>
        </w:rPr>
        <w:t>Berryhill, D. (2025, January 27). </w:t>
      </w:r>
      <w:r w:rsidRPr="00965500">
        <w:rPr>
          <w:i/>
          <w:iCs/>
          <w:color w:val="000000" w:themeColor="text1"/>
        </w:rPr>
        <w:t>How Lack of Diversity in Clinical Trials Affects Drug Effectiveness and Safety</w:t>
      </w:r>
      <w:r w:rsidRPr="00965500">
        <w:rPr>
          <w:color w:val="000000" w:themeColor="text1"/>
        </w:rPr>
        <w:t xml:space="preserve">. </w:t>
      </w:r>
      <w:proofErr w:type="spellStart"/>
      <w:r w:rsidRPr="00965500">
        <w:rPr>
          <w:color w:val="000000" w:themeColor="text1"/>
        </w:rPr>
        <w:t>MedShadow</w:t>
      </w:r>
      <w:proofErr w:type="spellEnd"/>
      <w:r w:rsidRPr="00965500">
        <w:rPr>
          <w:color w:val="000000" w:themeColor="text1"/>
        </w:rPr>
        <w:t xml:space="preserve"> Foundation | Independent Health &amp; Wellness Journalism. https://medshadow.org/diversity-in-clinical-trials-drug-effectiveness-safety/</w:t>
      </w:r>
    </w:p>
    <w:p w14:paraId="000000CE" w14:textId="77777777" w:rsidR="007436C6" w:rsidRPr="00523605" w:rsidRDefault="00D4549A" w:rsidP="006606A1">
      <w:pPr>
        <w:spacing w:line="480" w:lineRule="auto"/>
      </w:pPr>
      <w:r w:rsidRPr="00523605">
        <w:t xml:space="preserve">Bibbins-Domingo, K., &amp; Helman, A. (2022). Barriers to Representation of Underrepresented and </w:t>
      </w:r>
    </w:p>
    <w:p w14:paraId="000000CF" w14:textId="77777777" w:rsidR="007436C6" w:rsidRPr="00523605" w:rsidRDefault="00D4549A" w:rsidP="00B036A8">
      <w:pPr>
        <w:spacing w:line="480" w:lineRule="auto"/>
        <w:ind w:left="720"/>
      </w:pPr>
      <w:r w:rsidRPr="00523605">
        <w:lastRenderedPageBreak/>
        <w:t xml:space="preserve">Excluded Populations in Clinical Research. In </w:t>
      </w:r>
      <w:r w:rsidRPr="00523605">
        <w:rPr>
          <w:i/>
        </w:rPr>
        <w:t>www.ncbi.nlm.nih.gov</w:t>
      </w:r>
      <w:r w:rsidRPr="00523605">
        <w:t>. National Academies Press (US). https://www.ncbi.nlm.nih.gov/books/NBK584407/</w:t>
      </w:r>
    </w:p>
    <w:p w14:paraId="000000D0" w14:textId="77777777" w:rsidR="007436C6" w:rsidRPr="00523605" w:rsidRDefault="00D4549A" w:rsidP="00B036A8">
      <w:pPr>
        <w:spacing w:line="480" w:lineRule="auto"/>
      </w:pPr>
      <w:r w:rsidRPr="00523605">
        <w:t xml:space="preserve">Bolnick, Deborah. (2008). Individual ancestry inference and the reification of race as a biological </w:t>
      </w:r>
    </w:p>
    <w:p w14:paraId="000000D1" w14:textId="77777777" w:rsidR="007436C6" w:rsidRPr="00523605" w:rsidRDefault="00D4549A" w:rsidP="00523605">
      <w:pPr>
        <w:spacing w:line="480" w:lineRule="auto"/>
        <w:ind w:firstLine="720"/>
      </w:pPr>
      <w:r w:rsidRPr="00523605">
        <w:t xml:space="preserve">phenomenon. Revisiting Race in a Genomic Age. 70-85. </w:t>
      </w:r>
    </w:p>
    <w:p w14:paraId="000000D2" w14:textId="77777777" w:rsidR="007436C6" w:rsidRPr="00523605" w:rsidRDefault="00D4549A" w:rsidP="00523605">
      <w:pPr>
        <w:spacing w:line="480" w:lineRule="auto"/>
      </w:pPr>
      <w:r w:rsidRPr="00523605">
        <w:t xml:space="preserve">Campbell, A. D., </w:t>
      </w:r>
      <w:proofErr w:type="spellStart"/>
      <w:r w:rsidRPr="00523605">
        <w:t>Colombatti</w:t>
      </w:r>
      <w:proofErr w:type="spellEnd"/>
      <w:r w:rsidRPr="00523605">
        <w:t xml:space="preserve">, R., </w:t>
      </w:r>
      <w:proofErr w:type="spellStart"/>
      <w:r w:rsidRPr="00523605">
        <w:t>Andemariam</w:t>
      </w:r>
      <w:proofErr w:type="spellEnd"/>
      <w:r w:rsidRPr="00523605">
        <w:t xml:space="preserve">, B., Strunk, C., Tartaglione, I., Piccone, C. M., </w:t>
      </w:r>
    </w:p>
    <w:p w14:paraId="000000D3" w14:textId="77777777" w:rsidR="007436C6" w:rsidRPr="00523605" w:rsidRDefault="00D4549A" w:rsidP="00523605">
      <w:pPr>
        <w:spacing w:line="480" w:lineRule="auto"/>
        <w:ind w:left="720"/>
      </w:pPr>
      <w:r w:rsidRPr="00523605">
        <w:t xml:space="preserve">Manwani, D., Asare, E. V., Boruchov, D., Farooq, F., </w:t>
      </w:r>
      <w:proofErr w:type="spellStart"/>
      <w:r w:rsidRPr="00523605">
        <w:t>Urbonya</w:t>
      </w:r>
      <w:proofErr w:type="spellEnd"/>
      <w:r w:rsidRPr="00523605">
        <w:t xml:space="preserve">, R., </w:t>
      </w:r>
      <w:proofErr w:type="spellStart"/>
      <w:r w:rsidRPr="00523605">
        <w:t>Boatemaa</w:t>
      </w:r>
      <w:proofErr w:type="spellEnd"/>
      <w:r w:rsidRPr="00523605">
        <w:t xml:space="preserve">, G. D., Perrotta, S., </w:t>
      </w:r>
      <w:proofErr w:type="spellStart"/>
      <w:r w:rsidRPr="00523605">
        <w:t>Sainati</w:t>
      </w:r>
      <w:proofErr w:type="spellEnd"/>
      <w:r w:rsidRPr="00523605">
        <w:t xml:space="preserve">, L., Rivers, A., Rao, S., Zempsky, W., Sey, F., </w:t>
      </w:r>
      <w:proofErr w:type="spellStart"/>
      <w:r w:rsidRPr="00523605">
        <w:t>Segbefia</w:t>
      </w:r>
      <w:proofErr w:type="spellEnd"/>
      <w:r w:rsidRPr="00523605">
        <w:t>, C., … Antwi-</w:t>
      </w:r>
      <w:proofErr w:type="spellStart"/>
      <w:r w:rsidRPr="00523605">
        <w:t>Boasiako</w:t>
      </w:r>
      <w:proofErr w:type="spellEnd"/>
      <w:r w:rsidRPr="00523605">
        <w:t xml:space="preserve">, C. (2020). An Analysis of Racial and Ethnic Backgrounds Within the </w:t>
      </w:r>
      <w:proofErr w:type="spellStart"/>
      <w:r w:rsidRPr="00523605">
        <w:t>CASiRe</w:t>
      </w:r>
      <w:proofErr w:type="spellEnd"/>
      <w:r w:rsidRPr="00523605">
        <w:t xml:space="preserve"> International Cohort of Sickle Cell Disease Patients: Implications for Disease Phenotype and Clinical Research. </w:t>
      </w:r>
      <w:r w:rsidRPr="00523605">
        <w:rPr>
          <w:i/>
        </w:rPr>
        <w:t>Journal of Racial and Ethnic Health Disparities, 8</w:t>
      </w:r>
      <w:r w:rsidRPr="00523605">
        <w:t>(1), 99–106. https://doi.org/10.1007/s40615-020-00762-2</w:t>
      </w:r>
    </w:p>
    <w:p w14:paraId="000000D4" w14:textId="77777777" w:rsidR="007436C6" w:rsidRPr="00523605" w:rsidRDefault="00D4549A" w:rsidP="00523605">
      <w:pPr>
        <w:spacing w:line="480" w:lineRule="auto"/>
      </w:pPr>
      <w:r w:rsidRPr="00523605">
        <w:t xml:space="preserve">Campeau, K. (2023). Who’s a Vaccine Skeptic? Framing Vaccine Hesitancy in Post-Covid News </w:t>
      </w:r>
    </w:p>
    <w:p w14:paraId="000000D5" w14:textId="77777777" w:rsidR="007436C6" w:rsidRPr="00523605" w:rsidRDefault="00D4549A" w:rsidP="00523605">
      <w:pPr>
        <w:spacing w:line="480" w:lineRule="auto"/>
        <w:ind w:left="720"/>
      </w:pPr>
      <w:r w:rsidRPr="00523605">
        <w:t xml:space="preserve">Coverage. </w:t>
      </w:r>
      <w:r w:rsidRPr="00523605">
        <w:rPr>
          <w:i/>
        </w:rPr>
        <w:t>Written Communication, 40</w:t>
      </w:r>
      <w:r w:rsidRPr="00523605">
        <w:t>(3), 976–1023. https://doi.org/10.1177/07410883231169622</w:t>
      </w:r>
    </w:p>
    <w:p w14:paraId="000000D6" w14:textId="77777777" w:rsidR="007436C6" w:rsidRPr="00523605" w:rsidRDefault="00D4549A" w:rsidP="00523605">
      <w:pPr>
        <w:spacing w:line="480" w:lineRule="auto"/>
      </w:pPr>
      <w:r w:rsidRPr="00523605">
        <w:t xml:space="preserve">Commodore-Mensah, Y., Turkson-Ocran, R.-A., </w:t>
      </w:r>
      <w:proofErr w:type="spellStart"/>
      <w:r w:rsidRPr="00523605">
        <w:t>Nmezi</w:t>
      </w:r>
      <w:proofErr w:type="spellEnd"/>
      <w:r w:rsidRPr="00523605">
        <w:t xml:space="preserve">, N. A., </w:t>
      </w:r>
      <w:proofErr w:type="spellStart"/>
      <w:r w:rsidRPr="00523605">
        <w:t>Nkimbeng</w:t>
      </w:r>
      <w:proofErr w:type="spellEnd"/>
      <w:r w:rsidRPr="00523605">
        <w:t xml:space="preserve">, M., Cudjoe, J., </w:t>
      </w:r>
    </w:p>
    <w:p w14:paraId="000000D7" w14:textId="77777777" w:rsidR="007436C6" w:rsidRPr="00523605" w:rsidRDefault="00D4549A" w:rsidP="00523605">
      <w:pPr>
        <w:spacing w:line="480" w:lineRule="auto"/>
        <w:ind w:left="720"/>
      </w:pPr>
      <w:r w:rsidRPr="00523605">
        <w:t>Mensah, D. S., York, S., Mossburg, S., Patel, N., Adu, E., Cortez, J., Mbaka-</w:t>
      </w:r>
      <w:proofErr w:type="spellStart"/>
      <w:r w:rsidRPr="00523605">
        <w:t>Mouyeme</w:t>
      </w:r>
      <w:proofErr w:type="spellEnd"/>
      <w:r w:rsidRPr="00523605">
        <w:t xml:space="preserve">, F., </w:t>
      </w:r>
      <w:proofErr w:type="spellStart"/>
      <w:r w:rsidRPr="00523605">
        <w:t>Mwinnyaa</w:t>
      </w:r>
      <w:proofErr w:type="spellEnd"/>
      <w:r w:rsidRPr="00523605">
        <w:t xml:space="preserve">, G., Dennison-Himmelfarb, C., &amp; Cooper, L. A. (2019). Commentary: Engaging African Immigrants in Research – Experiences and Lessons from the Field. </w:t>
      </w:r>
      <w:r w:rsidRPr="00523605">
        <w:rPr>
          <w:i/>
        </w:rPr>
        <w:t>Ethnicity &amp;amp; Disease, 29</w:t>
      </w:r>
      <w:r w:rsidRPr="00523605">
        <w:t>(4), 617–622. https://doi.org/10.18865/ed.29.4.617</w:t>
      </w:r>
    </w:p>
    <w:p w14:paraId="000000D8" w14:textId="77777777" w:rsidR="007436C6" w:rsidRPr="00523605" w:rsidRDefault="00D4549A" w:rsidP="00523605">
      <w:pPr>
        <w:spacing w:line="480" w:lineRule="auto"/>
      </w:pPr>
      <w:r w:rsidRPr="00523605">
        <w:t xml:space="preserve">Corliss, J. (2022, September 1). </w:t>
      </w:r>
      <w:r w:rsidRPr="00523605">
        <w:rPr>
          <w:i/>
        </w:rPr>
        <w:t>The heart disease gender gap</w:t>
      </w:r>
      <w:r w:rsidRPr="00523605">
        <w:t xml:space="preserve">. Harvard Health. </w:t>
      </w:r>
    </w:p>
    <w:p w14:paraId="000000D9" w14:textId="77777777" w:rsidR="007436C6" w:rsidRPr="00523605" w:rsidRDefault="00D4549A" w:rsidP="00523605">
      <w:pPr>
        <w:spacing w:line="480" w:lineRule="auto"/>
        <w:ind w:firstLine="720"/>
      </w:pPr>
      <w:r w:rsidRPr="00523605">
        <w:t>https://www.health.harvard.edu/heart-health/the-heart-disease-gender-gap</w:t>
      </w:r>
    </w:p>
    <w:p w14:paraId="000000DA" w14:textId="77777777" w:rsidR="007436C6" w:rsidRPr="00523605" w:rsidRDefault="00D4549A" w:rsidP="00523605">
      <w:pPr>
        <w:spacing w:line="480" w:lineRule="auto"/>
      </w:pPr>
      <w:r w:rsidRPr="00523605">
        <w:t xml:space="preserve">Craig, A. T., Heywood, A. E., &amp; Worth, H. (2020). Measles epidemic in Samoa and other Pacific </w:t>
      </w:r>
    </w:p>
    <w:p w14:paraId="000000DB" w14:textId="77777777" w:rsidR="007436C6" w:rsidRPr="00523605" w:rsidRDefault="00D4549A" w:rsidP="00523605">
      <w:pPr>
        <w:spacing w:line="480" w:lineRule="auto"/>
        <w:ind w:left="720"/>
      </w:pPr>
      <w:r w:rsidRPr="00523605">
        <w:lastRenderedPageBreak/>
        <w:t xml:space="preserve">islands. </w:t>
      </w:r>
      <w:r w:rsidRPr="00523605">
        <w:rPr>
          <w:i/>
        </w:rPr>
        <w:t>The Lancet Infectious Diseases</w:t>
      </w:r>
      <w:r w:rsidRPr="00523605">
        <w:t xml:space="preserve">, </w:t>
      </w:r>
      <w:r w:rsidRPr="00523605">
        <w:rPr>
          <w:i/>
        </w:rPr>
        <w:t>20</w:t>
      </w:r>
      <w:r w:rsidRPr="00523605">
        <w:t>(3), 273–275. https://doi.org/10.1016/s1473-3099(20)30053-0</w:t>
      </w:r>
    </w:p>
    <w:p w14:paraId="000000DC" w14:textId="77777777" w:rsidR="007436C6" w:rsidRPr="00523605" w:rsidRDefault="00D4549A" w:rsidP="00523605">
      <w:pPr>
        <w:spacing w:line="480" w:lineRule="auto"/>
      </w:pPr>
      <w:r w:rsidRPr="00523605">
        <w:t xml:space="preserve">Davidson M. (2017). Vaccination as a cause of autism-myths and </w:t>
      </w:r>
    </w:p>
    <w:p w14:paraId="000000DD" w14:textId="77777777" w:rsidR="007436C6" w:rsidRPr="00DE2ED9" w:rsidRDefault="00D4549A" w:rsidP="00DE2ED9">
      <w:pPr>
        <w:spacing w:line="480" w:lineRule="auto"/>
        <w:ind w:left="720"/>
      </w:pPr>
      <w:r w:rsidRPr="00DE2ED9">
        <w:t xml:space="preserve">controversies. </w:t>
      </w:r>
      <w:r w:rsidRPr="00DE2ED9">
        <w:rPr>
          <w:i/>
        </w:rPr>
        <w:t>Dialogues in clinical neuroscience</w:t>
      </w:r>
      <w:r w:rsidRPr="00DE2ED9">
        <w:t xml:space="preserve">, </w:t>
      </w:r>
      <w:r w:rsidRPr="00DE2ED9">
        <w:rPr>
          <w:i/>
        </w:rPr>
        <w:t>19</w:t>
      </w:r>
      <w:r w:rsidRPr="00DE2ED9">
        <w:t>(4), 403–407. https://doi.org/10.31887/DCNS.2017.19.4/mdavidson</w:t>
      </w:r>
    </w:p>
    <w:p w14:paraId="000000E0" w14:textId="77777777" w:rsidR="007436C6" w:rsidRPr="00523605" w:rsidRDefault="00D4549A" w:rsidP="00DE2ED9">
      <w:pPr>
        <w:shd w:val="clear" w:color="auto" w:fill="FFFFFF"/>
        <w:spacing w:line="480" w:lineRule="auto"/>
      </w:pPr>
      <w:r w:rsidRPr="00DE2ED9">
        <w:t>Dotson, K. (2014). Conceptualizing Epistemic Oppression</w:t>
      </w:r>
      <w:r w:rsidRPr="00523605">
        <w:t xml:space="preserve">. </w:t>
      </w:r>
      <w:r w:rsidRPr="00523605">
        <w:rPr>
          <w:i/>
        </w:rPr>
        <w:t>Social Epistemology, 28</w:t>
      </w:r>
      <w:r w:rsidRPr="00523605">
        <w:t xml:space="preserve">(2), </w:t>
      </w:r>
    </w:p>
    <w:p w14:paraId="000000E1" w14:textId="77777777" w:rsidR="007436C6" w:rsidRPr="00523605" w:rsidRDefault="00D4549A" w:rsidP="00523605">
      <w:pPr>
        <w:shd w:val="clear" w:color="auto" w:fill="FFFFFF"/>
        <w:spacing w:line="480" w:lineRule="auto"/>
        <w:ind w:firstLine="720"/>
      </w:pPr>
      <w:r w:rsidRPr="00523605">
        <w:t>115–138. https://doi.org/10.1080/02691728.2013.782585</w:t>
      </w:r>
    </w:p>
    <w:p w14:paraId="6756687A" w14:textId="09684FCE" w:rsidR="00BA06B7" w:rsidRPr="00523605" w:rsidRDefault="00BA06B7" w:rsidP="00523605">
      <w:pPr>
        <w:pStyle w:val="NormalWeb"/>
        <w:spacing w:before="0" w:beforeAutospacing="0" w:after="0" w:afterAutospacing="0" w:line="480" w:lineRule="auto"/>
        <w:ind w:left="720" w:hanging="720"/>
        <w:rPr>
          <w:color w:val="000000"/>
        </w:rPr>
      </w:pPr>
      <w:r w:rsidRPr="00523605">
        <w:rPr>
          <w:color w:val="000000"/>
        </w:rPr>
        <w:t>Fields, K. E., &amp; Fields, B. J. (2014). </w:t>
      </w:r>
      <w:proofErr w:type="spellStart"/>
      <w:r w:rsidRPr="00523605">
        <w:rPr>
          <w:i/>
          <w:iCs/>
          <w:color w:val="000000"/>
        </w:rPr>
        <w:t>Racecraft</w:t>
      </w:r>
      <w:proofErr w:type="spellEnd"/>
      <w:r w:rsidRPr="00523605">
        <w:rPr>
          <w:i/>
          <w:iCs/>
          <w:color w:val="000000"/>
        </w:rPr>
        <w:t>: The Soul of Inequality in American Life</w:t>
      </w:r>
      <w:r w:rsidRPr="00523605">
        <w:rPr>
          <w:color w:val="000000"/>
        </w:rPr>
        <w:t>. London Verso.</w:t>
      </w:r>
    </w:p>
    <w:p w14:paraId="000000E2" w14:textId="3A49EB39" w:rsidR="007436C6" w:rsidRPr="00523605" w:rsidRDefault="00D4549A" w:rsidP="00523605">
      <w:pPr>
        <w:spacing w:line="480" w:lineRule="auto"/>
      </w:pPr>
      <w:r w:rsidRPr="00523605">
        <w:t xml:space="preserve">Green, E. (2022, April 7). </w:t>
      </w:r>
      <w:r w:rsidRPr="00523605">
        <w:rPr>
          <w:i/>
        </w:rPr>
        <w:t>The human genome sequence is now complete</w:t>
      </w:r>
      <w:r w:rsidRPr="00523605">
        <w:t xml:space="preserve">. </w:t>
      </w:r>
    </w:p>
    <w:p w14:paraId="000000E3" w14:textId="77777777" w:rsidR="007436C6" w:rsidRPr="00523605" w:rsidRDefault="00D4549A" w:rsidP="00523605">
      <w:pPr>
        <w:spacing w:line="480" w:lineRule="auto"/>
        <w:ind w:left="720"/>
      </w:pPr>
      <w:r w:rsidRPr="00523605">
        <w:t>Genome.gov. https://www.genome.gov/about-nhgri/Director/genomics-landscape/april-7-2022-the-human-genome-sequence-is-now-complete</w:t>
      </w:r>
    </w:p>
    <w:p w14:paraId="4D725F52" w14:textId="77777777" w:rsidR="00A26D03" w:rsidRPr="00523605" w:rsidRDefault="00A26D03" w:rsidP="00523605">
      <w:pPr>
        <w:spacing w:line="480" w:lineRule="auto"/>
      </w:pPr>
      <w:r w:rsidRPr="00523605">
        <w:rPr>
          <w:color w:val="000000"/>
        </w:rPr>
        <w:t>Hill, H. A., Yankey, D., Elam-Evans, L. D., Mu, Y., Chen, M., Peacock, G., &amp; Singleton, J. </w:t>
      </w:r>
    </w:p>
    <w:p w14:paraId="1E70E4AD" w14:textId="7F1F41B1" w:rsidR="00A26D03" w:rsidRPr="00523605" w:rsidRDefault="00A26D03" w:rsidP="00523605">
      <w:pPr>
        <w:spacing w:line="480" w:lineRule="auto"/>
        <w:ind w:left="720"/>
      </w:pPr>
      <w:r w:rsidRPr="00523605">
        <w:rPr>
          <w:color w:val="000000"/>
        </w:rPr>
        <w:t xml:space="preserve">A. (2024). Decline in Vaccination Coverage by Age 24 Months and Vaccination Inequities Among Children Born in 2020 and 2021 — National Immunization Survey-Child, United States, 2021–2023. </w:t>
      </w:r>
      <w:r w:rsidRPr="00523605">
        <w:rPr>
          <w:i/>
          <w:iCs/>
          <w:color w:val="000000"/>
        </w:rPr>
        <w:t>MMWR. Morbidity and Mortality Weekly Report</w:t>
      </w:r>
      <w:r w:rsidRPr="00523605">
        <w:rPr>
          <w:color w:val="000000"/>
        </w:rPr>
        <w:t xml:space="preserve">, </w:t>
      </w:r>
      <w:r w:rsidRPr="00523605">
        <w:rPr>
          <w:i/>
          <w:iCs/>
          <w:color w:val="000000"/>
        </w:rPr>
        <w:t>73</w:t>
      </w:r>
      <w:r w:rsidRPr="00523605">
        <w:rPr>
          <w:color w:val="000000"/>
        </w:rPr>
        <w:t>(38), 844–853. https://doi.org/10.15585/mmwr.mm7338a3</w:t>
      </w:r>
    </w:p>
    <w:p w14:paraId="000000E4" w14:textId="77777777" w:rsidR="007436C6" w:rsidRPr="00523605" w:rsidRDefault="00D4549A" w:rsidP="00523605">
      <w:pPr>
        <w:shd w:val="clear" w:color="auto" w:fill="FFFFFF"/>
        <w:spacing w:line="480" w:lineRule="auto"/>
      </w:pPr>
      <w:r w:rsidRPr="00523605">
        <w:t xml:space="preserve">Hoffman, K. M., </w:t>
      </w:r>
      <w:proofErr w:type="spellStart"/>
      <w:r w:rsidRPr="00523605">
        <w:t>Trawalter</w:t>
      </w:r>
      <w:proofErr w:type="spellEnd"/>
      <w:r w:rsidRPr="00523605">
        <w:t xml:space="preserve">, S., Axt, J. R., &amp; Oliver, M. N. (2016). Racial Bias in Pain </w:t>
      </w:r>
    </w:p>
    <w:p w14:paraId="000000E5" w14:textId="730C38C6" w:rsidR="007436C6" w:rsidRDefault="00D4549A" w:rsidP="00523605">
      <w:pPr>
        <w:shd w:val="clear" w:color="auto" w:fill="FFFFFF"/>
        <w:spacing w:line="480" w:lineRule="auto"/>
        <w:ind w:left="720"/>
      </w:pPr>
      <w:r w:rsidRPr="00523605">
        <w:t xml:space="preserve">Assessment and Treatment recommendations, and False Beliefs about Biological Differences between Blacks and Whites. </w:t>
      </w:r>
      <w:r w:rsidRPr="00523605">
        <w:rPr>
          <w:i/>
        </w:rPr>
        <w:t>Proceedings of the National Academy of Sciences</w:t>
      </w:r>
      <w:r w:rsidRPr="00523605">
        <w:t xml:space="preserve">, </w:t>
      </w:r>
      <w:r w:rsidRPr="00523605">
        <w:rPr>
          <w:i/>
        </w:rPr>
        <w:t>113</w:t>
      </w:r>
      <w:r w:rsidRPr="00523605">
        <w:t xml:space="preserve">(16), 4296–4301. </w:t>
      </w:r>
      <w:r w:rsidR="00D40EFB" w:rsidRPr="00D40EFB">
        <w:t>https://doi.org/10.1073/pnas.1516047113</w:t>
      </w:r>
    </w:p>
    <w:p w14:paraId="619C6CD4" w14:textId="64785DB1" w:rsidR="00D40EFB" w:rsidRDefault="00D40EFB" w:rsidP="00D40EFB">
      <w:pPr>
        <w:pStyle w:val="NormalWeb"/>
        <w:spacing w:before="0" w:beforeAutospacing="0" w:after="0" w:afterAutospacing="0" w:line="480" w:lineRule="auto"/>
        <w:ind w:left="720" w:hanging="720"/>
        <w:rPr>
          <w:color w:val="000000"/>
        </w:rPr>
      </w:pPr>
      <w:r w:rsidRPr="00965500">
        <w:rPr>
          <w:color w:val="000000"/>
        </w:rPr>
        <w:lastRenderedPageBreak/>
        <w:t>Isaac KS Ng, Sarah ZL Tham, Gaurav Deep Singh, Thong, C., &amp; Teo, D. B. (2024). Medical Gaslighting: A New Colloquialism. </w:t>
      </w:r>
      <w:r w:rsidRPr="00965500">
        <w:rPr>
          <w:i/>
          <w:iCs/>
          <w:color w:val="000000"/>
        </w:rPr>
        <w:t>The American Journal of Medicine</w:t>
      </w:r>
      <w:r w:rsidRPr="00965500">
        <w:rPr>
          <w:color w:val="000000"/>
        </w:rPr>
        <w:t>, </w:t>
      </w:r>
      <w:r w:rsidRPr="00965500">
        <w:rPr>
          <w:i/>
          <w:iCs/>
          <w:color w:val="000000"/>
        </w:rPr>
        <w:t>137</w:t>
      </w:r>
      <w:r w:rsidRPr="00965500">
        <w:rPr>
          <w:color w:val="000000"/>
        </w:rPr>
        <w:t>(10). https://doi.org/10.1016/j.amjmed.2024.06.022</w:t>
      </w:r>
    </w:p>
    <w:p w14:paraId="7E5DBF88" w14:textId="77777777" w:rsidR="00D40EFB" w:rsidRPr="00523605" w:rsidRDefault="00D40EFB" w:rsidP="00D40EFB">
      <w:pPr>
        <w:spacing w:line="480" w:lineRule="auto"/>
      </w:pPr>
      <w:r w:rsidRPr="00F053EB">
        <w:t>Jensen, E., Jones, N., Rabe, M., Pratt, B., Medina, L., Orozco, K., &amp; Spell, L. (2021, August 12).</w:t>
      </w:r>
      <w:r w:rsidRPr="00523605">
        <w:t xml:space="preserve"> </w:t>
      </w:r>
    </w:p>
    <w:p w14:paraId="46F63846" w14:textId="7049A18D" w:rsidR="00D40EFB" w:rsidRPr="00D40EFB" w:rsidRDefault="00D40EFB" w:rsidP="00D40EFB">
      <w:pPr>
        <w:spacing w:line="480" w:lineRule="auto"/>
        <w:ind w:left="720"/>
      </w:pPr>
      <w:r w:rsidRPr="00523605">
        <w:rPr>
          <w:i/>
        </w:rPr>
        <w:t>2020 U.S. Population More Racially and Ethnically Diverse Than Measured in 2010</w:t>
      </w:r>
      <w:r w:rsidRPr="00523605">
        <w:t xml:space="preserve">. </w:t>
      </w:r>
      <w:r w:rsidRPr="00463A6F">
        <w:t xml:space="preserve">The United States Census Bureau. </w:t>
      </w:r>
      <w:r w:rsidRPr="00965500">
        <w:t>https://www.census.gov/library/stories/2021/08/2020-united-states-population-more-racially-ethnically-diverse-than-2010.html</w:t>
      </w:r>
    </w:p>
    <w:p w14:paraId="5CF78E5A" w14:textId="77777777" w:rsidR="006B7527" w:rsidRDefault="00F75641" w:rsidP="006B7527">
      <w:pPr>
        <w:shd w:val="clear" w:color="auto" w:fill="FFFFFF"/>
        <w:spacing w:line="480" w:lineRule="auto"/>
        <w:rPr>
          <w:color w:val="1B1B1B"/>
          <w:shd w:val="clear" w:color="auto" w:fill="FFFFFF"/>
        </w:rPr>
      </w:pPr>
      <w:r w:rsidRPr="00965500">
        <w:rPr>
          <w:color w:val="1B1B1B"/>
          <w:shd w:val="clear" w:color="auto" w:fill="FFFFFF"/>
        </w:rPr>
        <w:t xml:space="preserve">Kaspar, A., </w:t>
      </w:r>
      <w:proofErr w:type="spellStart"/>
      <w:r w:rsidRPr="00965500">
        <w:rPr>
          <w:color w:val="1B1B1B"/>
          <w:shd w:val="clear" w:color="auto" w:fill="FFFFFF"/>
        </w:rPr>
        <w:t>Pifeleti</w:t>
      </w:r>
      <w:proofErr w:type="spellEnd"/>
      <w:r w:rsidRPr="00965500">
        <w:rPr>
          <w:color w:val="1B1B1B"/>
          <w:shd w:val="clear" w:color="auto" w:fill="FFFFFF"/>
        </w:rPr>
        <w:t xml:space="preserve">, S., &amp; Whitfield, B. C. (2020). The measles emergency is over, but the crisis </w:t>
      </w:r>
    </w:p>
    <w:p w14:paraId="1F279492" w14:textId="22D3A386" w:rsidR="006B7527" w:rsidRPr="00F053EB" w:rsidRDefault="00F75641" w:rsidP="00965500">
      <w:pPr>
        <w:shd w:val="clear" w:color="auto" w:fill="FFFFFF"/>
        <w:spacing w:line="480" w:lineRule="auto"/>
        <w:ind w:left="720"/>
      </w:pPr>
      <w:r w:rsidRPr="00965500">
        <w:rPr>
          <w:color w:val="1B1B1B"/>
          <w:shd w:val="clear" w:color="auto" w:fill="FFFFFF"/>
        </w:rPr>
        <w:t>continues - a call to action for the Pacific Islands. </w:t>
      </w:r>
      <w:r w:rsidRPr="00965500">
        <w:rPr>
          <w:i/>
          <w:iCs/>
          <w:color w:val="1B1B1B"/>
          <w:shd w:val="clear" w:color="auto" w:fill="FFFFFF"/>
        </w:rPr>
        <w:t>Journal of global health</w:t>
      </w:r>
      <w:r w:rsidRPr="00965500">
        <w:rPr>
          <w:color w:val="1B1B1B"/>
          <w:shd w:val="clear" w:color="auto" w:fill="FFFFFF"/>
        </w:rPr>
        <w:t>, </w:t>
      </w:r>
      <w:r w:rsidRPr="00965500">
        <w:rPr>
          <w:i/>
          <w:iCs/>
          <w:color w:val="1B1B1B"/>
          <w:shd w:val="clear" w:color="auto" w:fill="FFFFFF"/>
        </w:rPr>
        <w:t>10</w:t>
      </w:r>
      <w:r w:rsidRPr="00965500">
        <w:rPr>
          <w:color w:val="1B1B1B"/>
          <w:shd w:val="clear" w:color="auto" w:fill="FFFFFF"/>
        </w:rPr>
        <w:t xml:space="preserve">(2), 020301. </w:t>
      </w:r>
      <w:r w:rsidR="00841659" w:rsidRPr="00965500">
        <w:rPr>
          <w:color w:val="1B1B1B"/>
          <w:shd w:val="clear" w:color="auto" w:fill="FFFFFF"/>
        </w:rPr>
        <w:t>https://doi.org/10.7189/jogh.10.020301</w:t>
      </w:r>
    </w:p>
    <w:p w14:paraId="3DF0FF74" w14:textId="7C700FEE" w:rsidR="00463A6F" w:rsidRPr="00965500" w:rsidRDefault="00463A6F" w:rsidP="00965500">
      <w:pPr>
        <w:pStyle w:val="NormalWeb"/>
        <w:spacing w:before="0" w:beforeAutospacing="0" w:after="0" w:afterAutospacing="0" w:line="480" w:lineRule="auto"/>
        <w:ind w:left="720" w:hanging="720"/>
        <w:rPr>
          <w:color w:val="000000"/>
        </w:rPr>
      </w:pPr>
      <w:r w:rsidRPr="00965500">
        <w:rPr>
          <w:color w:val="000000"/>
        </w:rPr>
        <w:t>Mayo Clinic. (2025, April 19). </w:t>
      </w:r>
      <w:r w:rsidRPr="00965500">
        <w:rPr>
          <w:i/>
          <w:iCs/>
          <w:color w:val="000000"/>
        </w:rPr>
        <w:t>Autism Spectrum Disorder</w:t>
      </w:r>
      <w:r w:rsidRPr="00965500">
        <w:rPr>
          <w:color w:val="000000"/>
        </w:rPr>
        <w:t>. Mayo Clinic; Mayo Foundation for Medical Education and Research. https://www.mayoclinic.org/diseases-conditions/autism-spectrum-disorder/symptoms-causes/syc-20352928</w:t>
      </w:r>
    </w:p>
    <w:p w14:paraId="000000EF" w14:textId="77777777" w:rsidR="007436C6" w:rsidRPr="00523605" w:rsidRDefault="00D4549A" w:rsidP="00523605">
      <w:pPr>
        <w:spacing w:line="480" w:lineRule="auto"/>
      </w:pPr>
      <w:r w:rsidRPr="00523605">
        <w:t xml:space="preserve">Metzl, J. M., &amp; Hansen, H. (2014). Structural competency: Theorizing a new medical </w:t>
      </w:r>
    </w:p>
    <w:p w14:paraId="000000F0" w14:textId="77777777" w:rsidR="007436C6" w:rsidRPr="00523605" w:rsidRDefault="00D4549A" w:rsidP="00523605">
      <w:pPr>
        <w:spacing w:line="480" w:lineRule="auto"/>
        <w:ind w:left="720"/>
      </w:pPr>
      <w:r w:rsidRPr="00523605">
        <w:t xml:space="preserve">engagement with stigma and inequality. </w:t>
      </w:r>
      <w:r w:rsidRPr="00523605">
        <w:rPr>
          <w:i/>
        </w:rPr>
        <w:t>Social Science &amp; Medicine</w:t>
      </w:r>
      <w:r w:rsidRPr="00523605">
        <w:t xml:space="preserve">, </w:t>
      </w:r>
      <w:r w:rsidRPr="00523605">
        <w:rPr>
          <w:i/>
        </w:rPr>
        <w:t>103</w:t>
      </w:r>
      <w:r w:rsidRPr="00523605">
        <w:t>(103), 126–133. https://doi.org/10.1016/j.socscimed.2013.06.032</w:t>
      </w:r>
    </w:p>
    <w:p w14:paraId="000000F1" w14:textId="77777777" w:rsidR="007436C6" w:rsidRPr="00523605" w:rsidRDefault="00D4549A" w:rsidP="00523605">
      <w:pPr>
        <w:shd w:val="clear" w:color="auto" w:fill="FFFFFF"/>
        <w:spacing w:line="480" w:lineRule="auto"/>
      </w:pPr>
      <w:r w:rsidRPr="00523605">
        <w:t xml:space="preserve">Murray, K. E., Mohamed, A. S., &amp; </w:t>
      </w:r>
      <w:proofErr w:type="spellStart"/>
      <w:r w:rsidRPr="00523605">
        <w:t>Ndunduyenge</w:t>
      </w:r>
      <w:proofErr w:type="spellEnd"/>
      <w:r w:rsidRPr="00523605">
        <w:t xml:space="preserve">, G. (2013). Health and prevention among </w:t>
      </w:r>
      <w:proofErr w:type="gramStart"/>
      <w:r w:rsidRPr="00523605">
        <w:t>East</w:t>
      </w:r>
      <w:proofErr w:type="gramEnd"/>
      <w:r w:rsidRPr="00523605">
        <w:t xml:space="preserve"> </w:t>
      </w:r>
    </w:p>
    <w:p w14:paraId="000000F2" w14:textId="77777777" w:rsidR="007436C6" w:rsidRPr="00523605" w:rsidRDefault="00D4549A" w:rsidP="00523605">
      <w:pPr>
        <w:shd w:val="clear" w:color="auto" w:fill="FFFFFF"/>
        <w:spacing w:line="480" w:lineRule="auto"/>
        <w:ind w:left="720"/>
      </w:pPr>
      <w:r w:rsidRPr="00523605">
        <w:t xml:space="preserve">African women in the U.S. </w:t>
      </w:r>
      <w:r w:rsidRPr="00523605">
        <w:rPr>
          <w:i/>
        </w:rPr>
        <w:t>Journal of health care for the poor and underserved</w:t>
      </w:r>
      <w:r w:rsidRPr="00523605">
        <w:t xml:space="preserve">, </w:t>
      </w:r>
      <w:r w:rsidRPr="00523605">
        <w:rPr>
          <w:i/>
        </w:rPr>
        <w:t>24</w:t>
      </w:r>
      <w:r w:rsidRPr="00523605">
        <w:t>(1), 233–246. https://doi.org/10.1353/hpu.2013.0029</w:t>
      </w:r>
    </w:p>
    <w:p w14:paraId="000000F3" w14:textId="77777777" w:rsidR="007436C6" w:rsidRPr="00523605" w:rsidRDefault="00D4549A" w:rsidP="00523605">
      <w:pPr>
        <w:shd w:val="clear" w:color="auto" w:fill="FFFFFF"/>
        <w:spacing w:line="480" w:lineRule="auto"/>
        <w:rPr>
          <w:color w:val="222222"/>
        </w:rPr>
      </w:pPr>
      <w:r w:rsidRPr="00523605">
        <w:t xml:space="preserve">National Academies of Sciences, E., Division, H. and </w:t>
      </w:r>
      <w:r w:rsidRPr="00523605">
        <w:rPr>
          <w:color w:val="222222"/>
        </w:rPr>
        <w:t xml:space="preserve">M., Practice, B. on P. H. and P. H., Equity, </w:t>
      </w:r>
    </w:p>
    <w:p w14:paraId="000000F4" w14:textId="77777777" w:rsidR="007436C6" w:rsidRPr="00523605" w:rsidRDefault="00D4549A" w:rsidP="00523605">
      <w:pPr>
        <w:shd w:val="clear" w:color="auto" w:fill="FFFFFF"/>
        <w:spacing w:line="480" w:lineRule="auto"/>
        <w:ind w:left="720"/>
      </w:pPr>
      <w:r w:rsidRPr="00523605">
        <w:rPr>
          <w:color w:val="222222"/>
        </w:rPr>
        <w:t xml:space="preserve">R. on the P. of H., Martinez, R. M., Taffe, R., &amp; Alper, J. (2023, December 27). </w:t>
      </w:r>
      <w:r w:rsidRPr="00523605">
        <w:rPr>
          <w:i/>
          <w:color w:val="222222"/>
        </w:rPr>
        <w:t>Moving from Race-Based to Race-Conscious Medicine to Address Health Inequities</w:t>
      </w:r>
      <w:r w:rsidRPr="00523605">
        <w:rPr>
          <w:color w:val="222222"/>
        </w:rPr>
        <w:t xml:space="preserve">. </w:t>
      </w:r>
      <w:r w:rsidRPr="00523605">
        <w:rPr>
          <w:color w:val="222222"/>
        </w:rPr>
        <w:lastRenderedPageBreak/>
        <w:t xml:space="preserve">www.ncbi.nlm.nih.gov; National Academies Press (US). </w:t>
      </w:r>
      <w:r w:rsidRPr="00523605">
        <w:t>https://www.ncbi.nlm.nih.gov/books/NBK600054/</w:t>
      </w:r>
    </w:p>
    <w:p w14:paraId="000000F5" w14:textId="77777777" w:rsidR="007436C6" w:rsidRPr="00523605" w:rsidRDefault="00D4549A" w:rsidP="00523605">
      <w:pPr>
        <w:shd w:val="clear" w:color="auto" w:fill="FFFFFF"/>
        <w:spacing w:line="480" w:lineRule="auto"/>
      </w:pPr>
      <w:r w:rsidRPr="00523605">
        <w:t xml:space="preserve">Novak, N. L., Lira, N., O'Connor, K. E., Harlow, S. D., </w:t>
      </w:r>
      <w:proofErr w:type="spellStart"/>
      <w:r w:rsidRPr="00523605">
        <w:t>Kardia</w:t>
      </w:r>
      <w:proofErr w:type="spellEnd"/>
      <w:r w:rsidRPr="00523605">
        <w:t xml:space="preserve">, S. L. R., &amp; Stern, A. M. (2018). </w:t>
      </w:r>
    </w:p>
    <w:p w14:paraId="000000F7" w14:textId="4F5DC34B" w:rsidR="007436C6" w:rsidRPr="00523605" w:rsidRDefault="00D4549A" w:rsidP="00523605">
      <w:pPr>
        <w:shd w:val="clear" w:color="auto" w:fill="FFFFFF"/>
        <w:spacing w:line="480" w:lineRule="auto"/>
        <w:ind w:left="720"/>
      </w:pPr>
      <w:r w:rsidRPr="00523605">
        <w:t xml:space="preserve">Disproportionate Sterilization of Latinos Under California's Eugenic Sterilization Program, 1920-1945. </w:t>
      </w:r>
      <w:r w:rsidRPr="00523605">
        <w:rPr>
          <w:i/>
        </w:rPr>
        <w:t>American journal of public health</w:t>
      </w:r>
      <w:r w:rsidRPr="00523605">
        <w:t xml:space="preserve">, </w:t>
      </w:r>
      <w:r w:rsidRPr="00523605">
        <w:rPr>
          <w:i/>
        </w:rPr>
        <w:t>108</w:t>
      </w:r>
      <w:r w:rsidRPr="00523605">
        <w:t>(5), 611–613. https://doi.org/10.2105/AJPH.2018.304369</w:t>
      </w:r>
    </w:p>
    <w:p w14:paraId="000000F8" w14:textId="77777777" w:rsidR="007436C6" w:rsidRPr="00523605" w:rsidRDefault="00D4549A" w:rsidP="00523605">
      <w:pPr>
        <w:shd w:val="clear" w:color="auto" w:fill="FFFFFF"/>
        <w:spacing w:line="480" w:lineRule="auto"/>
        <w:rPr>
          <w:color w:val="1B1B1B"/>
        </w:rPr>
      </w:pPr>
      <w:r w:rsidRPr="00523605">
        <w:rPr>
          <w:color w:val="1B1B1B"/>
        </w:rPr>
        <w:t xml:space="preserve">Opara, I. N., Riddle-Jones, L., &amp; Allen, N. (2021). Modern Day </w:t>
      </w:r>
      <w:proofErr w:type="spellStart"/>
      <w:r w:rsidRPr="00523605">
        <w:rPr>
          <w:color w:val="1B1B1B"/>
        </w:rPr>
        <w:t>Drapetomania</w:t>
      </w:r>
      <w:proofErr w:type="spellEnd"/>
      <w:r w:rsidRPr="00523605">
        <w:rPr>
          <w:color w:val="1B1B1B"/>
        </w:rPr>
        <w:t xml:space="preserve">: Calling Out </w:t>
      </w:r>
    </w:p>
    <w:p w14:paraId="000000F9" w14:textId="77777777" w:rsidR="007436C6" w:rsidRPr="00523605" w:rsidRDefault="00D4549A" w:rsidP="00523605">
      <w:pPr>
        <w:shd w:val="clear" w:color="auto" w:fill="FFFFFF"/>
        <w:spacing w:line="480" w:lineRule="auto"/>
        <w:ind w:firstLine="720"/>
        <w:rPr>
          <w:color w:val="1B1B1B"/>
        </w:rPr>
      </w:pPr>
      <w:r w:rsidRPr="00523605">
        <w:rPr>
          <w:color w:val="1B1B1B"/>
        </w:rPr>
        <w:t xml:space="preserve">Scientific Racism. </w:t>
      </w:r>
      <w:r w:rsidRPr="00523605">
        <w:rPr>
          <w:i/>
          <w:color w:val="1B1B1B"/>
        </w:rPr>
        <w:t>Journal of General Internal Medicine, 37</w:t>
      </w:r>
      <w:r w:rsidRPr="00523605">
        <w:rPr>
          <w:color w:val="1B1B1B"/>
        </w:rPr>
        <w:t xml:space="preserve">(1), 225–226. </w:t>
      </w:r>
    </w:p>
    <w:p w14:paraId="000000FA" w14:textId="77777777" w:rsidR="007436C6" w:rsidRPr="00523605" w:rsidRDefault="00D4549A" w:rsidP="00523605">
      <w:pPr>
        <w:shd w:val="clear" w:color="auto" w:fill="FFFFFF"/>
        <w:spacing w:line="480" w:lineRule="auto"/>
        <w:ind w:firstLine="720"/>
        <w:rPr>
          <w:color w:val="1B1B1B"/>
        </w:rPr>
      </w:pPr>
      <w:r w:rsidRPr="00523605">
        <w:rPr>
          <w:color w:val="1B1B1B"/>
        </w:rPr>
        <w:t>https://doi.org/10.1007/s11606-021-07163-z</w:t>
      </w:r>
    </w:p>
    <w:p w14:paraId="000000FB" w14:textId="77777777" w:rsidR="007436C6" w:rsidRPr="00523605" w:rsidRDefault="00D4549A" w:rsidP="00523605">
      <w:pPr>
        <w:shd w:val="clear" w:color="auto" w:fill="FFFFFF"/>
        <w:spacing w:line="480" w:lineRule="auto"/>
        <w:rPr>
          <w:i/>
          <w:color w:val="222222"/>
          <w:highlight w:val="white"/>
        </w:rPr>
      </w:pPr>
      <w:r w:rsidRPr="00523605">
        <w:rPr>
          <w:color w:val="222222"/>
        </w:rPr>
        <w:t xml:space="preserve">Public Health on Call. (2025, March 19). </w:t>
      </w:r>
      <w:r w:rsidRPr="00523605">
        <w:rPr>
          <w:i/>
          <w:color w:val="222222"/>
        </w:rPr>
        <w:t xml:space="preserve">The Evidence </w:t>
      </w:r>
      <w:r w:rsidRPr="00523605">
        <w:rPr>
          <w:i/>
          <w:color w:val="222222"/>
          <w:highlight w:val="white"/>
        </w:rPr>
        <w:t xml:space="preserve">on Vaccines and Autism | Johns Hopkins </w:t>
      </w:r>
    </w:p>
    <w:p w14:paraId="000000FC" w14:textId="27F0C420" w:rsidR="007436C6" w:rsidRPr="00B36786" w:rsidRDefault="00D4549A" w:rsidP="00B36786">
      <w:pPr>
        <w:shd w:val="clear" w:color="auto" w:fill="FFFFFF"/>
        <w:spacing w:line="480" w:lineRule="auto"/>
        <w:ind w:left="720"/>
        <w:rPr>
          <w:color w:val="222222"/>
          <w:highlight w:val="white"/>
        </w:rPr>
      </w:pPr>
      <w:r w:rsidRPr="00B36786">
        <w:rPr>
          <w:i/>
          <w:color w:val="222222"/>
          <w:highlight w:val="white"/>
        </w:rPr>
        <w:t>Bloomberg School of Public Health</w:t>
      </w:r>
      <w:r w:rsidRPr="00B36786">
        <w:rPr>
          <w:color w:val="222222"/>
          <w:highlight w:val="white"/>
        </w:rPr>
        <w:t xml:space="preserve">. Johns Hopkins Bloomberg School of Public Health. </w:t>
      </w:r>
      <w:r w:rsidR="007B0B49" w:rsidRPr="00965500">
        <w:rPr>
          <w:color w:val="222222"/>
          <w:highlight w:val="white"/>
        </w:rPr>
        <w:t>https://publichealth.jhu.edu/2025/the-evidence-on-vaccines-and-autism</w:t>
      </w:r>
    </w:p>
    <w:p w14:paraId="2EF748B5" w14:textId="77777777" w:rsidR="00B36786" w:rsidRPr="00965500" w:rsidRDefault="00B36786" w:rsidP="00B36786">
      <w:pPr>
        <w:shd w:val="clear" w:color="auto" w:fill="FFFFFF"/>
        <w:spacing w:line="480" w:lineRule="auto"/>
        <w:rPr>
          <w:color w:val="1B1B1B"/>
          <w:shd w:val="clear" w:color="auto" w:fill="FFFFFF"/>
        </w:rPr>
      </w:pPr>
      <w:r w:rsidRPr="00965500">
        <w:rPr>
          <w:color w:val="1B1B1B"/>
          <w:shd w:val="clear" w:color="auto" w:fill="FFFFFF"/>
        </w:rPr>
        <w:t xml:space="preserve">Rao, T. S., &amp; Andrade, C. (2011). The MMR vaccine and autism: </w:t>
      </w:r>
    </w:p>
    <w:p w14:paraId="106CEDFD" w14:textId="713F9300" w:rsidR="00B36786" w:rsidRPr="00B36786" w:rsidRDefault="00B36786" w:rsidP="00B36786">
      <w:pPr>
        <w:shd w:val="clear" w:color="auto" w:fill="FFFFFF"/>
        <w:spacing w:line="480" w:lineRule="auto"/>
        <w:ind w:left="720"/>
        <w:rPr>
          <w:color w:val="222222"/>
          <w:highlight w:val="white"/>
        </w:rPr>
      </w:pPr>
      <w:r w:rsidRPr="00965500">
        <w:rPr>
          <w:color w:val="1B1B1B"/>
          <w:shd w:val="clear" w:color="auto" w:fill="FFFFFF"/>
        </w:rPr>
        <w:t>Sensation, refutation, retraction, and fraud. </w:t>
      </w:r>
      <w:r w:rsidRPr="00965500">
        <w:rPr>
          <w:i/>
          <w:iCs/>
          <w:color w:val="1B1B1B"/>
          <w:shd w:val="clear" w:color="auto" w:fill="FFFFFF"/>
        </w:rPr>
        <w:t>Indian journal of psychiatry</w:t>
      </w:r>
      <w:r w:rsidRPr="00965500">
        <w:rPr>
          <w:color w:val="1B1B1B"/>
          <w:shd w:val="clear" w:color="auto" w:fill="FFFFFF"/>
        </w:rPr>
        <w:t>, </w:t>
      </w:r>
      <w:r w:rsidRPr="00965500">
        <w:rPr>
          <w:i/>
          <w:iCs/>
          <w:color w:val="1B1B1B"/>
          <w:shd w:val="clear" w:color="auto" w:fill="FFFFFF"/>
        </w:rPr>
        <w:t>53</w:t>
      </w:r>
      <w:r w:rsidRPr="00965500">
        <w:rPr>
          <w:color w:val="1B1B1B"/>
          <w:shd w:val="clear" w:color="auto" w:fill="FFFFFF"/>
        </w:rPr>
        <w:t>(2), 95–96. https://doi.org/10.4103/0019-5545.82529</w:t>
      </w:r>
    </w:p>
    <w:p w14:paraId="000000FD" w14:textId="77777777" w:rsidR="007436C6" w:rsidRPr="00B36786" w:rsidRDefault="00D4549A" w:rsidP="00B36786">
      <w:pPr>
        <w:shd w:val="clear" w:color="auto" w:fill="FFFFFF"/>
        <w:spacing w:line="480" w:lineRule="auto"/>
        <w:rPr>
          <w:color w:val="222222"/>
        </w:rPr>
      </w:pPr>
      <w:r w:rsidRPr="00B36786">
        <w:rPr>
          <w:color w:val="222222"/>
        </w:rPr>
        <w:t xml:space="preserve">Roberts, D. (2011). Color Coded Pills. Independent Publishers Group (Chicago Review Press). </w:t>
      </w:r>
    </w:p>
    <w:p w14:paraId="000000FE" w14:textId="77777777" w:rsidR="007436C6" w:rsidRPr="00B36786" w:rsidRDefault="00D4549A" w:rsidP="00B36786">
      <w:pPr>
        <w:shd w:val="clear" w:color="auto" w:fill="FFFFFF"/>
        <w:spacing w:line="480" w:lineRule="auto"/>
        <w:ind w:firstLine="720"/>
      </w:pPr>
      <w:r w:rsidRPr="00B36786">
        <w:rPr>
          <w:i/>
        </w:rPr>
        <w:t>Fatal Invention</w:t>
      </w:r>
      <w:r w:rsidRPr="00B36786">
        <w:t>. (168-201) https://utk.vitalsource.com/books/9781595586919</w:t>
      </w:r>
    </w:p>
    <w:p w14:paraId="000000FF" w14:textId="77777777" w:rsidR="007436C6" w:rsidRPr="00523605" w:rsidRDefault="00D4549A" w:rsidP="00523605">
      <w:pPr>
        <w:shd w:val="clear" w:color="auto" w:fill="FFFFFF"/>
        <w:spacing w:line="480" w:lineRule="auto"/>
      </w:pPr>
      <w:r w:rsidRPr="00523605">
        <w:t xml:space="preserve">Roberts, D. (2016). The problem with race-based medicine | Dorothy Roberts. In </w:t>
      </w:r>
      <w:r w:rsidRPr="00523605">
        <w:rPr>
          <w:i/>
        </w:rPr>
        <w:t>YouTube</w:t>
      </w:r>
      <w:r w:rsidRPr="00523605">
        <w:t xml:space="preserve">. </w:t>
      </w:r>
    </w:p>
    <w:p w14:paraId="00000100" w14:textId="77777777" w:rsidR="007436C6" w:rsidRPr="00523605" w:rsidRDefault="00D4549A" w:rsidP="00523605">
      <w:pPr>
        <w:shd w:val="clear" w:color="auto" w:fill="FFFFFF"/>
        <w:spacing w:line="480" w:lineRule="auto"/>
        <w:ind w:firstLine="720"/>
      </w:pPr>
      <w:r w:rsidRPr="00523605">
        <w:t>https://www.youtube.com/watch?v=KxLMjn4WPBY</w:t>
      </w:r>
    </w:p>
    <w:p w14:paraId="00000101" w14:textId="77777777" w:rsidR="007436C6" w:rsidRPr="00523605" w:rsidRDefault="00D4549A" w:rsidP="00523605">
      <w:pPr>
        <w:shd w:val="clear" w:color="auto" w:fill="FFFFFF"/>
        <w:spacing w:line="480" w:lineRule="auto"/>
      </w:pPr>
      <w:r w:rsidRPr="00523605">
        <w:t xml:space="preserve">Roberts, D. E. (2025). </w:t>
      </w:r>
      <w:r w:rsidRPr="00523605">
        <w:rPr>
          <w:i/>
        </w:rPr>
        <w:t>What’s Wrong with Race-Based Medicine?</w:t>
      </w:r>
      <w:r w:rsidRPr="00523605">
        <w:t xml:space="preserve"> Penn Carey Law: </w:t>
      </w:r>
    </w:p>
    <w:p w14:paraId="00000102" w14:textId="77777777" w:rsidR="007436C6" w:rsidRPr="00523605" w:rsidRDefault="00D4549A" w:rsidP="00523605">
      <w:pPr>
        <w:shd w:val="clear" w:color="auto" w:fill="FFFFFF"/>
        <w:spacing w:line="480" w:lineRule="auto"/>
        <w:ind w:left="720"/>
      </w:pPr>
      <w:r w:rsidRPr="00523605">
        <w:t>Legal Scholarship Repository. https://scholarship.law.upenn.edu/faculty_scholarship/435/</w:t>
      </w:r>
    </w:p>
    <w:p w14:paraId="00000103" w14:textId="77777777" w:rsidR="007436C6" w:rsidRPr="00523605" w:rsidRDefault="00D4549A" w:rsidP="00523605">
      <w:pPr>
        <w:shd w:val="clear" w:color="auto" w:fill="FFFFFF"/>
        <w:spacing w:line="480" w:lineRule="auto"/>
      </w:pPr>
      <w:r w:rsidRPr="00523605">
        <w:t xml:space="preserve">Ruíz, E. (2020). Cultural Gaslighting. </w:t>
      </w:r>
      <w:r w:rsidRPr="00523605">
        <w:rPr>
          <w:i/>
        </w:rPr>
        <w:t>Hypatia</w:t>
      </w:r>
      <w:r w:rsidRPr="00523605">
        <w:t xml:space="preserve">, </w:t>
      </w:r>
      <w:r w:rsidRPr="00523605">
        <w:rPr>
          <w:i/>
        </w:rPr>
        <w:t>35</w:t>
      </w:r>
      <w:r w:rsidRPr="00523605">
        <w:t xml:space="preserve">(4), 687–713. </w:t>
      </w:r>
    </w:p>
    <w:p w14:paraId="00000104" w14:textId="77777777" w:rsidR="007436C6" w:rsidRPr="00523605" w:rsidRDefault="00D4549A" w:rsidP="00523605">
      <w:pPr>
        <w:shd w:val="clear" w:color="auto" w:fill="FFFFFF"/>
        <w:spacing w:line="480" w:lineRule="auto"/>
        <w:ind w:firstLine="720"/>
      </w:pPr>
      <w:r w:rsidRPr="00523605">
        <w:t>https://doi.org/10.1017/hyp.2020.33</w:t>
      </w:r>
    </w:p>
    <w:p w14:paraId="00000105" w14:textId="77777777" w:rsidR="007436C6" w:rsidRPr="00523605" w:rsidRDefault="00D4549A" w:rsidP="00523605">
      <w:pPr>
        <w:shd w:val="clear" w:color="auto" w:fill="FFFFFF"/>
        <w:spacing w:line="480" w:lineRule="auto"/>
      </w:pPr>
      <w:r w:rsidRPr="00523605">
        <w:lastRenderedPageBreak/>
        <w:t xml:space="preserve">Sadeghi Dousari, A., </w:t>
      </w:r>
      <w:proofErr w:type="spellStart"/>
      <w:r w:rsidRPr="00523605">
        <w:t>Taati</w:t>
      </w:r>
      <w:proofErr w:type="spellEnd"/>
      <w:r w:rsidRPr="00523605">
        <w:t xml:space="preserve"> Moghadam, M., &amp; </w:t>
      </w:r>
      <w:proofErr w:type="spellStart"/>
      <w:r w:rsidRPr="00523605">
        <w:t>Satarzadeh</w:t>
      </w:r>
      <w:proofErr w:type="spellEnd"/>
      <w:r w:rsidRPr="00523605">
        <w:t xml:space="preserve">, N. (2020). COVID-19 </w:t>
      </w:r>
    </w:p>
    <w:p w14:paraId="00000106" w14:textId="77777777" w:rsidR="007436C6" w:rsidRDefault="00D4549A" w:rsidP="00523605">
      <w:pPr>
        <w:shd w:val="clear" w:color="auto" w:fill="FFFFFF"/>
        <w:spacing w:line="480" w:lineRule="auto"/>
        <w:ind w:left="720"/>
      </w:pPr>
      <w:r w:rsidRPr="00523605">
        <w:t xml:space="preserve">(Coronavirus Disease 2019): A New Coronavirus Disease. </w:t>
      </w:r>
      <w:r w:rsidRPr="00523605">
        <w:rPr>
          <w:i/>
        </w:rPr>
        <w:t>Infection and Drug Resistance</w:t>
      </w:r>
      <w:r w:rsidRPr="00523605">
        <w:t xml:space="preserve">, </w:t>
      </w:r>
      <w:r w:rsidRPr="00523605">
        <w:rPr>
          <w:i/>
        </w:rPr>
        <w:t>Volume 13</w:t>
      </w:r>
      <w:r w:rsidRPr="00523605">
        <w:t>, 2819–2828. https://doi.org/10.2147/idr.s259279</w:t>
      </w:r>
    </w:p>
    <w:p w14:paraId="6D410BFF" w14:textId="7B384D58" w:rsidR="00D40EFB" w:rsidRPr="00D40EFB" w:rsidRDefault="00D40EFB" w:rsidP="00D40EFB">
      <w:pPr>
        <w:pStyle w:val="NormalWeb"/>
        <w:spacing w:before="0" w:beforeAutospacing="0" w:after="0" w:afterAutospacing="0" w:line="480" w:lineRule="auto"/>
        <w:ind w:left="720" w:hanging="720"/>
        <w:rPr>
          <w:color w:val="000000" w:themeColor="text1"/>
        </w:rPr>
      </w:pPr>
      <w:r w:rsidRPr="00A74F37">
        <w:rPr>
          <w:color w:val="000000" w:themeColor="text1"/>
        </w:rPr>
        <w:t xml:space="preserve">Suleman, M., &amp; Qureshi, Z. (2023). Should medicine be </w:t>
      </w:r>
      <w:proofErr w:type="spellStart"/>
      <w:r w:rsidRPr="00A74F37">
        <w:rPr>
          <w:color w:val="000000" w:themeColor="text1"/>
        </w:rPr>
        <w:t>colour</w:t>
      </w:r>
      <w:proofErr w:type="spellEnd"/>
      <w:r w:rsidRPr="00A74F37">
        <w:rPr>
          <w:color w:val="000000" w:themeColor="text1"/>
        </w:rPr>
        <w:t xml:space="preserve"> blind? </w:t>
      </w:r>
      <w:r w:rsidRPr="00A74F37">
        <w:rPr>
          <w:i/>
          <w:iCs/>
          <w:color w:val="000000" w:themeColor="text1"/>
        </w:rPr>
        <w:t>J Med Ethics</w:t>
      </w:r>
      <w:r w:rsidRPr="00A74F37">
        <w:rPr>
          <w:color w:val="000000" w:themeColor="text1"/>
        </w:rPr>
        <w:t>, </w:t>
      </w:r>
      <w:r w:rsidRPr="00A74F37">
        <w:rPr>
          <w:i/>
          <w:iCs/>
          <w:color w:val="000000" w:themeColor="text1"/>
        </w:rPr>
        <w:t>49</w:t>
      </w:r>
      <w:r w:rsidRPr="00A74F37">
        <w:rPr>
          <w:color w:val="000000" w:themeColor="text1"/>
        </w:rPr>
        <w:t>(11). https://doi.org/10.1136/jme-2023-109634</w:t>
      </w:r>
    </w:p>
    <w:p w14:paraId="18BF2C38" w14:textId="0E64D730" w:rsidR="00A74F37" w:rsidRPr="00A74F37" w:rsidRDefault="00BC0DE5" w:rsidP="00A74F37">
      <w:pPr>
        <w:pStyle w:val="NormalWeb"/>
        <w:spacing w:before="0" w:beforeAutospacing="0" w:after="0" w:afterAutospacing="0" w:line="480" w:lineRule="auto"/>
        <w:ind w:left="720" w:hanging="720"/>
        <w:rPr>
          <w:color w:val="000000" w:themeColor="text1"/>
        </w:rPr>
      </w:pPr>
      <w:r w:rsidRPr="00A74F37">
        <w:rPr>
          <w:color w:val="000000" w:themeColor="text1"/>
        </w:rPr>
        <w:t>Sutton, J. (2020). </w:t>
      </w:r>
      <w:r w:rsidRPr="00A74F37">
        <w:rPr>
          <w:i/>
          <w:iCs/>
          <w:color w:val="000000" w:themeColor="text1"/>
        </w:rPr>
        <w:t xml:space="preserve">What Is Pathologizing &amp; </w:t>
      </w:r>
      <w:proofErr w:type="spellStart"/>
      <w:r w:rsidRPr="00A74F37">
        <w:rPr>
          <w:i/>
          <w:iCs/>
          <w:color w:val="000000" w:themeColor="text1"/>
        </w:rPr>
        <w:t>Overpathologizing</w:t>
      </w:r>
      <w:proofErr w:type="spellEnd"/>
      <w:r w:rsidRPr="00A74F37">
        <w:rPr>
          <w:i/>
          <w:iCs/>
          <w:color w:val="000000" w:themeColor="text1"/>
        </w:rPr>
        <w:t xml:space="preserve"> in Psychology?</w:t>
      </w:r>
      <w:r w:rsidRPr="00A74F37">
        <w:rPr>
          <w:color w:val="000000" w:themeColor="text1"/>
        </w:rPr>
        <w:t xml:space="preserve"> PositivePsychology.com. </w:t>
      </w:r>
      <w:r w:rsidR="00A74F37" w:rsidRPr="00EC13E3">
        <w:rPr>
          <w:color w:val="000000" w:themeColor="text1"/>
        </w:rPr>
        <w:t>https://positivepsychology.com/pathologizing/</w:t>
      </w:r>
    </w:p>
    <w:p w14:paraId="00000109" w14:textId="77777777" w:rsidR="007436C6" w:rsidRPr="00A74F37" w:rsidRDefault="00D4549A" w:rsidP="00A74F37">
      <w:pPr>
        <w:shd w:val="clear" w:color="auto" w:fill="FFFFFF"/>
        <w:spacing w:line="480" w:lineRule="auto"/>
        <w:rPr>
          <w:color w:val="000000" w:themeColor="text1"/>
        </w:rPr>
      </w:pPr>
      <w:r w:rsidRPr="00A74F37">
        <w:rPr>
          <w:color w:val="000000" w:themeColor="text1"/>
        </w:rPr>
        <w:t xml:space="preserve">Tamir, C. (2022, January 27). </w:t>
      </w:r>
      <w:r w:rsidRPr="00A74F37">
        <w:rPr>
          <w:i/>
          <w:color w:val="000000" w:themeColor="text1"/>
        </w:rPr>
        <w:t>Key findings about Black immigrants in the U.S.</w:t>
      </w:r>
      <w:r w:rsidRPr="00A74F37">
        <w:rPr>
          <w:color w:val="000000" w:themeColor="text1"/>
        </w:rPr>
        <w:t xml:space="preserve"> Pew Research </w:t>
      </w:r>
    </w:p>
    <w:p w14:paraId="0000010A" w14:textId="77777777" w:rsidR="007436C6" w:rsidRPr="00A74F37" w:rsidRDefault="00D4549A" w:rsidP="00A74F37">
      <w:pPr>
        <w:shd w:val="clear" w:color="auto" w:fill="FFFFFF"/>
        <w:spacing w:line="480" w:lineRule="auto"/>
        <w:ind w:left="720"/>
        <w:rPr>
          <w:color w:val="000000" w:themeColor="text1"/>
        </w:rPr>
      </w:pPr>
      <w:r w:rsidRPr="00A74F37">
        <w:rPr>
          <w:color w:val="000000" w:themeColor="text1"/>
        </w:rPr>
        <w:t>Center. https://www.pewresearch.org/short-reads/2022/01/27/key-findings-about-black-immigrants-in-the-u-s/</w:t>
      </w:r>
    </w:p>
    <w:p w14:paraId="0000010B" w14:textId="77777777" w:rsidR="007436C6" w:rsidRPr="00523605" w:rsidRDefault="00D4549A" w:rsidP="00523605">
      <w:pPr>
        <w:shd w:val="clear" w:color="auto" w:fill="FFFFFF"/>
        <w:spacing w:line="480" w:lineRule="auto"/>
      </w:pPr>
      <w:r w:rsidRPr="00523605">
        <w:t xml:space="preserve">THE EDITORS. (2018). Clinical Trials Have Far Too Little Racial and Ethnic Diversity. </w:t>
      </w:r>
    </w:p>
    <w:p w14:paraId="0000010C" w14:textId="15B853ED" w:rsidR="007436C6" w:rsidRDefault="00D4549A" w:rsidP="00523605">
      <w:pPr>
        <w:shd w:val="clear" w:color="auto" w:fill="FFFFFF"/>
        <w:spacing w:line="480" w:lineRule="auto"/>
        <w:ind w:firstLine="720"/>
      </w:pPr>
      <w:r w:rsidRPr="00523605">
        <w:rPr>
          <w:i/>
        </w:rPr>
        <w:t>Scientific American</w:t>
      </w:r>
      <w:r w:rsidRPr="00523605">
        <w:t xml:space="preserve">, </w:t>
      </w:r>
      <w:r w:rsidRPr="00523605">
        <w:rPr>
          <w:i/>
        </w:rPr>
        <w:t>319</w:t>
      </w:r>
      <w:r w:rsidRPr="00523605">
        <w:t xml:space="preserve">(3). </w:t>
      </w:r>
      <w:r w:rsidR="00F80947" w:rsidRPr="00965500">
        <w:t>https://doi.org/10.1038/scientificamerican0918-10</w:t>
      </w:r>
    </w:p>
    <w:p w14:paraId="2D430478" w14:textId="77777777" w:rsidR="00F80947" w:rsidRDefault="00F80947" w:rsidP="00F80947">
      <w:pPr>
        <w:spacing w:line="480" w:lineRule="auto"/>
        <w:rPr>
          <w:i/>
          <w:iCs/>
        </w:rPr>
      </w:pPr>
      <w:r>
        <w:t xml:space="preserve">UNC Pembroke. (2024, July 1). </w:t>
      </w:r>
      <w:r w:rsidRPr="00BD60F4">
        <w:rPr>
          <w:i/>
          <w:iCs/>
        </w:rPr>
        <w:t xml:space="preserve">The Influence of Insurance Companies on Healthcare Policy </w:t>
      </w:r>
    </w:p>
    <w:p w14:paraId="4929B516" w14:textId="27999872" w:rsidR="00F80947" w:rsidRPr="00965500" w:rsidRDefault="00F80947" w:rsidP="00965500">
      <w:pPr>
        <w:spacing w:line="480" w:lineRule="auto"/>
        <w:ind w:left="720"/>
        <w:rPr>
          <w:i/>
          <w:iCs/>
        </w:rPr>
      </w:pPr>
      <w:r w:rsidRPr="00BD60F4">
        <w:rPr>
          <w:i/>
          <w:iCs/>
        </w:rPr>
        <w:t xml:space="preserve">and Practice. </w:t>
      </w:r>
      <w:r w:rsidRPr="00965500">
        <w:t>https://online.uncp.edu/degrees/business/mba/healthcare-</w:t>
      </w:r>
      <w:r w:rsidRPr="00BD60F4">
        <w:t>administration/insurance-influence-on-policy/#:~:text=Insurance%20companies%20employ%20various%20tactics,intensive%20if%20their%20condition%20deteriorates.%E2%80%9D</w:t>
      </w:r>
    </w:p>
    <w:p w14:paraId="0000010D" w14:textId="77777777" w:rsidR="007436C6" w:rsidRPr="00523605" w:rsidRDefault="00D4549A" w:rsidP="00523605">
      <w:pPr>
        <w:shd w:val="clear" w:color="auto" w:fill="FFFFFF"/>
        <w:spacing w:line="480" w:lineRule="auto"/>
      </w:pPr>
      <w:r w:rsidRPr="00523605">
        <w:t xml:space="preserve">West, C. P., Dyrbye, L. N., &amp; Shanafelt, T. D. (2018). Physician burnout: contributors, </w:t>
      </w:r>
    </w:p>
    <w:p w14:paraId="0000010E" w14:textId="77777777" w:rsidR="007436C6" w:rsidRPr="00523605" w:rsidRDefault="00D4549A" w:rsidP="00523605">
      <w:pPr>
        <w:shd w:val="clear" w:color="auto" w:fill="FFFFFF"/>
        <w:spacing w:line="480" w:lineRule="auto"/>
        <w:ind w:left="720"/>
      </w:pPr>
      <w:r w:rsidRPr="00523605">
        <w:t xml:space="preserve">consequences and solutions. </w:t>
      </w:r>
      <w:r w:rsidRPr="00523605">
        <w:rPr>
          <w:i/>
        </w:rPr>
        <w:t>Journal of Internal Medicine</w:t>
      </w:r>
      <w:r w:rsidRPr="00523605">
        <w:t xml:space="preserve">, </w:t>
      </w:r>
      <w:r w:rsidRPr="00523605">
        <w:rPr>
          <w:i/>
        </w:rPr>
        <w:t>283</w:t>
      </w:r>
      <w:r w:rsidRPr="00523605">
        <w:t>(6), 516–529. https://doi.org/10.1111/joim.12752</w:t>
      </w:r>
    </w:p>
    <w:p w14:paraId="0000010F" w14:textId="77777777" w:rsidR="007436C6" w:rsidRPr="00523605" w:rsidRDefault="00D4549A" w:rsidP="00523605">
      <w:pPr>
        <w:shd w:val="clear" w:color="auto" w:fill="FFFFFF"/>
        <w:spacing w:line="480" w:lineRule="auto"/>
        <w:rPr>
          <w:i/>
        </w:rPr>
      </w:pPr>
      <w:r w:rsidRPr="00523605">
        <w:rPr>
          <w:i/>
        </w:rPr>
        <w:t xml:space="preserve">Why It’s Vital That All People — Including People of Color — Take Part in Clinical Research </w:t>
      </w:r>
    </w:p>
    <w:p w14:paraId="00000110" w14:textId="77777777" w:rsidR="007436C6" w:rsidRPr="00523605" w:rsidRDefault="00D4549A" w:rsidP="00523605">
      <w:pPr>
        <w:shd w:val="clear" w:color="auto" w:fill="FFFFFF"/>
        <w:spacing w:line="480" w:lineRule="auto"/>
        <w:ind w:left="720"/>
      </w:pPr>
      <w:r w:rsidRPr="00523605">
        <w:rPr>
          <w:i/>
        </w:rPr>
        <w:lastRenderedPageBreak/>
        <w:t>Studies</w:t>
      </w:r>
      <w:r w:rsidRPr="00523605">
        <w:t>. (n.d.). www.hopkinsmedicine.org. https://www.hopkinsmedicine.org/research/understanding-clinical-trials/poc-and-clinical-trials</w:t>
      </w:r>
    </w:p>
    <w:p w14:paraId="00000111" w14:textId="77777777" w:rsidR="007436C6" w:rsidRPr="00523605" w:rsidRDefault="00D4549A" w:rsidP="00523605">
      <w:pPr>
        <w:shd w:val="clear" w:color="auto" w:fill="FFFFFF"/>
        <w:spacing w:line="480" w:lineRule="auto"/>
        <w:rPr>
          <w:i/>
        </w:rPr>
      </w:pPr>
      <w:r w:rsidRPr="00523605">
        <w:t xml:space="preserve">Williams, E., &amp; </w:t>
      </w:r>
      <w:proofErr w:type="spellStart"/>
      <w:r w:rsidRPr="00523605">
        <w:t>Kates</w:t>
      </w:r>
      <w:proofErr w:type="spellEnd"/>
      <w:r w:rsidRPr="00523605">
        <w:t xml:space="preserve">, J. (2024, November 15). </w:t>
      </w:r>
      <w:r w:rsidRPr="00523605">
        <w:rPr>
          <w:i/>
        </w:rPr>
        <w:t xml:space="preserve">Childhood Vaccination Rates Continue </w:t>
      </w:r>
    </w:p>
    <w:p w14:paraId="00000112" w14:textId="77777777" w:rsidR="007436C6" w:rsidRPr="00523605" w:rsidRDefault="00D4549A" w:rsidP="00523605">
      <w:pPr>
        <w:shd w:val="clear" w:color="auto" w:fill="FFFFFF"/>
        <w:spacing w:line="480" w:lineRule="auto"/>
        <w:ind w:left="720"/>
      </w:pPr>
      <w:r w:rsidRPr="00523605">
        <w:rPr>
          <w:i/>
        </w:rPr>
        <w:t>to Decline as Trump Heads for a Second Term | KFF</w:t>
      </w:r>
      <w:r w:rsidRPr="00523605">
        <w:t>. KFF. https://www.kff.org/policy-watch/childhood-vaccination-rates-continue-to-decline-as-trump-heads-for-a-second-term/</w:t>
      </w:r>
    </w:p>
    <w:p w14:paraId="00000113" w14:textId="77777777" w:rsidR="007436C6" w:rsidRPr="00523605" w:rsidRDefault="00D4549A" w:rsidP="00523605">
      <w:pPr>
        <w:shd w:val="clear" w:color="auto" w:fill="FFFFFF"/>
        <w:spacing w:line="480" w:lineRule="auto"/>
      </w:pPr>
      <w:r w:rsidRPr="00523605">
        <w:t xml:space="preserve">Williamson, L. (2024, February 9). </w:t>
      </w:r>
      <w:r w:rsidRPr="00523605">
        <w:rPr>
          <w:i/>
        </w:rPr>
        <w:t>The slowly evolving truth about heart disease and women</w:t>
      </w:r>
      <w:r w:rsidRPr="00523605">
        <w:t xml:space="preserve">. </w:t>
      </w:r>
    </w:p>
    <w:p w14:paraId="00000114" w14:textId="77777777" w:rsidR="007436C6" w:rsidRPr="00523605" w:rsidRDefault="00D4549A" w:rsidP="00523605">
      <w:pPr>
        <w:shd w:val="clear" w:color="auto" w:fill="FFFFFF"/>
        <w:spacing w:line="480" w:lineRule="auto"/>
        <w:ind w:left="720"/>
      </w:pPr>
      <w:r w:rsidRPr="00523605">
        <w:t>Www.heart.org; American Heart Association. https://www.heart.org/en/news/2024/02/09/the-slowly-evolving-truth-about-heart-disease-and-women</w:t>
      </w:r>
    </w:p>
    <w:p w14:paraId="00000115" w14:textId="77777777" w:rsidR="007436C6" w:rsidRPr="00523605" w:rsidRDefault="00D4549A" w:rsidP="00523605">
      <w:pPr>
        <w:shd w:val="clear" w:color="auto" w:fill="FFFFFF"/>
        <w:spacing w:line="480" w:lineRule="auto"/>
      </w:pPr>
      <w:r w:rsidRPr="00523605">
        <w:t xml:space="preserve">Witherspoon, D. J., Wooding, S., Rogers, A. R., </w:t>
      </w:r>
      <w:proofErr w:type="spellStart"/>
      <w:r w:rsidRPr="00523605">
        <w:t>Marchani</w:t>
      </w:r>
      <w:proofErr w:type="spellEnd"/>
      <w:r w:rsidRPr="00523605">
        <w:t xml:space="preserve">, E. E., Watkins, W. S., Batzer, </w:t>
      </w:r>
    </w:p>
    <w:p w14:paraId="00000116" w14:textId="6933E8FD" w:rsidR="007436C6" w:rsidRDefault="00D4549A" w:rsidP="00523605">
      <w:pPr>
        <w:shd w:val="clear" w:color="auto" w:fill="FFFFFF"/>
        <w:spacing w:line="480" w:lineRule="auto"/>
        <w:ind w:left="720"/>
      </w:pPr>
      <w:r w:rsidRPr="00523605">
        <w:t xml:space="preserve">M. A., &amp; Jorde, L. B. (2007). Genetic Similarities Within and Between Human Populations. </w:t>
      </w:r>
      <w:r w:rsidRPr="00523605">
        <w:rPr>
          <w:i/>
        </w:rPr>
        <w:t>Genetics</w:t>
      </w:r>
      <w:r w:rsidRPr="00523605">
        <w:t xml:space="preserve">, </w:t>
      </w:r>
      <w:r w:rsidRPr="00523605">
        <w:rPr>
          <w:i/>
        </w:rPr>
        <w:t>176</w:t>
      </w:r>
      <w:r w:rsidRPr="00523605">
        <w:t xml:space="preserve">(1), 351–359. </w:t>
      </w:r>
      <w:r w:rsidR="00D56002" w:rsidRPr="00965500">
        <w:t>https://doi.org/10.1534/genetics.106.067355</w:t>
      </w:r>
    </w:p>
    <w:p w14:paraId="333DF376" w14:textId="77777777" w:rsidR="00D56002" w:rsidRDefault="00D56002" w:rsidP="00D56002">
      <w:pPr>
        <w:spacing w:line="480" w:lineRule="auto"/>
      </w:pPr>
      <w:proofErr w:type="spellStart"/>
      <w:r w:rsidRPr="00BD60F4">
        <w:t>Xierali</w:t>
      </w:r>
      <w:proofErr w:type="spellEnd"/>
      <w:r w:rsidRPr="00BD60F4">
        <w:t xml:space="preserve">, I. M., &amp; Nivet, M. A. (2018). The Racial and Ethnic Composition and Distribution of </w:t>
      </w:r>
    </w:p>
    <w:p w14:paraId="54AE96C9" w14:textId="030B07F3" w:rsidR="00D56002" w:rsidRPr="00523605" w:rsidRDefault="00D56002" w:rsidP="00965500">
      <w:pPr>
        <w:spacing w:line="480" w:lineRule="auto"/>
        <w:ind w:left="720"/>
      </w:pPr>
      <w:r w:rsidRPr="00BD60F4">
        <w:t>Primary Care Physicians. </w:t>
      </w:r>
      <w:r w:rsidRPr="00BD60F4">
        <w:rPr>
          <w:i/>
          <w:iCs/>
        </w:rPr>
        <w:t>Journal of health care for the poor and underserved</w:t>
      </w:r>
      <w:r w:rsidRPr="00BD60F4">
        <w:t>, </w:t>
      </w:r>
      <w:r w:rsidRPr="00BD60F4">
        <w:rPr>
          <w:i/>
          <w:iCs/>
        </w:rPr>
        <w:t>29</w:t>
      </w:r>
      <w:r w:rsidRPr="00BD60F4">
        <w:t>(1), 556–570. https://doi.org/10.1353/hpu.2018.0036</w:t>
      </w:r>
    </w:p>
    <w:p w14:paraId="00000117" w14:textId="77777777" w:rsidR="007436C6" w:rsidRPr="00523605" w:rsidRDefault="00D4549A" w:rsidP="00523605">
      <w:pPr>
        <w:shd w:val="clear" w:color="auto" w:fill="FFFFFF"/>
        <w:spacing w:line="480" w:lineRule="auto"/>
        <w:rPr>
          <w:color w:val="1B1B1B"/>
          <w:highlight w:val="white"/>
        </w:rPr>
      </w:pPr>
      <w:r w:rsidRPr="00523605">
        <w:t xml:space="preserve">Zadrozny, B. (2025, January 24). </w:t>
      </w:r>
      <w:r w:rsidRPr="00523605">
        <w:rPr>
          <w:i/>
        </w:rPr>
        <w:t>R</w:t>
      </w:r>
      <w:r w:rsidRPr="00523605">
        <w:rPr>
          <w:i/>
          <w:color w:val="1B1B1B"/>
          <w:highlight w:val="white"/>
        </w:rPr>
        <w:t>FK Jr. saw an opportunity in Samoa’s measles vaccine crisis</w:t>
      </w:r>
      <w:r w:rsidRPr="00523605">
        <w:rPr>
          <w:color w:val="1B1B1B"/>
          <w:highlight w:val="white"/>
        </w:rPr>
        <w:t xml:space="preserve">. </w:t>
      </w:r>
    </w:p>
    <w:p w14:paraId="00000118" w14:textId="77777777" w:rsidR="007436C6" w:rsidRPr="00523605" w:rsidRDefault="00D4549A" w:rsidP="00523605">
      <w:pPr>
        <w:shd w:val="clear" w:color="auto" w:fill="FFFFFF"/>
        <w:spacing w:line="480" w:lineRule="auto"/>
        <w:ind w:left="720"/>
      </w:pPr>
      <w:r w:rsidRPr="00523605">
        <w:rPr>
          <w:color w:val="1B1B1B"/>
          <w:highlight w:val="white"/>
        </w:rPr>
        <w:t>NBC News. https://www.nbcnews.com/news/us-news/rfk-jr-samoa-measles-vaccine-crisis-rcna187787</w:t>
      </w:r>
    </w:p>
    <w:p w14:paraId="00000119" w14:textId="77777777" w:rsidR="007436C6" w:rsidRPr="00523605" w:rsidRDefault="00D4549A" w:rsidP="00523605">
      <w:pPr>
        <w:shd w:val="clear" w:color="auto" w:fill="FFFFFF"/>
        <w:spacing w:line="480" w:lineRule="auto"/>
        <w:rPr>
          <w:color w:val="1B1B1B"/>
          <w:highlight w:val="white"/>
        </w:rPr>
      </w:pPr>
      <w:r w:rsidRPr="00523605">
        <w:rPr>
          <w:color w:val="1B1B1B"/>
          <w:highlight w:val="white"/>
        </w:rPr>
        <w:t xml:space="preserve">(2008). History of Scientific Racism [Review of </w:t>
      </w:r>
      <w:r w:rsidRPr="00523605">
        <w:rPr>
          <w:i/>
          <w:color w:val="1B1B1B"/>
          <w:highlight w:val="white"/>
        </w:rPr>
        <w:t>History of Scientific Racism</w:t>
      </w:r>
      <w:r w:rsidRPr="00523605">
        <w:rPr>
          <w:color w:val="1B1B1B"/>
          <w:highlight w:val="white"/>
        </w:rPr>
        <w:t xml:space="preserve">]. In J. </w:t>
      </w:r>
    </w:p>
    <w:p w14:paraId="02C68801" w14:textId="39FC255A" w:rsidR="00473D30" w:rsidRPr="00D40EFB" w:rsidRDefault="00D4549A" w:rsidP="00D40EFB">
      <w:pPr>
        <w:shd w:val="clear" w:color="auto" w:fill="FFFFFF"/>
        <w:spacing w:line="480" w:lineRule="auto"/>
        <w:ind w:left="720"/>
        <w:rPr>
          <w:color w:val="1B1B1B"/>
          <w:highlight w:val="white"/>
        </w:rPr>
      </w:pPr>
      <w:r w:rsidRPr="00523605">
        <w:rPr>
          <w:color w:val="1B1B1B"/>
          <w:highlight w:val="white"/>
        </w:rPr>
        <w:t xml:space="preserve">Moore (Ed.), </w:t>
      </w:r>
      <w:r w:rsidRPr="00523605">
        <w:rPr>
          <w:i/>
          <w:color w:val="1B1B1B"/>
          <w:highlight w:val="white"/>
        </w:rPr>
        <w:t xml:space="preserve">Encyclopedia of Race and Racism </w:t>
      </w:r>
      <w:r w:rsidRPr="00523605">
        <w:rPr>
          <w:color w:val="1B1B1B"/>
          <w:highlight w:val="white"/>
        </w:rPr>
        <w:t xml:space="preserve">(pp. 1–16). </w:t>
      </w:r>
      <w:r w:rsidR="00155986" w:rsidRPr="00523605">
        <w:rPr>
          <w:color w:val="1B1B1B"/>
          <w:highlight w:val="white"/>
        </w:rPr>
        <w:t>Detroit:</w:t>
      </w:r>
      <w:r w:rsidRPr="00523605">
        <w:rPr>
          <w:color w:val="1B1B1B"/>
          <w:highlight w:val="white"/>
        </w:rPr>
        <w:t xml:space="preserve"> Macmillan Reference USA/Thomson Gale.</w:t>
      </w:r>
    </w:p>
    <w:p w14:paraId="00000128" w14:textId="6467F247" w:rsidR="007436C6" w:rsidRDefault="00D4549A">
      <w:pPr>
        <w:spacing w:line="480" w:lineRule="auto"/>
        <w:jc w:val="center"/>
        <w:rPr>
          <w:b/>
        </w:rPr>
      </w:pPr>
      <w:r>
        <w:rPr>
          <w:b/>
        </w:rPr>
        <w:lastRenderedPageBreak/>
        <w:t>VITA</w:t>
      </w:r>
    </w:p>
    <w:p w14:paraId="00000129" w14:textId="034996A1" w:rsidR="007436C6" w:rsidRDefault="00D4549A">
      <w:pPr>
        <w:spacing w:line="480" w:lineRule="auto"/>
      </w:pPr>
      <w:r>
        <w:tab/>
        <w:t xml:space="preserve">Msgana Araya is a student </w:t>
      </w:r>
      <w:r w:rsidR="00597670">
        <w:t>at</w:t>
      </w:r>
      <w:r>
        <w:t xml:space="preserve"> the University of Tennessee where she received her Bachelors in Neuroscience and minor in Public Health in 2024. She is currently a Philosophy Masters student anticipating </w:t>
      </w:r>
      <w:r w:rsidR="00597670">
        <w:t>graduating</w:t>
      </w:r>
      <w:r>
        <w:t xml:space="preserve"> at the end of summer 2025 before applying to medical school.  </w:t>
      </w:r>
    </w:p>
    <w:sectPr w:rsidR="007436C6">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BA033" w14:textId="77777777" w:rsidR="00B252DD" w:rsidRDefault="00B252DD">
      <w:r>
        <w:separator/>
      </w:r>
    </w:p>
  </w:endnote>
  <w:endnote w:type="continuationSeparator" w:id="0">
    <w:p w14:paraId="1BFAFCE6" w14:textId="77777777" w:rsidR="00B252DD" w:rsidRDefault="00B2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A" w14:textId="516960DC" w:rsidR="007436C6" w:rsidRDefault="00D4549A">
    <w:pPr>
      <w:jc w:val="center"/>
    </w:pPr>
    <w:r>
      <w:t>i</w:t>
    </w:r>
    <w:r w:rsidR="00D04217">
      <w: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1" w14:textId="28B504EE" w:rsidR="007436C6" w:rsidRDefault="00D4549A">
    <w:pPr>
      <w:jc w:val="center"/>
    </w:pPr>
    <w:r>
      <w:t>i</w:t>
    </w:r>
    <w:r w:rsidR="00C831E7">
      <w:t>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0" w14:textId="5F7D3F98" w:rsidR="007436C6" w:rsidRDefault="00D4549A">
    <w:pPr>
      <w:jc w:val="center"/>
    </w:pPr>
    <w:r>
      <w:t>ii</w:t>
    </w:r>
    <w:r w:rsidR="00D04217">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1EA9B90D" w:rsidR="007436C6" w:rsidRDefault="00D4549A">
    <w:pPr>
      <w:jc w:val="center"/>
    </w:pPr>
    <w:r>
      <w:fldChar w:fldCharType="begin"/>
    </w:r>
    <w:r>
      <w:instrText>PAGE</w:instrText>
    </w:r>
    <w:r>
      <w:fldChar w:fldCharType="separate"/>
    </w:r>
    <w:r w:rsidR="00184A9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5709E" w14:textId="77777777" w:rsidR="00B252DD" w:rsidRDefault="00B252DD">
      <w:r>
        <w:separator/>
      </w:r>
    </w:p>
  </w:footnote>
  <w:footnote w:type="continuationSeparator" w:id="0">
    <w:p w14:paraId="0C9028B4" w14:textId="77777777" w:rsidR="00B252DD" w:rsidRDefault="00B2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B" w14:textId="77777777" w:rsidR="007436C6" w:rsidRDefault="007436C6">
    <w:pPr>
      <w:spacing w:line="480" w:lineRule="auto"/>
    </w:pPr>
  </w:p>
  <w:p w14:paraId="0000012C" w14:textId="77777777" w:rsidR="007436C6" w:rsidRDefault="007436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214EE"/>
    <w:multiLevelType w:val="hybridMultilevel"/>
    <w:tmpl w:val="0C5A44AE"/>
    <w:lvl w:ilvl="0" w:tplc="4EB845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E2000F"/>
    <w:multiLevelType w:val="multilevel"/>
    <w:tmpl w:val="D014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4D634A"/>
    <w:multiLevelType w:val="multilevel"/>
    <w:tmpl w:val="BD40E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4576255">
    <w:abstractNumId w:val="2"/>
  </w:num>
  <w:num w:numId="2" w16cid:durableId="1629362298">
    <w:abstractNumId w:val="0"/>
  </w:num>
  <w:num w:numId="3" w16cid:durableId="220140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6C6"/>
    <w:rsid w:val="000032B7"/>
    <w:rsid w:val="00005A74"/>
    <w:rsid w:val="00014121"/>
    <w:rsid w:val="00020791"/>
    <w:rsid w:val="0002155C"/>
    <w:rsid w:val="00025229"/>
    <w:rsid w:val="00026174"/>
    <w:rsid w:val="00030E3B"/>
    <w:rsid w:val="00030F83"/>
    <w:rsid w:val="00032B5F"/>
    <w:rsid w:val="00040A77"/>
    <w:rsid w:val="00041A85"/>
    <w:rsid w:val="000435F7"/>
    <w:rsid w:val="00044086"/>
    <w:rsid w:val="0004486E"/>
    <w:rsid w:val="0004553B"/>
    <w:rsid w:val="00050D9D"/>
    <w:rsid w:val="00060754"/>
    <w:rsid w:val="000669AC"/>
    <w:rsid w:val="00066D8B"/>
    <w:rsid w:val="00067460"/>
    <w:rsid w:val="0007091A"/>
    <w:rsid w:val="00072A49"/>
    <w:rsid w:val="000762A5"/>
    <w:rsid w:val="00085C12"/>
    <w:rsid w:val="00094C65"/>
    <w:rsid w:val="000A02EE"/>
    <w:rsid w:val="000A2D55"/>
    <w:rsid w:val="000A3661"/>
    <w:rsid w:val="000A37E5"/>
    <w:rsid w:val="000A3FFF"/>
    <w:rsid w:val="000A6101"/>
    <w:rsid w:val="000B603A"/>
    <w:rsid w:val="000C1017"/>
    <w:rsid w:val="000C34B6"/>
    <w:rsid w:val="000C44E6"/>
    <w:rsid w:val="000D1DA1"/>
    <w:rsid w:val="000D314D"/>
    <w:rsid w:val="000D3E7C"/>
    <w:rsid w:val="000D5912"/>
    <w:rsid w:val="000D5F8D"/>
    <w:rsid w:val="000D691A"/>
    <w:rsid w:val="000D6AC0"/>
    <w:rsid w:val="000E6E8F"/>
    <w:rsid w:val="000E7556"/>
    <w:rsid w:val="000F005A"/>
    <w:rsid w:val="000F0E13"/>
    <w:rsid w:val="000F2216"/>
    <w:rsid w:val="001000D2"/>
    <w:rsid w:val="001005A4"/>
    <w:rsid w:val="00107E72"/>
    <w:rsid w:val="0011111B"/>
    <w:rsid w:val="00111673"/>
    <w:rsid w:val="001127DA"/>
    <w:rsid w:val="00121479"/>
    <w:rsid w:val="0013393E"/>
    <w:rsid w:val="001342B3"/>
    <w:rsid w:val="00134AA7"/>
    <w:rsid w:val="00135256"/>
    <w:rsid w:val="0013525F"/>
    <w:rsid w:val="00136BE3"/>
    <w:rsid w:val="00140C2A"/>
    <w:rsid w:val="00140E07"/>
    <w:rsid w:val="00142B3A"/>
    <w:rsid w:val="00142E4D"/>
    <w:rsid w:val="00145CB2"/>
    <w:rsid w:val="00147C13"/>
    <w:rsid w:val="00150280"/>
    <w:rsid w:val="00151305"/>
    <w:rsid w:val="0015185F"/>
    <w:rsid w:val="00155986"/>
    <w:rsid w:val="00157362"/>
    <w:rsid w:val="001579DA"/>
    <w:rsid w:val="00160E81"/>
    <w:rsid w:val="001631B2"/>
    <w:rsid w:val="001677B5"/>
    <w:rsid w:val="00171C07"/>
    <w:rsid w:val="001816BC"/>
    <w:rsid w:val="00181FCF"/>
    <w:rsid w:val="00184A9B"/>
    <w:rsid w:val="00187E23"/>
    <w:rsid w:val="00192145"/>
    <w:rsid w:val="00194B90"/>
    <w:rsid w:val="00195EF1"/>
    <w:rsid w:val="001A5566"/>
    <w:rsid w:val="001A6F50"/>
    <w:rsid w:val="001B39E3"/>
    <w:rsid w:val="001B3E6E"/>
    <w:rsid w:val="001B3E7B"/>
    <w:rsid w:val="001C4D50"/>
    <w:rsid w:val="001C6E1F"/>
    <w:rsid w:val="001D20B2"/>
    <w:rsid w:val="001D35CB"/>
    <w:rsid w:val="001D4E7C"/>
    <w:rsid w:val="001D5BC4"/>
    <w:rsid w:val="001D7FA0"/>
    <w:rsid w:val="001F0F45"/>
    <w:rsid w:val="001F18EA"/>
    <w:rsid w:val="0020683B"/>
    <w:rsid w:val="00210380"/>
    <w:rsid w:val="00214BEC"/>
    <w:rsid w:val="00214CC4"/>
    <w:rsid w:val="0021560B"/>
    <w:rsid w:val="00215BAA"/>
    <w:rsid w:val="00216A37"/>
    <w:rsid w:val="00222FB3"/>
    <w:rsid w:val="00226578"/>
    <w:rsid w:val="00227332"/>
    <w:rsid w:val="00227BD1"/>
    <w:rsid w:val="00227E8B"/>
    <w:rsid w:val="00231E3A"/>
    <w:rsid w:val="00233FE4"/>
    <w:rsid w:val="00235865"/>
    <w:rsid w:val="0024368C"/>
    <w:rsid w:val="00246E37"/>
    <w:rsid w:val="00246F52"/>
    <w:rsid w:val="0024775A"/>
    <w:rsid w:val="002479AF"/>
    <w:rsid w:val="002505CF"/>
    <w:rsid w:val="00253E12"/>
    <w:rsid w:val="00255992"/>
    <w:rsid w:val="002564B3"/>
    <w:rsid w:val="0026059B"/>
    <w:rsid w:val="00263C67"/>
    <w:rsid w:val="0026401E"/>
    <w:rsid w:val="002666B5"/>
    <w:rsid w:val="0027630A"/>
    <w:rsid w:val="002776C5"/>
    <w:rsid w:val="002859D2"/>
    <w:rsid w:val="00287714"/>
    <w:rsid w:val="00287DC5"/>
    <w:rsid w:val="00290E5B"/>
    <w:rsid w:val="00294872"/>
    <w:rsid w:val="00296870"/>
    <w:rsid w:val="00296904"/>
    <w:rsid w:val="002973BA"/>
    <w:rsid w:val="002A02B8"/>
    <w:rsid w:val="002A0307"/>
    <w:rsid w:val="002A116F"/>
    <w:rsid w:val="002A1173"/>
    <w:rsid w:val="002A4DC6"/>
    <w:rsid w:val="002B09F1"/>
    <w:rsid w:val="002B7DCE"/>
    <w:rsid w:val="002C10B1"/>
    <w:rsid w:val="002C5383"/>
    <w:rsid w:val="002C5D8F"/>
    <w:rsid w:val="002D2420"/>
    <w:rsid w:val="002D4F7C"/>
    <w:rsid w:val="002E0313"/>
    <w:rsid w:val="002E098D"/>
    <w:rsid w:val="002E128C"/>
    <w:rsid w:val="002E2329"/>
    <w:rsid w:val="002E3404"/>
    <w:rsid w:val="002F4A88"/>
    <w:rsid w:val="002F60A7"/>
    <w:rsid w:val="00302F22"/>
    <w:rsid w:val="0031437A"/>
    <w:rsid w:val="00317915"/>
    <w:rsid w:val="003219D9"/>
    <w:rsid w:val="00321F5B"/>
    <w:rsid w:val="003268B5"/>
    <w:rsid w:val="00326B94"/>
    <w:rsid w:val="00330C54"/>
    <w:rsid w:val="00332CC0"/>
    <w:rsid w:val="00334E27"/>
    <w:rsid w:val="00334F87"/>
    <w:rsid w:val="0033525B"/>
    <w:rsid w:val="00336525"/>
    <w:rsid w:val="00342B38"/>
    <w:rsid w:val="00343798"/>
    <w:rsid w:val="00345777"/>
    <w:rsid w:val="00346FFB"/>
    <w:rsid w:val="003473AF"/>
    <w:rsid w:val="0034740A"/>
    <w:rsid w:val="003478DD"/>
    <w:rsid w:val="00350182"/>
    <w:rsid w:val="003503B4"/>
    <w:rsid w:val="00360E78"/>
    <w:rsid w:val="00362607"/>
    <w:rsid w:val="00362CC3"/>
    <w:rsid w:val="00362CCE"/>
    <w:rsid w:val="0037056B"/>
    <w:rsid w:val="00372042"/>
    <w:rsid w:val="00376D9D"/>
    <w:rsid w:val="00381606"/>
    <w:rsid w:val="00381727"/>
    <w:rsid w:val="00383217"/>
    <w:rsid w:val="00383B4E"/>
    <w:rsid w:val="00383F57"/>
    <w:rsid w:val="0038578C"/>
    <w:rsid w:val="003931FB"/>
    <w:rsid w:val="00397F24"/>
    <w:rsid w:val="003A077D"/>
    <w:rsid w:val="003A318A"/>
    <w:rsid w:val="003A51A8"/>
    <w:rsid w:val="003B01C1"/>
    <w:rsid w:val="003B2802"/>
    <w:rsid w:val="003C5CDB"/>
    <w:rsid w:val="003D0316"/>
    <w:rsid w:val="003D3049"/>
    <w:rsid w:val="003D60E7"/>
    <w:rsid w:val="003D7732"/>
    <w:rsid w:val="003D782F"/>
    <w:rsid w:val="003E48FE"/>
    <w:rsid w:val="003E4DD6"/>
    <w:rsid w:val="003E5919"/>
    <w:rsid w:val="003E62FA"/>
    <w:rsid w:val="003F076B"/>
    <w:rsid w:val="003F161F"/>
    <w:rsid w:val="003F5E66"/>
    <w:rsid w:val="004039C0"/>
    <w:rsid w:val="00404635"/>
    <w:rsid w:val="00405D8D"/>
    <w:rsid w:val="004065A5"/>
    <w:rsid w:val="00406833"/>
    <w:rsid w:val="004073A0"/>
    <w:rsid w:val="00415349"/>
    <w:rsid w:val="0041683F"/>
    <w:rsid w:val="004267E7"/>
    <w:rsid w:val="00426EB6"/>
    <w:rsid w:val="00427C2A"/>
    <w:rsid w:val="00430470"/>
    <w:rsid w:val="00430924"/>
    <w:rsid w:val="00430DD4"/>
    <w:rsid w:val="00434A32"/>
    <w:rsid w:val="0043601B"/>
    <w:rsid w:val="00437334"/>
    <w:rsid w:val="004410BD"/>
    <w:rsid w:val="0044185C"/>
    <w:rsid w:val="00445E41"/>
    <w:rsid w:val="00453382"/>
    <w:rsid w:val="00454E78"/>
    <w:rsid w:val="0046079A"/>
    <w:rsid w:val="004633F7"/>
    <w:rsid w:val="00463A6F"/>
    <w:rsid w:val="00464BBC"/>
    <w:rsid w:val="00471390"/>
    <w:rsid w:val="004734A6"/>
    <w:rsid w:val="00473D30"/>
    <w:rsid w:val="00482BB3"/>
    <w:rsid w:val="0048525F"/>
    <w:rsid w:val="00486327"/>
    <w:rsid w:val="00494690"/>
    <w:rsid w:val="00496C8F"/>
    <w:rsid w:val="00496DD3"/>
    <w:rsid w:val="004A09D2"/>
    <w:rsid w:val="004A5485"/>
    <w:rsid w:val="004A58D1"/>
    <w:rsid w:val="004A7207"/>
    <w:rsid w:val="004B662A"/>
    <w:rsid w:val="004C4BD5"/>
    <w:rsid w:val="004C7FAD"/>
    <w:rsid w:val="004D0894"/>
    <w:rsid w:val="004D34DC"/>
    <w:rsid w:val="004D4954"/>
    <w:rsid w:val="004D556A"/>
    <w:rsid w:val="004D7DC6"/>
    <w:rsid w:val="004E26BC"/>
    <w:rsid w:val="004E637E"/>
    <w:rsid w:val="004E7150"/>
    <w:rsid w:val="004E7551"/>
    <w:rsid w:val="004F0CAB"/>
    <w:rsid w:val="004F5A41"/>
    <w:rsid w:val="0050264C"/>
    <w:rsid w:val="00503091"/>
    <w:rsid w:val="00505578"/>
    <w:rsid w:val="00520CC1"/>
    <w:rsid w:val="00522CD2"/>
    <w:rsid w:val="00523605"/>
    <w:rsid w:val="00525CF4"/>
    <w:rsid w:val="00527BD6"/>
    <w:rsid w:val="00534AB2"/>
    <w:rsid w:val="00544220"/>
    <w:rsid w:val="00544E6A"/>
    <w:rsid w:val="00551880"/>
    <w:rsid w:val="00552CD1"/>
    <w:rsid w:val="00553E65"/>
    <w:rsid w:val="0055544D"/>
    <w:rsid w:val="00556948"/>
    <w:rsid w:val="0056069C"/>
    <w:rsid w:val="00563A0E"/>
    <w:rsid w:val="00566E1E"/>
    <w:rsid w:val="0057368F"/>
    <w:rsid w:val="00583C3E"/>
    <w:rsid w:val="0058416A"/>
    <w:rsid w:val="00584A49"/>
    <w:rsid w:val="00586869"/>
    <w:rsid w:val="00586DD7"/>
    <w:rsid w:val="00586E05"/>
    <w:rsid w:val="00590FB3"/>
    <w:rsid w:val="00591838"/>
    <w:rsid w:val="00591B2B"/>
    <w:rsid w:val="005932A5"/>
    <w:rsid w:val="00593647"/>
    <w:rsid w:val="0059403F"/>
    <w:rsid w:val="005970B7"/>
    <w:rsid w:val="00597670"/>
    <w:rsid w:val="00597860"/>
    <w:rsid w:val="00597EAF"/>
    <w:rsid w:val="005A236B"/>
    <w:rsid w:val="005A72E2"/>
    <w:rsid w:val="005B0D40"/>
    <w:rsid w:val="005B2931"/>
    <w:rsid w:val="005B3FFB"/>
    <w:rsid w:val="005B44D1"/>
    <w:rsid w:val="005B6C12"/>
    <w:rsid w:val="005B788E"/>
    <w:rsid w:val="005C22D3"/>
    <w:rsid w:val="005C3D1A"/>
    <w:rsid w:val="005D6297"/>
    <w:rsid w:val="005E3119"/>
    <w:rsid w:val="005E559E"/>
    <w:rsid w:val="005E6EF9"/>
    <w:rsid w:val="005F0B3A"/>
    <w:rsid w:val="005F490E"/>
    <w:rsid w:val="00601F95"/>
    <w:rsid w:val="006025AD"/>
    <w:rsid w:val="0060604E"/>
    <w:rsid w:val="0061043A"/>
    <w:rsid w:val="0062409B"/>
    <w:rsid w:val="00625F0E"/>
    <w:rsid w:val="00626E6B"/>
    <w:rsid w:val="0063008C"/>
    <w:rsid w:val="0063414A"/>
    <w:rsid w:val="0063681F"/>
    <w:rsid w:val="00640B95"/>
    <w:rsid w:val="00640CEC"/>
    <w:rsid w:val="00642780"/>
    <w:rsid w:val="006456BA"/>
    <w:rsid w:val="006468A3"/>
    <w:rsid w:val="00657385"/>
    <w:rsid w:val="006606A1"/>
    <w:rsid w:val="00661789"/>
    <w:rsid w:val="0066612A"/>
    <w:rsid w:val="0066738A"/>
    <w:rsid w:val="00671359"/>
    <w:rsid w:val="00673210"/>
    <w:rsid w:val="0067438C"/>
    <w:rsid w:val="00675A94"/>
    <w:rsid w:val="00683130"/>
    <w:rsid w:val="00687694"/>
    <w:rsid w:val="006923B6"/>
    <w:rsid w:val="00697FF8"/>
    <w:rsid w:val="006A23FB"/>
    <w:rsid w:val="006A4EF9"/>
    <w:rsid w:val="006B7527"/>
    <w:rsid w:val="006C38BD"/>
    <w:rsid w:val="006C3B0B"/>
    <w:rsid w:val="006C5BC6"/>
    <w:rsid w:val="006C5FA8"/>
    <w:rsid w:val="006D01C8"/>
    <w:rsid w:val="006D27E1"/>
    <w:rsid w:val="006D3E5F"/>
    <w:rsid w:val="006D5066"/>
    <w:rsid w:val="006D6B02"/>
    <w:rsid w:val="00700888"/>
    <w:rsid w:val="007051DB"/>
    <w:rsid w:val="00705786"/>
    <w:rsid w:val="00714B5B"/>
    <w:rsid w:val="00720667"/>
    <w:rsid w:val="00722379"/>
    <w:rsid w:val="00722458"/>
    <w:rsid w:val="00727405"/>
    <w:rsid w:val="00732C35"/>
    <w:rsid w:val="0073407F"/>
    <w:rsid w:val="00735ACA"/>
    <w:rsid w:val="00736788"/>
    <w:rsid w:val="00742927"/>
    <w:rsid w:val="007436C6"/>
    <w:rsid w:val="00747299"/>
    <w:rsid w:val="00750426"/>
    <w:rsid w:val="007539BE"/>
    <w:rsid w:val="007547FB"/>
    <w:rsid w:val="00760226"/>
    <w:rsid w:val="00761708"/>
    <w:rsid w:val="00766BA3"/>
    <w:rsid w:val="0076712E"/>
    <w:rsid w:val="00770059"/>
    <w:rsid w:val="00775A5E"/>
    <w:rsid w:val="00776AAE"/>
    <w:rsid w:val="00780643"/>
    <w:rsid w:val="00792469"/>
    <w:rsid w:val="00792C14"/>
    <w:rsid w:val="00793ACB"/>
    <w:rsid w:val="00793F4E"/>
    <w:rsid w:val="00795651"/>
    <w:rsid w:val="00796CF6"/>
    <w:rsid w:val="007A0239"/>
    <w:rsid w:val="007A4D3D"/>
    <w:rsid w:val="007A7863"/>
    <w:rsid w:val="007B0B49"/>
    <w:rsid w:val="007B1B97"/>
    <w:rsid w:val="007B2A1E"/>
    <w:rsid w:val="007B7F67"/>
    <w:rsid w:val="007C0E9F"/>
    <w:rsid w:val="007C1E94"/>
    <w:rsid w:val="007C208D"/>
    <w:rsid w:val="007C47A2"/>
    <w:rsid w:val="007C4E11"/>
    <w:rsid w:val="007C5552"/>
    <w:rsid w:val="007C70A6"/>
    <w:rsid w:val="007D417B"/>
    <w:rsid w:val="007D4D57"/>
    <w:rsid w:val="007D55DB"/>
    <w:rsid w:val="007E18E1"/>
    <w:rsid w:val="007E2887"/>
    <w:rsid w:val="007E2D28"/>
    <w:rsid w:val="007F1847"/>
    <w:rsid w:val="007F415B"/>
    <w:rsid w:val="007F6AF1"/>
    <w:rsid w:val="00811797"/>
    <w:rsid w:val="00812816"/>
    <w:rsid w:val="008136BE"/>
    <w:rsid w:val="00815873"/>
    <w:rsid w:val="00816704"/>
    <w:rsid w:val="0082062E"/>
    <w:rsid w:val="008305E5"/>
    <w:rsid w:val="00831B42"/>
    <w:rsid w:val="008334C8"/>
    <w:rsid w:val="00841659"/>
    <w:rsid w:val="00841A7D"/>
    <w:rsid w:val="00845C50"/>
    <w:rsid w:val="008514A6"/>
    <w:rsid w:val="008542D0"/>
    <w:rsid w:val="00865803"/>
    <w:rsid w:val="00867AA6"/>
    <w:rsid w:val="0087577A"/>
    <w:rsid w:val="00880905"/>
    <w:rsid w:val="00883C05"/>
    <w:rsid w:val="00892BBB"/>
    <w:rsid w:val="0089469E"/>
    <w:rsid w:val="008A3C32"/>
    <w:rsid w:val="008A40D9"/>
    <w:rsid w:val="008B1CE8"/>
    <w:rsid w:val="008B207F"/>
    <w:rsid w:val="008B567A"/>
    <w:rsid w:val="008B6BA0"/>
    <w:rsid w:val="008C0DE0"/>
    <w:rsid w:val="008C1AD1"/>
    <w:rsid w:val="008C5F3B"/>
    <w:rsid w:val="008D35A7"/>
    <w:rsid w:val="008D44E6"/>
    <w:rsid w:val="008D5123"/>
    <w:rsid w:val="008D5657"/>
    <w:rsid w:val="008D7D5F"/>
    <w:rsid w:val="008E53F0"/>
    <w:rsid w:val="008F15E4"/>
    <w:rsid w:val="008F3A91"/>
    <w:rsid w:val="008F4943"/>
    <w:rsid w:val="008F70D4"/>
    <w:rsid w:val="008F7B01"/>
    <w:rsid w:val="008F7E7B"/>
    <w:rsid w:val="009022B0"/>
    <w:rsid w:val="00906377"/>
    <w:rsid w:val="00932473"/>
    <w:rsid w:val="009325B6"/>
    <w:rsid w:val="00933365"/>
    <w:rsid w:val="009351B9"/>
    <w:rsid w:val="009402DD"/>
    <w:rsid w:val="009411E3"/>
    <w:rsid w:val="00944238"/>
    <w:rsid w:val="00944D46"/>
    <w:rsid w:val="00945F3F"/>
    <w:rsid w:val="00946BEC"/>
    <w:rsid w:val="0094743C"/>
    <w:rsid w:val="00950212"/>
    <w:rsid w:val="009544EA"/>
    <w:rsid w:val="00955DA6"/>
    <w:rsid w:val="00956CE7"/>
    <w:rsid w:val="0096071D"/>
    <w:rsid w:val="009630A7"/>
    <w:rsid w:val="00964E2A"/>
    <w:rsid w:val="00965500"/>
    <w:rsid w:val="0096683D"/>
    <w:rsid w:val="009732C2"/>
    <w:rsid w:val="009754A2"/>
    <w:rsid w:val="00981A07"/>
    <w:rsid w:val="00981BCB"/>
    <w:rsid w:val="0098324D"/>
    <w:rsid w:val="0098548E"/>
    <w:rsid w:val="00986242"/>
    <w:rsid w:val="009907B7"/>
    <w:rsid w:val="00990899"/>
    <w:rsid w:val="00992880"/>
    <w:rsid w:val="00992D40"/>
    <w:rsid w:val="0099340B"/>
    <w:rsid w:val="00996BD3"/>
    <w:rsid w:val="009A283B"/>
    <w:rsid w:val="009B2CD9"/>
    <w:rsid w:val="009B6AA7"/>
    <w:rsid w:val="009B7C08"/>
    <w:rsid w:val="009C17B5"/>
    <w:rsid w:val="009C2199"/>
    <w:rsid w:val="009C5FF8"/>
    <w:rsid w:val="009C7FAD"/>
    <w:rsid w:val="009D2280"/>
    <w:rsid w:val="009F2F30"/>
    <w:rsid w:val="009F3564"/>
    <w:rsid w:val="00A10DDF"/>
    <w:rsid w:val="00A13416"/>
    <w:rsid w:val="00A239B3"/>
    <w:rsid w:val="00A24601"/>
    <w:rsid w:val="00A26D03"/>
    <w:rsid w:val="00A46E1C"/>
    <w:rsid w:val="00A56C17"/>
    <w:rsid w:val="00A56F3B"/>
    <w:rsid w:val="00A60C97"/>
    <w:rsid w:val="00A64997"/>
    <w:rsid w:val="00A65741"/>
    <w:rsid w:val="00A67030"/>
    <w:rsid w:val="00A67FD6"/>
    <w:rsid w:val="00A700F9"/>
    <w:rsid w:val="00A74F37"/>
    <w:rsid w:val="00A77084"/>
    <w:rsid w:val="00A84052"/>
    <w:rsid w:val="00A845F9"/>
    <w:rsid w:val="00A93944"/>
    <w:rsid w:val="00A93948"/>
    <w:rsid w:val="00AA15C5"/>
    <w:rsid w:val="00AA18A7"/>
    <w:rsid w:val="00AB03C0"/>
    <w:rsid w:val="00AB0B9A"/>
    <w:rsid w:val="00AB421E"/>
    <w:rsid w:val="00AC009D"/>
    <w:rsid w:val="00AC14EA"/>
    <w:rsid w:val="00AC26E6"/>
    <w:rsid w:val="00AC2862"/>
    <w:rsid w:val="00AD0CD7"/>
    <w:rsid w:val="00AD3A4D"/>
    <w:rsid w:val="00AD4F9F"/>
    <w:rsid w:val="00AE2ACD"/>
    <w:rsid w:val="00AF57E2"/>
    <w:rsid w:val="00AF5D4A"/>
    <w:rsid w:val="00AF717A"/>
    <w:rsid w:val="00B036A8"/>
    <w:rsid w:val="00B0690D"/>
    <w:rsid w:val="00B07070"/>
    <w:rsid w:val="00B074E6"/>
    <w:rsid w:val="00B10B4F"/>
    <w:rsid w:val="00B132A7"/>
    <w:rsid w:val="00B13EF1"/>
    <w:rsid w:val="00B14424"/>
    <w:rsid w:val="00B22DA8"/>
    <w:rsid w:val="00B24A5A"/>
    <w:rsid w:val="00B252DD"/>
    <w:rsid w:val="00B31EC7"/>
    <w:rsid w:val="00B340C6"/>
    <w:rsid w:val="00B36786"/>
    <w:rsid w:val="00B37984"/>
    <w:rsid w:val="00B37A72"/>
    <w:rsid w:val="00B44C7A"/>
    <w:rsid w:val="00B45CA7"/>
    <w:rsid w:val="00B514AC"/>
    <w:rsid w:val="00B5280D"/>
    <w:rsid w:val="00B52DC7"/>
    <w:rsid w:val="00B53555"/>
    <w:rsid w:val="00B5712D"/>
    <w:rsid w:val="00B63551"/>
    <w:rsid w:val="00B64BA0"/>
    <w:rsid w:val="00B64FB2"/>
    <w:rsid w:val="00B6639E"/>
    <w:rsid w:val="00B727B4"/>
    <w:rsid w:val="00B735A0"/>
    <w:rsid w:val="00B74CA1"/>
    <w:rsid w:val="00B77C4F"/>
    <w:rsid w:val="00B8109D"/>
    <w:rsid w:val="00B838B3"/>
    <w:rsid w:val="00B87592"/>
    <w:rsid w:val="00B95C82"/>
    <w:rsid w:val="00B97580"/>
    <w:rsid w:val="00BA06B7"/>
    <w:rsid w:val="00BA58F4"/>
    <w:rsid w:val="00BA5AFA"/>
    <w:rsid w:val="00BA7248"/>
    <w:rsid w:val="00BB50AB"/>
    <w:rsid w:val="00BC0DE5"/>
    <w:rsid w:val="00BC4CEC"/>
    <w:rsid w:val="00BD49DC"/>
    <w:rsid w:val="00BD5FDE"/>
    <w:rsid w:val="00BD62F0"/>
    <w:rsid w:val="00BD65F7"/>
    <w:rsid w:val="00BD6AF8"/>
    <w:rsid w:val="00BE7F0F"/>
    <w:rsid w:val="00BF0179"/>
    <w:rsid w:val="00BF4826"/>
    <w:rsid w:val="00BF4B81"/>
    <w:rsid w:val="00C017F7"/>
    <w:rsid w:val="00C02E22"/>
    <w:rsid w:val="00C045D1"/>
    <w:rsid w:val="00C12015"/>
    <w:rsid w:val="00C135B1"/>
    <w:rsid w:val="00C143E7"/>
    <w:rsid w:val="00C14A94"/>
    <w:rsid w:val="00C15719"/>
    <w:rsid w:val="00C17C41"/>
    <w:rsid w:val="00C22A85"/>
    <w:rsid w:val="00C22DC8"/>
    <w:rsid w:val="00C30D72"/>
    <w:rsid w:val="00C318EB"/>
    <w:rsid w:val="00C406A9"/>
    <w:rsid w:val="00C41437"/>
    <w:rsid w:val="00C451A3"/>
    <w:rsid w:val="00C4525B"/>
    <w:rsid w:val="00C464E5"/>
    <w:rsid w:val="00C475B5"/>
    <w:rsid w:val="00C54C21"/>
    <w:rsid w:val="00C553A3"/>
    <w:rsid w:val="00C61175"/>
    <w:rsid w:val="00C661E2"/>
    <w:rsid w:val="00C7049E"/>
    <w:rsid w:val="00C72FA7"/>
    <w:rsid w:val="00C7537E"/>
    <w:rsid w:val="00C767FB"/>
    <w:rsid w:val="00C76FC7"/>
    <w:rsid w:val="00C821A8"/>
    <w:rsid w:val="00C82943"/>
    <w:rsid w:val="00C831E7"/>
    <w:rsid w:val="00C87574"/>
    <w:rsid w:val="00C875B2"/>
    <w:rsid w:val="00C9275E"/>
    <w:rsid w:val="00C94610"/>
    <w:rsid w:val="00CA155A"/>
    <w:rsid w:val="00CA4DB5"/>
    <w:rsid w:val="00CA7E9C"/>
    <w:rsid w:val="00CA7EAF"/>
    <w:rsid w:val="00CB43D6"/>
    <w:rsid w:val="00CB4904"/>
    <w:rsid w:val="00CC0096"/>
    <w:rsid w:val="00CC03D2"/>
    <w:rsid w:val="00CC1C93"/>
    <w:rsid w:val="00CC2AE2"/>
    <w:rsid w:val="00CC4515"/>
    <w:rsid w:val="00CC640B"/>
    <w:rsid w:val="00CD1ACE"/>
    <w:rsid w:val="00CD3801"/>
    <w:rsid w:val="00CE049D"/>
    <w:rsid w:val="00CE0D0D"/>
    <w:rsid w:val="00CE2EF5"/>
    <w:rsid w:val="00CF00E9"/>
    <w:rsid w:val="00CF28FD"/>
    <w:rsid w:val="00CF5909"/>
    <w:rsid w:val="00CF7293"/>
    <w:rsid w:val="00D0111F"/>
    <w:rsid w:val="00D01985"/>
    <w:rsid w:val="00D04217"/>
    <w:rsid w:val="00D06D52"/>
    <w:rsid w:val="00D100DF"/>
    <w:rsid w:val="00D1188F"/>
    <w:rsid w:val="00D125C7"/>
    <w:rsid w:val="00D14294"/>
    <w:rsid w:val="00D15FC6"/>
    <w:rsid w:val="00D17915"/>
    <w:rsid w:val="00D218F6"/>
    <w:rsid w:val="00D32135"/>
    <w:rsid w:val="00D34203"/>
    <w:rsid w:val="00D3515D"/>
    <w:rsid w:val="00D37029"/>
    <w:rsid w:val="00D40EFB"/>
    <w:rsid w:val="00D4168C"/>
    <w:rsid w:val="00D4549A"/>
    <w:rsid w:val="00D52E4D"/>
    <w:rsid w:val="00D54FC1"/>
    <w:rsid w:val="00D55C09"/>
    <w:rsid w:val="00D56002"/>
    <w:rsid w:val="00D564B3"/>
    <w:rsid w:val="00D568A0"/>
    <w:rsid w:val="00D60152"/>
    <w:rsid w:val="00D6220B"/>
    <w:rsid w:val="00D65B7A"/>
    <w:rsid w:val="00D755DA"/>
    <w:rsid w:val="00D75EB1"/>
    <w:rsid w:val="00D8227D"/>
    <w:rsid w:val="00D8436C"/>
    <w:rsid w:val="00D85D02"/>
    <w:rsid w:val="00D92CA4"/>
    <w:rsid w:val="00D92E39"/>
    <w:rsid w:val="00D935A0"/>
    <w:rsid w:val="00DB0A06"/>
    <w:rsid w:val="00DB33F1"/>
    <w:rsid w:val="00DB3E59"/>
    <w:rsid w:val="00DC106D"/>
    <w:rsid w:val="00DC129C"/>
    <w:rsid w:val="00DC7CBC"/>
    <w:rsid w:val="00DD1950"/>
    <w:rsid w:val="00DD2A81"/>
    <w:rsid w:val="00DD5229"/>
    <w:rsid w:val="00DE27C8"/>
    <w:rsid w:val="00DE2ED9"/>
    <w:rsid w:val="00DE6E19"/>
    <w:rsid w:val="00DF306E"/>
    <w:rsid w:val="00DF5A5D"/>
    <w:rsid w:val="00DF5C11"/>
    <w:rsid w:val="00E0788B"/>
    <w:rsid w:val="00E107A0"/>
    <w:rsid w:val="00E10DE7"/>
    <w:rsid w:val="00E16568"/>
    <w:rsid w:val="00E23982"/>
    <w:rsid w:val="00E2654F"/>
    <w:rsid w:val="00E27B85"/>
    <w:rsid w:val="00E304E6"/>
    <w:rsid w:val="00E32102"/>
    <w:rsid w:val="00E3264E"/>
    <w:rsid w:val="00E360F7"/>
    <w:rsid w:val="00E3715D"/>
    <w:rsid w:val="00E422B2"/>
    <w:rsid w:val="00E46998"/>
    <w:rsid w:val="00E502C7"/>
    <w:rsid w:val="00E5206B"/>
    <w:rsid w:val="00E522E1"/>
    <w:rsid w:val="00E52F3C"/>
    <w:rsid w:val="00E569DC"/>
    <w:rsid w:val="00E6156C"/>
    <w:rsid w:val="00E64FA9"/>
    <w:rsid w:val="00E66B61"/>
    <w:rsid w:val="00E66DAB"/>
    <w:rsid w:val="00E8103F"/>
    <w:rsid w:val="00E8144A"/>
    <w:rsid w:val="00E82220"/>
    <w:rsid w:val="00E94336"/>
    <w:rsid w:val="00EA0D44"/>
    <w:rsid w:val="00EA1859"/>
    <w:rsid w:val="00EA1C90"/>
    <w:rsid w:val="00EA2487"/>
    <w:rsid w:val="00EA4AA0"/>
    <w:rsid w:val="00EB6154"/>
    <w:rsid w:val="00EC13E3"/>
    <w:rsid w:val="00EC1618"/>
    <w:rsid w:val="00EC5CA4"/>
    <w:rsid w:val="00EC7840"/>
    <w:rsid w:val="00ED3F6B"/>
    <w:rsid w:val="00ED5830"/>
    <w:rsid w:val="00ED6117"/>
    <w:rsid w:val="00EE046F"/>
    <w:rsid w:val="00EE216E"/>
    <w:rsid w:val="00EE2479"/>
    <w:rsid w:val="00EE3640"/>
    <w:rsid w:val="00EE496D"/>
    <w:rsid w:val="00EE54DA"/>
    <w:rsid w:val="00EE5A8F"/>
    <w:rsid w:val="00EE6515"/>
    <w:rsid w:val="00EE6687"/>
    <w:rsid w:val="00EE66B9"/>
    <w:rsid w:val="00F046A0"/>
    <w:rsid w:val="00F053EB"/>
    <w:rsid w:val="00F115CD"/>
    <w:rsid w:val="00F120C1"/>
    <w:rsid w:val="00F13A6F"/>
    <w:rsid w:val="00F13EF1"/>
    <w:rsid w:val="00F21AF4"/>
    <w:rsid w:val="00F23931"/>
    <w:rsid w:val="00F26EBE"/>
    <w:rsid w:val="00F302AD"/>
    <w:rsid w:val="00F331AA"/>
    <w:rsid w:val="00F354C3"/>
    <w:rsid w:val="00F36E4D"/>
    <w:rsid w:val="00F40938"/>
    <w:rsid w:val="00F44C7A"/>
    <w:rsid w:val="00F46254"/>
    <w:rsid w:val="00F51B51"/>
    <w:rsid w:val="00F5761B"/>
    <w:rsid w:val="00F67F92"/>
    <w:rsid w:val="00F7005A"/>
    <w:rsid w:val="00F726B5"/>
    <w:rsid w:val="00F74359"/>
    <w:rsid w:val="00F75641"/>
    <w:rsid w:val="00F76D81"/>
    <w:rsid w:val="00F77CD6"/>
    <w:rsid w:val="00F80947"/>
    <w:rsid w:val="00F810C8"/>
    <w:rsid w:val="00F81F33"/>
    <w:rsid w:val="00F82302"/>
    <w:rsid w:val="00F846E2"/>
    <w:rsid w:val="00F9136A"/>
    <w:rsid w:val="00FA4371"/>
    <w:rsid w:val="00FA50A7"/>
    <w:rsid w:val="00FA579C"/>
    <w:rsid w:val="00FA68F5"/>
    <w:rsid w:val="00FB107A"/>
    <w:rsid w:val="00FB3FB1"/>
    <w:rsid w:val="00FC59C2"/>
    <w:rsid w:val="00FC70D3"/>
    <w:rsid w:val="00FD0AE0"/>
    <w:rsid w:val="00FD2E0C"/>
    <w:rsid w:val="00FD7FD2"/>
    <w:rsid w:val="00FE0F4C"/>
    <w:rsid w:val="00FE24B5"/>
    <w:rsid w:val="00FE2B8C"/>
    <w:rsid w:val="00FE3AE1"/>
    <w:rsid w:val="00FF0497"/>
    <w:rsid w:val="00FF0CE1"/>
    <w:rsid w:val="00FF171D"/>
    <w:rsid w:val="00FF1918"/>
    <w:rsid w:val="00FF5856"/>
    <w:rsid w:val="00FF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0E4D"/>
  <w15:docId w15:val="{B4EA6A4E-A370-F947-8329-B1C1E2C79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D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184A9B"/>
    <w:pPr>
      <w:spacing w:line="240" w:lineRule="auto"/>
    </w:pPr>
  </w:style>
  <w:style w:type="character" w:styleId="CommentReference">
    <w:name w:val="annotation reference"/>
    <w:basedOn w:val="DefaultParagraphFont"/>
    <w:uiPriority w:val="99"/>
    <w:semiHidden/>
    <w:unhideWhenUsed/>
    <w:rsid w:val="005F490E"/>
    <w:rPr>
      <w:sz w:val="16"/>
      <w:szCs w:val="16"/>
    </w:rPr>
  </w:style>
  <w:style w:type="paragraph" w:styleId="CommentText">
    <w:name w:val="annotation text"/>
    <w:basedOn w:val="Normal"/>
    <w:link w:val="CommentTextChar"/>
    <w:uiPriority w:val="99"/>
    <w:semiHidden/>
    <w:unhideWhenUsed/>
    <w:rsid w:val="005F490E"/>
    <w:rPr>
      <w:sz w:val="20"/>
      <w:szCs w:val="20"/>
    </w:rPr>
  </w:style>
  <w:style w:type="character" w:customStyle="1" w:styleId="CommentTextChar">
    <w:name w:val="Comment Text Char"/>
    <w:basedOn w:val="DefaultParagraphFont"/>
    <w:link w:val="CommentText"/>
    <w:uiPriority w:val="99"/>
    <w:semiHidden/>
    <w:rsid w:val="005F490E"/>
    <w:rPr>
      <w:sz w:val="20"/>
      <w:szCs w:val="20"/>
    </w:rPr>
  </w:style>
  <w:style w:type="paragraph" w:styleId="CommentSubject">
    <w:name w:val="annotation subject"/>
    <w:basedOn w:val="CommentText"/>
    <w:next w:val="CommentText"/>
    <w:link w:val="CommentSubjectChar"/>
    <w:uiPriority w:val="99"/>
    <w:semiHidden/>
    <w:unhideWhenUsed/>
    <w:rsid w:val="005F490E"/>
    <w:rPr>
      <w:b/>
      <w:bCs/>
    </w:rPr>
  </w:style>
  <w:style w:type="character" w:customStyle="1" w:styleId="CommentSubjectChar">
    <w:name w:val="Comment Subject Char"/>
    <w:basedOn w:val="CommentTextChar"/>
    <w:link w:val="CommentSubject"/>
    <w:uiPriority w:val="99"/>
    <w:semiHidden/>
    <w:rsid w:val="005F490E"/>
    <w:rPr>
      <w:b/>
      <w:bCs/>
      <w:sz w:val="20"/>
      <w:szCs w:val="20"/>
    </w:rPr>
  </w:style>
  <w:style w:type="paragraph" w:styleId="Header">
    <w:name w:val="header"/>
    <w:basedOn w:val="Normal"/>
    <w:link w:val="HeaderChar"/>
    <w:uiPriority w:val="99"/>
    <w:unhideWhenUsed/>
    <w:rsid w:val="00D04217"/>
    <w:pPr>
      <w:tabs>
        <w:tab w:val="center" w:pos="4680"/>
        <w:tab w:val="right" w:pos="9360"/>
      </w:tabs>
    </w:pPr>
  </w:style>
  <w:style w:type="character" w:customStyle="1" w:styleId="HeaderChar">
    <w:name w:val="Header Char"/>
    <w:basedOn w:val="DefaultParagraphFont"/>
    <w:link w:val="Header"/>
    <w:uiPriority w:val="99"/>
    <w:rsid w:val="00D04217"/>
  </w:style>
  <w:style w:type="paragraph" w:styleId="Footer">
    <w:name w:val="footer"/>
    <w:basedOn w:val="Normal"/>
    <w:link w:val="FooterChar"/>
    <w:uiPriority w:val="99"/>
    <w:unhideWhenUsed/>
    <w:rsid w:val="00D04217"/>
    <w:pPr>
      <w:tabs>
        <w:tab w:val="center" w:pos="4680"/>
        <w:tab w:val="right" w:pos="9360"/>
      </w:tabs>
    </w:pPr>
  </w:style>
  <w:style w:type="character" w:customStyle="1" w:styleId="FooterChar">
    <w:name w:val="Footer Char"/>
    <w:basedOn w:val="DefaultParagraphFont"/>
    <w:link w:val="Footer"/>
    <w:uiPriority w:val="99"/>
    <w:rsid w:val="00D04217"/>
  </w:style>
  <w:style w:type="paragraph" w:styleId="NormalWeb">
    <w:name w:val="Normal (Web)"/>
    <w:basedOn w:val="Normal"/>
    <w:uiPriority w:val="99"/>
    <w:unhideWhenUsed/>
    <w:rsid w:val="00BA06B7"/>
    <w:pPr>
      <w:spacing w:before="100" w:beforeAutospacing="1" w:after="100" w:afterAutospacing="1"/>
    </w:pPr>
  </w:style>
  <w:style w:type="character" w:styleId="Hyperlink">
    <w:name w:val="Hyperlink"/>
    <w:basedOn w:val="DefaultParagraphFont"/>
    <w:uiPriority w:val="99"/>
    <w:unhideWhenUsed/>
    <w:rsid w:val="00BC0DE5"/>
    <w:rPr>
      <w:color w:val="0000FF" w:themeColor="hyperlink"/>
      <w:u w:val="single"/>
    </w:rPr>
  </w:style>
  <w:style w:type="character" w:styleId="UnresolvedMention">
    <w:name w:val="Unresolved Mention"/>
    <w:basedOn w:val="DefaultParagraphFont"/>
    <w:uiPriority w:val="99"/>
    <w:semiHidden/>
    <w:unhideWhenUsed/>
    <w:rsid w:val="00BC0DE5"/>
    <w:rPr>
      <w:color w:val="605E5C"/>
      <w:shd w:val="clear" w:color="auto" w:fill="E1DFDD"/>
    </w:rPr>
  </w:style>
  <w:style w:type="character" w:styleId="FollowedHyperlink">
    <w:name w:val="FollowedHyperlink"/>
    <w:basedOn w:val="DefaultParagraphFont"/>
    <w:uiPriority w:val="99"/>
    <w:semiHidden/>
    <w:unhideWhenUsed/>
    <w:rsid w:val="00BC0DE5"/>
    <w:rPr>
      <w:color w:val="800080" w:themeColor="followedHyperlink"/>
      <w:u w:val="single"/>
    </w:rPr>
  </w:style>
  <w:style w:type="character" w:customStyle="1" w:styleId="highwire-citation-authors">
    <w:name w:val="highwire-citation-authors"/>
    <w:basedOn w:val="DefaultParagraphFont"/>
    <w:rsid w:val="00C76FC7"/>
  </w:style>
  <w:style w:type="character" w:customStyle="1" w:styleId="highwire-citation-author">
    <w:name w:val="highwire-citation-author"/>
    <w:basedOn w:val="DefaultParagraphFont"/>
    <w:rsid w:val="00C76FC7"/>
  </w:style>
  <w:style w:type="character" w:customStyle="1" w:styleId="nlm-surname">
    <w:name w:val="nlm-surname"/>
    <w:basedOn w:val="DefaultParagraphFont"/>
    <w:rsid w:val="00C76FC7"/>
  </w:style>
  <w:style w:type="character" w:customStyle="1" w:styleId="highwire-cite-metadata-journal">
    <w:name w:val="highwire-cite-metadata-journal"/>
    <w:basedOn w:val="DefaultParagraphFont"/>
    <w:rsid w:val="00C76FC7"/>
  </w:style>
  <w:style w:type="character" w:customStyle="1" w:styleId="highwire-cite-metadata-year">
    <w:name w:val="highwire-cite-metadata-year"/>
    <w:basedOn w:val="DefaultParagraphFont"/>
    <w:rsid w:val="00C76FC7"/>
  </w:style>
  <w:style w:type="character" w:customStyle="1" w:styleId="highwire-cite-metadata-volume">
    <w:name w:val="highwire-cite-metadata-volume"/>
    <w:basedOn w:val="DefaultParagraphFont"/>
    <w:rsid w:val="00C76FC7"/>
  </w:style>
  <w:style w:type="character" w:customStyle="1" w:styleId="highwire-cite-metadata-pages">
    <w:name w:val="highwire-cite-metadata-pages"/>
    <w:basedOn w:val="DefaultParagraphFont"/>
    <w:rsid w:val="00C76FC7"/>
  </w:style>
  <w:style w:type="paragraph" w:styleId="ListParagraph">
    <w:name w:val="List Paragraph"/>
    <w:basedOn w:val="Normal"/>
    <w:uiPriority w:val="34"/>
    <w:qFormat/>
    <w:rsid w:val="005E3119"/>
    <w:pPr>
      <w:ind w:left="720"/>
      <w:contextualSpacing/>
    </w:pPr>
  </w:style>
  <w:style w:type="character" w:styleId="Emphasis">
    <w:name w:val="Emphasis"/>
    <w:basedOn w:val="DefaultParagraphFont"/>
    <w:uiPriority w:val="20"/>
    <w:qFormat/>
    <w:rsid w:val="009411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35492">
      <w:bodyDiv w:val="1"/>
      <w:marLeft w:val="0"/>
      <w:marRight w:val="0"/>
      <w:marTop w:val="0"/>
      <w:marBottom w:val="0"/>
      <w:divBdr>
        <w:top w:val="none" w:sz="0" w:space="0" w:color="auto"/>
        <w:left w:val="none" w:sz="0" w:space="0" w:color="auto"/>
        <w:bottom w:val="none" w:sz="0" w:space="0" w:color="auto"/>
        <w:right w:val="none" w:sz="0" w:space="0" w:color="auto"/>
      </w:divBdr>
    </w:div>
    <w:div w:id="645160575">
      <w:bodyDiv w:val="1"/>
      <w:marLeft w:val="0"/>
      <w:marRight w:val="0"/>
      <w:marTop w:val="0"/>
      <w:marBottom w:val="0"/>
      <w:divBdr>
        <w:top w:val="none" w:sz="0" w:space="0" w:color="auto"/>
        <w:left w:val="none" w:sz="0" w:space="0" w:color="auto"/>
        <w:bottom w:val="none" w:sz="0" w:space="0" w:color="auto"/>
        <w:right w:val="none" w:sz="0" w:space="0" w:color="auto"/>
      </w:divBdr>
      <w:divsChild>
        <w:div w:id="1831479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984047621">
      <w:bodyDiv w:val="1"/>
      <w:marLeft w:val="0"/>
      <w:marRight w:val="0"/>
      <w:marTop w:val="0"/>
      <w:marBottom w:val="0"/>
      <w:divBdr>
        <w:top w:val="none" w:sz="0" w:space="0" w:color="auto"/>
        <w:left w:val="none" w:sz="0" w:space="0" w:color="auto"/>
        <w:bottom w:val="none" w:sz="0" w:space="0" w:color="auto"/>
        <w:right w:val="none" w:sz="0" w:space="0" w:color="auto"/>
      </w:divBdr>
    </w:div>
    <w:div w:id="1095630976">
      <w:bodyDiv w:val="1"/>
      <w:marLeft w:val="0"/>
      <w:marRight w:val="0"/>
      <w:marTop w:val="0"/>
      <w:marBottom w:val="0"/>
      <w:divBdr>
        <w:top w:val="none" w:sz="0" w:space="0" w:color="auto"/>
        <w:left w:val="none" w:sz="0" w:space="0" w:color="auto"/>
        <w:bottom w:val="none" w:sz="0" w:space="0" w:color="auto"/>
        <w:right w:val="none" w:sz="0" w:space="0" w:color="auto"/>
      </w:divBdr>
    </w:div>
    <w:div w:id="1162114335">
      <w:bodyDiv w:val="1"/>
      <w:marLeft w:val="0"/>
      <w:marRight w:val="0"/>
      <w:marTop w:val="0"/>
      <w:marBottom w:val="0"/>
      <w:divBdr>
        <w:top w:val="none" w:sz="0" w:space="0" w:color="auto"/>
        <w:left w:val="none" w:sz="0" w:space="0" w:color="auto"/>
        <w:bottom w:val="none" w:sz="0" w:space="0" w:color="auto"/>
        <w:right w:val="none" w:sz="0" w:space="0" w:color="auto"/>
      </w:divBdr>
      <w:divsChild>
        <w:div w:id="1743402587">
          <w:marLeft w:val="-113"/>
          <w:marRight w:val="-113"/>
          <w:marTop w:val="0"/>
          <w:marBottom w:val="0"/>
          <w:divBdr>
            <w:top w:val="none" w:sz="0" w:space="0" w:color="auto"/>
            <w:left w:val="none" w:sz="0" w:space="0" w:color="auto"/>
            <w:bottom w:val="none" w:sz="0" w:space="0" w:color="auto"/>
            <w:right w:val="none" w:sz="0" w:space="0" w:color="auto"/>
          </w:divBdr>
          <w:divsChild>
            <w:div w:id="1544978097">
              <w:marLeft w:val="0"/>
              <w:marRight w:val="0"/>
              <w:marTop w:val="0"/>
              <w:marBottom w:val="0"/>
              <w:divBdr>
                <w:top w:val="single" w:sz="6" w:space="0" w:color="CCCCCC"/>
                <w:left w:val="single" w:sz="6" w:space="0" w:color="CCCCCC"/>
                <w:bottom w:val="single" w:sz="6" w:space="0" w:color="CCCCCC"/>
                <w:right w:val="single" w:sz="6" w:space="0" w:color="CCCCCC"/>
              </w:divBdr>
              <w:divsChild>
                <w:div w:id="1448043960">
                  <w:marLeft w:val="0"/>
                  <w:marRight w:val="0"/>
                  <w:marTop w:val="0"/>
                  <w:marBottom w:val="0"/>
                  <w:divBdr>
                    <w:top w:val="none" w:sz="0" w:space="0" w:color="auto"/>
                    <w:left w:val="none" w:sz="0" w:space="0" w:color="auto"/>
                    <w:bottom w:val="none" w:sz="0" w:space="0" w:color="auto"/>
                    <w:right w:val="none" w:sz="0" w:space="0" w:color="auto"/>
                  </w:divBdr>
                  <w:divsChild>
                    <w:div w:id="544828886">
                      <w:marLeft w:val="0"/>
                      <w:marRight w:val="0"/>
                      <w:marTop w:val="0"/>
                      <w:marBottom w:val="0"/>
                      <w:divBdr>
                        <w:top w:val="none" w:sz="0" w:space="0" w:color="auto"/>
                        <w:left w:val="none" w:sz="0" w:space="0" w:color="auto"/>
                        <w:bottom w:val="none" w:sz="0" w:space="0" w:color="auto"/>
                        <w:right w:val="none" w:sz="0" w:space="0" w:color="auto"/>
                      </w:divBdr>
                      <w:divsChild>
                        <w:div w:id="1599025697">
                          <w:marLeft w:val="0"/>
                          <w:marRight w:val="0"/>
                          <w:marTop w:val="0"/>
                          <w:marBottom w:val="0"/>
                          <w:divBdr>
                            <w:top w:val="none" w:sz="0" w:space="0" w:color="auto"/>
                            <w:left w:val="none" w:sz="0" w:space="0" w:color="auto"/>
                            <w:bottom w:val="none" w:sz="0" w:space="0" w:color="auto"/>
                            <w:right w:val="none" w:sz="0" w:space="0" w:color="auto"/>
                          </w:divBdr>
                          <w:divsChild>
                            <w:div w:id="1078674799">
                              <w:marLeft w:val="0"/>
                              <w:marRight w:val="0"/>
                              <w:marTop w:val="0"/>
                              <w:marBottom w:val="0"/>
                              <w:divBdr>
                                <w:top w:val="none" w:sz="0" w:space="0" w:color="auto"/>
                                <w:left w:val="none" w:sz="0" w:space="0" w:color="auto"/>
                                <w:bottom w:val="none" w:sz="0" w:space="0" w:color="auto"/>
                                <w:right w:val="none" w:sz="0" w:space="0" w:color="auto"/>
                              </w:divBdr>
                              <w:divsChild>
                                <w:div w:id="1853299278">
                                  <w:marLeft w:val="0"/>
                                  <w:marRight w:val="0"/>
                                  <w:marTop w:val="0"/>
                                  <w:marBottom w:val="0"/>
                                  <w:divBdr>
                                    <w:top w:val="none" w:sz="0" w:space="0" w:color="auto"/>
                                    <w:left w:val="none" w:sz="0" w:space="0" w:color="auto"/>
                                    <w:bottom w:val="none" w:sz="0" w:space="0" w:color="auto"/>
                                    <w:right w:val="none" w:sz="0" w:space="0" w:color="auto"/>
                                  </w:divBdr>
                                  <w:divsChild>
                                    <w:div w:id="1540705512">
                                      <w:marLeft w:val="0"/>
                                      <w:marRight w:val="0"/>
                                      <w:marTop w:val="0"/>
                                      <w:marBottom w:val="0"/>
                                      <w:divBdr>
                                        <w:top w:val="none" w:sz="0" w:space="0" w:color="auto"/>
                                        <w:left w:val="none" w:sz="0" w:space="0" w:color="auto"/>
                                        <w:bottom w:val="none" w:sz="0" w:space="0" w:color="auto"/>
                                        <w:right w:val="none" w:sz="0" w:space="0" w:color="auto"/>
                                      </w:divBdr>
                                      <w:divsChild>
                                        <w:div w:id="389889331">
                                          <w:marLeft w:val="0"/>
                                          <w:marRight w:val="0"/>
                                          <w:marTop w:val="0"/>
                                          <w:marBottom w:val="0"/>
                                          <w:divBdr>
                                            <w:top w:val="none" w:sz="0" w:space="0" w:color="auto"/>
                                            <w:left w:val="none" w:sz="0" w:space="0" w:color="auto"/>
                                            <w:bottom w:val="none" w:sz="0" w:space="0" w:color="auto"/>
                                            <w:right w:val="none" w:sz="0" w:space="0" w:color="auto"/>
                                          </w:divBdr>
                                          <w:divsChild>
                                            <w:div w:id="58358990">
                                              <w:marLeft w:val="0"/>
                                              <w:marRight w:val="0"/>
                                              <w:marTop w:val="0"/>
                                              <w:marBottom w:val="0"/>
                                              <w:divBdr>
                                                <w:top w:val="none" w:sz="0" w:space="0" w:color="auto"/>
                                                <w:left w:val="none" w:sz="0" w:space="0" w:color="auto"/>
                                                <w:bottom w:val="none" w:sz="0" w:space="0" w:color="auto"/>
                                                <w:right w:val="none" w:sz="0" w:space="0" w:color="auto"/>
                                              </w:divBdr>
                                              <w:divsChild>
                                                <w:div w:id="945163405">
                                                  <w:marLeft w:val="0"/>
                                                  <w:marRight w:val="0"/>
                                                  <w:marTop w:val="0"/>
                                                  <w:marBottom w:val="0"/>
                                                  <w:divBdr>
                                                    <w:top w:val="none" w:sz="0" w:space="0" w:color="auto"/>
                                                    <w:left w:val="none" w:sz="0" w:space="0" w:color="auto"/>
                                                    <w:bottom w:val="none" w:sz="0" w:space="0" w:color="auto"/>
                                                    <w:right w:val="none" w:sz="0" w:space="0" w:color="auto"/>
                                                  </w:divBdr>
                                                  <w:divsChild>
                                                    <w:div w:id="306250166">
                                                      <w:marLeft w:val="0"/>
                                                      <w:marRight w:val="0"/>
                                                      <w:marTop w:val="0"/>
                                                      <w:marBottom w:val="0"/>
                                                      <w:divBdr>
                                                        <w:top w:val="none" w:sz="0" w:space="0" w:color="auto"/>
                                                        <w:left w:val="none" w:sz="0" w:space="0" w:color="auto"/>
                                                        <w:bottom w:val="none" w:sz="0" w:space="0" w:color="auto"/>
                                                        <w:right w:val="none" w:sz="0" w:space="0" w:color="auto"/>
                                                      </w:divBdr>
                                                      <w:divsChild>
                                                        <w:div w:id="1546671461">
                                                          <w:marLeft w:val="0"/>
                                                          <w:marRight w:val="0"/>
                                                          <w:marTop w:val="0"/>
                                                          <w:marBottom w:val="0"/>
                                                          <w:divBdr>
                                                            <w:top w:val="none" w:sz="0" w:space="0" w:color="auto"/>
                                                            <w:left w:val="none" w:sz="0" w:space="0" w:color="auto"/>
                                                            <w:bottom w:val="none" w:sz="0" w:space="0" w:color="auto"/>
                                                            <w:right w:val="none" w:sz="0" w:space="0" w:color="auto"/>
                                                          </w:divBdr>
                                                          <w:divsChild>
                                                            <w:div w:id="767894446">
                                                              <w:marLeft w:val="0"/>
                                                              <w:marRight w:val="0"/>
                                                              <w:marTop w:val="0"/>
                                                              <w:marBottom w:val="0"/>
                                                              <w:divBdr>
                                                                <w:top w:val="none" w:sz="0" w:space="0" w:color="auto"/>
                                                                <w:left w:val="none" w:sz="0" w:space="0" w:color="auto"/>
                                                                <w:bottom w:val="none" w:sz="0" w:space="0" w:color="auto"/>
                                                                <w:right w:val="none" w:sz="0" w:space="0" w:color="auto"/>
                                                              </w:divBdr>
                                                              <w:divsChild>
                                                                <w:div w:id="86049760">
                                                                  <w:marLeft w:val="0"/>
                                                                  <w:marRight w:val="0"/>
                                                                  <w:marTop w:val="0"/>
                                                                  <w:marBottom w:val="0"/>
                                                                  <w:divBdr>
                                                                    <w:top w:val="none" w:sz="0" w:space="0" w:color="auto"/>
                                                                    <w:left w:val="none" w:sz="0" w:space="0" w:color="auto"/>
                                                                    <w:bottom w:val="none" w:sz="0" w:space="0" w:color="auto"/>
                                                                    <w:right w:val="none" w:sz="0" w:space="0" w:color="auto"/>
                                                                  </w:divBdr>
                                                                  <w:divsChild>
                                                                    <w:div w:id="1766536009">
                                                                      <w:marLeft w:val="0"/>
                                                                      <w:marRight w:val="0"/>
                                                                      <w:marTop w:val="0"/>
                                                                      <w:marBottom w:val="525"/>
                                                                      <w:divBdr>
                                                                        <w:top w:val="none" w:sz="0" w:space="0" w:color="auto"/>
                                                                        <w:left w:val="none" w:sz="0" w:space="0" w:color="auto"/>
                                                                        <w:bottom w:val="none" w:sz="0" w:space="0" w:color="auto"/>
                                                                        <w:right w:val="none" w:sz="0" w:space="0" w:color="auto"/>
                                                                      </w:divBdr>
                                                                      <w:divsChild>
                                                                        <w:div w:id="1155806151">
                                                                          <w:marLeft w:val="0"/>
                                                                          <w:marRight w:val="0"/>
                                                                          <w:marTop w:val="0"/>
                                                                          <w:marBottom w:val="0"/>
                                                                          <w:divBdr>
                                                                            <w:top w:val="none" w:sz="0" w:space="0" w:color="auto"/>
                                                                            <w:left w:val="none" w:sz="0" w:space="0" w:color="auto"/>
                                                                            <w:bottom w:val="none" w:sz="0" w:space="0" w:color="auto"/>
                                                                            <w:right w:val="none" w:sz="0" w:space="0" w:color="auto"/>
                                                                          </w:divBdr>
                                                                          <w:divsChild>
                                                                            <w:div w:id="771317091">
                                                                              <w:marLeft w:val="0"/>
                                                                              <w:marRight w:val="0"/>
                                                                              <w:marTop w:val="0"/>
                                                                              <w:marBottom w:val="0"/>
                                                                              <w:divBdr>
                                                                                <w:top w:val="none" w:sz="0" w:space="0" w:color="auto"/>
                                                                                <w:left w:val="none" w:sz="0" w:space="0" w:color="auto"/>
                                                                                <w:bottom w:val="none" w:sz="0" w:space="0" w:color="auto"/>
                                                                                <w:right w:val="none" w:sz="0" w:space="0" w:color="auto"/>
                                                                              </w:divBdr>
                                                                              <w:divsChild>
                                                                                <w:div w:id="174536192">
                                                                                  <w:marLeft w:val="0"/>
                                                                                  <w:marRight w:val="0"/>
                                                                                  <w:marTop w:val="0"/>
                                                                                  <w:marBottom w:val="0"/>
                                                                                  <w:divBdr>
                                                                                    <w:top w:val="none" w:sz="0" w:space="0" w:color="auto"/>
                                                                                    <w:left w:val="none" w:sz="0" w:space="0" w:color="auto"/>
                                                                                    <w:bottom w:val="none" w:sz="0" w:space="0" w:color="auto"/>
                                                                                    <w:right w:val="none" w:sz="0" w:space="0" w:color="auto"/>
                                                                                  </w:divBdr>
                                                                                </w:div>
                                                                                <w:div w:id="893007759">
                                                                                  <w:marLeft w:val="0"/>
                                                                                  <w:marRight w:val="0"/>
                                                                                  <w:marTop w:val="0"/>
                                                                                  <w:marBottom w:val="0"/>
                                                                                  <w:divBdr>
                                                                                    <w:top w:val="none" w:sz="0" w:space="0" w:color="auto"/>
                                                                                    <w:left w:val="none" w:sz="0" w:space="0" w:color="auto"/>
                                                                                    <w:bottom w:val="none" w:sz="0" w:space="0" w:color="auto"/>
                                                                                    <w:right w:val="none" w:sz="0" w:space="0" w:color="auto"/>
                                                                                  </w:divBdr>
                                                                                </w:div>
                                                                                <w:div w:id="21038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466909">
          <w:marLeft w:val="-113"/>
          <w:marRight w:val="-113"/>
          <w:marTop w:val="0"/>
          <w:marBottom w:val="0"/>
          <w:divBdr>
            <w:top w:val="none" w:sz="0" w:space="0" w:color="auto"/>
            <w:left w:val="none" w:sz="0" w:space="0" w:color="auto"/>
            <w:bottom w:val="none" w:sz="0" w:space="0" w:color="auto"/>
            <w:right w:val="none" w:sz="0" w:space="0" w:color="auto"/>
          </w:divBdr>
          <w:divsChild>
            <w:div w:id="1643652003">
              <w:marLeft w:val="0"/>
              <w:marRight w:val="0"/>
              <w:marTop w:val="0"/>
              <w:marBottom w:val="0"/>
              <w:divBdr>
                <w:top w:val="none" w:sz="0" w:space="0" w:color="auto"/>
                <w:left w:val="none" w:sz="0" w:space="0" w:color="auto"/>
                <w:bottom w:val="none" w:sz="0" w:space="0" w:color="auto"/>
                <w:right w:val="none" w:sz="0" w:space="0" w:color="auto"/>
              </w:divBdr>
              <w:divsChild>
                <w:div w:id="1130124320">
                  <w:marLeft w:val="0"/>
                  <w:marRight w:val="0"/>
                  <w:marTop w:val="0"/>
                  <w:marBottom w:val="0"/>
                  <w:divBdr>
                    <w:top w:val="none" w:sz="0" w:space="0" w:color="auto"/>
                    <w:left w:val="none" w:sz="0" w:space="0" w:color="auto"/>
                    <w:bottom w:val="none" w:sz="0" w:space="0" w:color="auto"/>
                    <w:right w:val="none" w:sz="0" w:space="0" w:color="auto"/>
                  </w:divBdr>
                  <w:divsChild>
                    <w:div w:id="628364451">
                      <w:marLeft w:val="0"/>
                      <w:marRight w:val="0"/>
                      <w:marTop w:val="0"/>
                      <w:marBottom w:val="0"/>
                      <w:divBdr>
                        <w:top w:val="none" w:sz="0" w:space="0" w:color="auto"/>
                        <w:left w:val="none" w:sz="0" w:space="0" w:color="auto"/>
                        <w:bottom w:val="none" w:sz="0" w:space="0" w:color="auto"/>
                        <w:right w:val="none" w:sz="0" w:space="0" w:color="auto"/>
                      </w:divBdr>
                      <w:divsChild>
                        <w:div w:id="1234895823">
                          <w:marLeft w:val="0"/>
                          <w:marRight w:val="0"/>
                          <w:marTop w:val="0"/>
                          <w:marBottom w:val="0"/>
                          <w:divBdr>
                            <w:top w:val="none" w:sz="0" w:space="0" w:color="auto"/>
                            <w:left w:val="none" w:sz="0" w:space="0" w:color="auto"/>
                            <w:bottom w:val="none" w:sz="0" w:space="0" w:color="auto"/>
                            <w:right w:val="none" w:sz="0" w:space="0" w:color="auto"/>
                          </w:divBdr>
                          <w:divsChild>
                            <w:div w:id="184754327">
                              <w:marLeft w:val="0"/>
                              <w:marRight w:val="0"/>
                              <w:marTop w:val="0"/>
                              <w:marBottom w:val="0"/>
                              <w:divBdr>
                                <w:top w:val="none" w:sz="0" w:space="0" w:color="auto"/>
                                <w:left w:val="none" w:sz="0" w:space="0" w:color="auto"/>
                                <w:bottom w:val="none" w:sz="0" w:space="0" w:color="auto"/>
                                <w:right w:val="none" w:sz="0" w:space="0" w:color="auto"/>
                              </w:divBdr>
                              <w:divsChild>
                                <w:div w:id="150606025">
                                  <w:marLeft w:val="0"/>
                                  <w:marRight w:val="0"/>
                                  <w:marTop w:val="0"/>
                                  <w:marBottom w:val="0"/>
                                  <w:divBdr>
                                    <w:top w:val="none" w:sz="0" w:space="0" w:color="auto"/>
                                    <w:left w:val="none" w:sz="0" w:space="0" w:color="auto"/>
                                    <w:bottom w:val="none" w:sz="0" w:space="0" w:color="auto"/>
                                    <w:right w:val="none" w:sz="0" w:space="0" w:color="auto"/>
                                  </w:divBdr>
                                  <w:divsChild>
                                    <w:div w:id="1893805726">
                                      <w:marLeft w:val="-113"/>
                                      <w:marRight w:val="-113"/>
                                      <w:marTop w:val="0"/>
                                      <w:marBottom w:val="0"/>
                                      <w:divBdr>
                                        <w:top w:val="none" w:sz="0" w:space="0" w:color="auto"/>
                                        <w:left w:val="none" w:sz="0" w:space="0" w:color="auto"/>
                                        <w:bottom w:val="none" w:sz="0" w:space="0" w:color="auto"/>
                                        <w:right w:val="none" w:sz="0" w:space="0" w:color="auto"/>
                                      </w:divBdr>
                                      <w:divsChild>
                                        <w:div w:id="750008807">
                                          <w:marLeft w:val="0"/>
                                          <w:marRight w:val="0"/>
                                          <w:marTop w:val="0"/>
                                          <w:marBottom w:val="0"/>
                                          <w:divBdr>
                                            <w:top w:val="none" w:sz="0" w:space="0" w:color="auto"/>
                                            <w:left w:val="none" w:sz="0" w:space="0" w:color="auto"/>
                                            <w:bottom w:val="none" w:sz="0" w:space="0" w:color="auto"/>
                                            <w:right w:val="none" w:sz="0" w:space="0" w:color="auto"/>
                                          </w:divBdr>
                                          <w:divsChild>
                                            <w:div w:id="2042512360">
                                              <w:marLeft w:val="0"/>
                                              <w:marRight w:val="0"/>
                                              <w:marTop w:val="0"/>
                                              <w:marBottom w:val="0"/>
                                              <w:divBdr>
                                                <w:top w:val="none" w:sz="0" w:space="0" w:color="auto"/>
                                                <w:left w:val="none" w:sz="0" w:space="0" w:color="auto"/>
                                                <w:bottom w:val="none" w:sz="0" w:space="0" w:color="auto"/>
                                                <w:right w:val="none" w:sz="0" w:space="0" w:color="auto"/>
                                              </w:divBdr>
                                              <w:divsChild>
                                                <w:div w:id="1254240032">
                                                  <w:marLeft w:val="0"/>
                                                  <w:marRight w:val="0"/>
                                                  <w:marTop w:val="0"/>
                                                  <w:marBottom w:val="0"/>
                                                  <w:divBdr>
                                                    <w:top w:val="none" w:sz="0" w:space="0" w:color="auto"/>
                                                    <w:left w:val="none" w:sz="0" w:space="0" w:color="auto"/>
                                                    <w:bottom w:val="none" w:sz="0" w:space="0" w:color="auto"/>
                                                    <w:right w:val="none" w:sz="0" w:space="0" w:color="auto"/>
                                                  </w:divBdr>
                                                  <w:divsChild>
                                                    <w:div w:id="1387098218">
                                                      <w:marLeft w:val="0"/>
                                                      <w:marRight w:val="0"/>
                                                      <w:marTop w:val="0"/>
                                                      <w:marBottom w:val="0"/>
                                                      <w:divBdr>
                                                        <w:top w:val="none" w:sz="0" w:space="0" w:color="auto"/>
                                                        <w:left w:val="none" w:sz="0" w:space="0" w:color="auto"/>
                                                        <w:bottom w:val="none" w:sz="0" w:space="0" w:color="auto"/>
                                                        <w:right w:val="none" w:sz="0" w:space="0" w:color="auto"/>
                                                      </w:divBdr>
                                                      <w:divsChild>
                                                        <w:div w:id="362247111">
                                                          <w:marLeft w:val="0"/>
                                                          <w:marRight w:val="0"/>
                                                          <w:marTop w:val="0"/>
                                                          <w:marBottom w:val="0"/>
                                                          <w:divBdr>
                                                            <w:top w:val="none" w:sz="0" w:space="0" w:color="auto"/>
                                                            <w:left w:val="none" w:sz="0" w:space="0" w:color="auto"/>
                                                            <w:bottom w:val="none" w:sz="0" w:space="0" w:color="auto"/>
                                                            <w:right w:val="none" w:sz="0" w:space="0" w:color="auto"/>
                                                          </w:divBdr>
                                                          <w:divsChild>
                                                            <w:div w:id="1414662776">
                                                              <w:marLeft w:val="0"/>
                                                              <w:marRight w:val="0"/>
                                                              <w:marTop w:val="0"/>
                                                              <w:marBottom w:val="0"/>
                                                              <w:divBdr>
                                                                <w:top w:val="none" w:sz="0" w:space="0" w:color="auto"/>
                                                                <w:left w:val="none" w:sz="0" w:space="0" w:color="auto"/>
                                                                <w:bottom w:val="none" w:sz="0" w:space="0" w:color="auto"/>
                                                                <w:right w:val="none" w:sz="0" w:space="0" w:color="auto"/>
                                                              </w:divBdr>
                                                              <w:divsChild>
                                                                <w:div w:id="14082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4951584">
      <w:bodyDiv w:val="1"/>
      <w:marLeft w:val="0"/>
      <w:marRight w:val="0"/>
      <w:marTop w:val="0"/>
      <w:marBottom w:val="0"/>
      <w:divBdr>
        <w:top w:val="none" w:sz="0" w:space="0" w:color="auto"/>
        <w:left w:val="none" w:sz="0" w:space="0" w:color="auto"/>
        <w:bottom w:val="none" w:sz="0" w:space="0" w:color="auto"/>
        <w:right w:val="none" w:sz="0" w:space="0" w:color="auto"/>
      </w:divBdr>
    </w:div>
    <w:div w:id="1588147498">
      <w:bodyDiv w:val="1"/>
      <w:marLeft w:val="0"/>
      <w:marRight w:val="0"/>
      <w:marTop w:val="0"/>
      <w:marBottom w:val="0"/>
      <w:divBdr>
        <w:top w:val="none" w:sz="0" w:space="0" w:color="auto"/>
        <w:left w:val="none" w:sz="0" w:space="0" w:color="auto"/>
        <w:bottom w:val="none" w:sz="0" w:space="0" w:color="auto"/>
        <w:right w:val="none" w:sz="0" w:space="0" w:color="auto"/>
      </w:divBdr>
    </w:div>
    <w:div w:id="1627472136">
      <w:bodyDiv w:val="1"/>
      <w:marLeft w:val="0"/>
      <w:marRight w:val="0"/>
      <w:marTop w:val="0"/>
      <w:marBottom w:val="0"/>
      <w:divBdr>
        <w:top w:val="none" w:sz="0" w:space="0" w:color="auto"/>
        <w:left w:val="none" w:sz="0" w:space="0" w:color="auto"/>
        <w:bottom w:val="none" w:sz="0" w:space="0" w:color="auto"/>
        <w:right w:val="none" w:sz="0" w:space="0" w:color="auto"/>
      </w:divBdr>
    </w:div>
    <w:div w:id="1713505105">
      <w:bodyDiv w:val="1"/>
      <w:marLeft w:val="0"/>
      <w:marRight w:val="0"/>
      <w:marTop w:val="0"/>
      <w:marBottom w:val="0"/>
      <w:divBdr>
        <w:top w:val="none" w:sz="0" w:space="0" w:color="auto"/>
        <w:left w:val="none" w:sz="0" w:space="0" w:color="auto"/>
        <w:bottom w:val="none" w:sz="0" w:space="0" w:color="auto"/>
        <w:right w:val="none" w:sz="0" w:space="0" w:color="auto"/>
      </w:divBdr>
    </w:div>
    <w:div w:id="1945110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51</Pages>
  <Words>13295</Words>
  <Characters>75788</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Sherman, Abby</cp:lastModifiedBy>
  <cp:revision>4</cp:revision>
  <dcterms:created xsi:type="dcterms:W3CDTF">2025-08-04T01:16:00Z</dcterms:created>
  <dcterms:modified xsi:type="dcterms:W3CDTF">2025-08-04T19:56:00Z</dcterms:modified>
</cp:coreProperties>
</file>