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4E659" w14:textId="6B5E5AB9" w:rsidR="001D2920" w:rsidRPr="005D3F76" w:rsidRDefault="001D2920" w:rsidP="001D2920">
      <w:pPr>
        <w:spacing w:line="240" w:lineRule="auto"/>
        <w:rPr>
          <w:rFonts w:cs="Times New Roman"/>
          <w:szCs w:val="24"/>
        </w:rPr>
      </w:pPr>
      <w:r w:rsidRPr="005D3F76">
        <w:rPr>
          <w:rFonts w:cs="Times New Roman"/>
          <w:szCs w:val="24"/>
        </w:rPr>
        <w:t>To the Graduate Council:</w:t>
      </w:r>
    </w:p>
    <w:p w14:paraId="1DCB5695" w14:textId="017FD049" w:rsidR="001D2920" w:rsidRPr="005D3F76" w:rsidRDefault="001D2920" w:rsidP="001D2920">
      <w:pPr>
        <w:spacing w:line="240" w:lineRule="auto"/>
        <w:rPr>
          <w:rFonts w:cs="Times New Roman"/>
          <w:szCs w:val="24"/>
        </w:rPr>
      </w:pPr>
    </w:p>
    <w:p w14:paraId="1F664169" w14:textId="16BF5953" w:rsidR="001D2920" w:rsidRPr="005D3F76" w:rsidRDefault="001D2920" w:rsidP="001D2920">
      <w:pPr>
        <w:spacing w:line="240" w:lineRule="auto"/>
        <w:rPr>
          <w:rFonts w:cs="Times New Roman"/>
          <w:szCs w:val="24"/>
        </w:rPr>
      </w:pPr>
      <w:r w:rsidRPr="005D3F76">
        <w:rPr>
          <w:rFonts w:cs="Times New Roman"/>
          <w:szCs w:val="24"/>
        </w:rPr>
        <w:t xml:space="preserve">I am submitting herewith a dissertation written by Catherine Ann Pierce entitled “Viewing Power, Politics, and Loss: A Critical Discourse Analysis of the Mass Media’s Representations of Teacher Unions in the United States and the Consequences Concerning Policy.” I have examined the final electronic copy of this dissertation for form and content and recommend that it be accepted in partial fulfillment of the requirements for the degree of Doctor of Philosophy, with a major in </w:t>
      </w:r>
      <w:r w:rsidR="003E50EF" w:rsidRPr="005D3F76">
        <w:rPr>
          <w:rFonts w:cs="Times New Roman"/>
          <w:szCs w:val="24"/>
        </w:rPr>
        <w:t>Education.</w:t>
      </w:r>
    </w:p>
    <w:p w14:paraId="45D295B3" w14:textId="3AC5D7FB" w:rsidR="003E50EF" w:rsidRPr="005D3F76" w:rsidRDefault="003E50EF" w:rsidP="001D2920">
      <w:pPr>
        <w:spacing w:line="240" w:lineRule="auto"/>
        <w:rPr>
          <w:rFonts w:cs="Times New Roman"/>
          <w:szCs w:val="24"/>
        </w:rPr>
      </w:pPr>
    </w:p>
    <w:p w14:paraId="52FB9DDC" w14:textId="277E52FF" w:rsidR="003E50EF" w:rsidRPr="005D3F76" w:rsidRDefault="003E50EF" w:rsidP="001D2920">
      <w:pPr>
        <w:spacing w:line="240" w:lineRule="auto"/>
        <w:rPr>
          <w:rFonts w:cs="Times New Roman"/>
          <w:szCs w:val="24"/>
        </w:rPr>
      </w:pPr>
    </w:p>
    <w:p w14:paraId="3442CD11" w14:textId="7C90340A" w:rsidR="003E50EF" w:rsidRPr="005D3F76" w:rsidRDefault="003E50EF" w:rsidP="001D2920">
      <w:pPr>
        <w:spacing w:line="240" w:lineRule="auto"/>
        <w:rPr>
          <w:rFonts w:cs="Times New Roman"/>
          <w:szCs w:val="24"/>
        </w:rPr>
      </w:pPr>
    </w:p>
    <w:p w14:paraId="432957C6" w14:textId="05234233" w:rsidR="003E50EF" w:rsidRPr="005D3F76" w:rsidRDefault="003E50EF" w:rsidP="001D2920">
      <w:pPr>
        <w:spacing w:line="240" w:lineRule="auto"/>
        <w:rPr>
          <w:rFonts w:cs="Times New Roman"/>
          <w:szCs w:val="24"/>
          <w:u w:val="single"/>
        </w:rPr>
      </w:pP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u w:val="single"/>
        </w:rPr>
        <w:t xml:space="preserve"> Barbara Thayer-Bacon</w:t>
      </w:r>
      <w:r w:rsidR="009C36B6" w:rsidRPr="005D3F76">
        <w:rPr>
          <w:rFonts w:cs="Times New Roman"/>
          <w:szCs w:val="24"/>
          <w:u w:val="single"/>
        </w:rPr>
        <w:tab/>
      </w:r>
    </w:p>
    <w:p w14:paraId="2B86A6F6" w14:textId="42085A8D" w:rsidR="003E50EF" w:rsidRPr="005D3F76" w:rsidRDefault="003E50EF" w:rsidP="001D2920">
      <w:pPr>
        <w:spacing w:line="240" w:lineRule="auto"/>
        <w:rPr>
          <w:rFonts w:cs="Times New Roman"/>
          <w:szCs w:val="24"/>
        </w:rPr>
      </w:pP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r>
      <w:r w:rsidRPr="005D3F76">
        <w:rPr>
          <w:rFonts w:cs="Times New Roman"/>
          <w:szCs w:val="24"/>
        </w:rPr>
        <w:tab/>
        <w:t>Major Professor</w:t>
      </w:r>
    </w:p>
    <w:p w14:paraId="5586A1AC" w14:textId="58265170" w:rsidR="003E50EF" w:rsidRPr="005D3F76" w:rsidRDefault="003E50EF" w:rsidP="001D2920">
      <w:pPr>
        <w:spacing w:line="240" w:lineRule="auto"/>
        <w:rPr>
          <w:rFonts w:cs="Times New Roman"/>
          <w:szCs w:val="24"/>
        </w:rPr>
      </w:pPr>
    </w:p>
    <w:p w14:paraId="510F1CB7" w14:textId="5E43D622" w:rsidR="003E50EF" w:rsidRPr="005D3F76" w:rsidRDefault="003E50EF" w:rsidP="001D2920">
      <w:pPr>
        <w:spacing w:line="240" w:lineRule="auto"/>
        <w:rPr>
          <w:rFonts w:cs="Times New Roman"/>
          <w:szCs w:val="24"/>
        </w:rPr>
      </w:pPr>
      <w:r w:rsidRPr="005D3F76">
        <w:rPr>
          <w:rFonts w:cs="Times New Roman"/>
          <w:szCs w:val="24"/>
        </w:rPr>
        <w:t>We have read this dissertation</w:t>
      </w:r>
    </w:p>
    <w:p w14:paraId="6B7ABC7A" w14:textId="3E34FA42" w:rsidR="003E50EF" w:rsidRPr="005D3F76" w:rsidRDefault="003E50EF" w:rsidP="001D2920">
      <w:pPr>
        <w:spacing w:line="240" w:lineRule="auto"/>
        <w:rPr>
          <w:rFonts w:cs="Times New Roman"/>
          <w:szCs w:val="24"/>
        </w:rPr>
      </w:pPr>
      <w:r w:rsidRPr="005D3F76">
        <w:rPr>
          <w:rFonts w:cs="Times New Roman"/>
          <w:szCs w:val="24"/>
        </w:rPr>
        <w:t>and recommend its acceptance:</w:t>
      </w:r>
    </w:p>
    <w:p w14:paraId="11718421" w14:textId="403B0031" w:rsidR="003E50EF" w:rsidRPr="005D3F76" w:rsidRDefault="003E50EF" w:rsidP="001D2920">
      <w:pPr>
        <w:spacing w:line="240" w:lineRule="auto"/>
        <w:rPr>
          <w:rFonts w:cs="Times New Roman"/>
          <w:szCs w:val="24"/>
        </w:rPr>
      </w:pPr>
    </w:p>
    <w:p w14:paraId="32831E29" w14:textId="77777777" w:rsidR="003E50EF" w:rsidRPr="005D3F76" w:rsidRDefault="003E50EF" w:rsidP="001D2920">
      <w:pPr>
        <w:spacing w:line="240" w:lineRule="auto"/>
        <w:rPr>
          <w:rFonts w:cs="Times New Roman"/>
          <w:szCs w:val="24"/>
        </w:rPr>
      </w:pPr>
    </w:p>
    <w:p w14:paraId="0CF11963" w14:textId="12C52B37" w:rsidR="003E50EF" w:rsidRPr="005D3F76" w:rsidRDefault="009C36B6" w:rsidP="001D2920">
      <w:pPr>
        <w:spacing w:line="240" w:lineRule="auto"/>
        <w:rPr>
          <w:rFonts w:cs="Times New Roman"/>
          <w:szCs w:val="24"/>
          <w:u w:val="single"/>
        </w:rPr>
      </w:pPr>
      <w:r w:rsidRPr="005D3F76">
        <w:rPr>
          <w:rFonts w:cs="Times New Roman"/>
          <w:szCs w:val="24"/>
          <w:u w:val="single"/>
        </w:rPr>
        <w:t xml:space="preserve"> David Houston</w:t>
      </w:r>
      <w:r w:rsidRPr="005D3F76">
        <w:rPr>
          <w:rFonts w:cs="Times New Roman"/>
          <w:szCs w:val="24"/>
          <w:u w:val="single"/>
        </w:rPr>
        <w:tab/>
      </w:r>
      <w:r w:rsidRPr="005D3F76">
        <w:rPr>
          <w:rFonts w:cs="Times New Roman"/>
          <w:szCs w:val="24"/>
          <w:u w:val="single"/>
        </w:rPr>
        <w:tab/>
      </w:r>
    </w:p>
    <w:p w14:paraId="73852A0D" w14:textId="79B9FBCA" w:rsidR="003E50EF" w:rsidRPr="005D3F76" w:rsidRDefault="003E50EF" w:rsidP="001D2920">
      <w:pPr>
        <w:spacing w:line="240" w:lineRule="auto"/>
        <w:rPr>
          <w:rFonts w:cs="Times New Roman"/>
          <w:szCs w:val="24"/>
          <w:u w:val="single"/>
        </w:rPr>
      </w:pPr>
    </w:p>
    <w:p w14:paraId="6EFD6D04" w14:textId="77777777" w:rsidR="003E50EF" w:rsidRPr="005D3F76" w:rsidRDefault="003E50EF" w:rsidP="001D2920">
      <w:pPr>
        <w:spacing w:line="240" w:lineRule="auto"/>
        <w:rPr>
          <w:rFonts w:cs="Times New Roman"/>
          <w:szCs w:val="24"/>
          <w:u w:val="single"/>
        </w:rPr>
      </w:pPr>
    </w:p>
    <w:p w14:paraId="3C5A4CB3" w14:textId="4F8C12E9" w:rsidR="003E50EF" w:rsidRPr="005D3F76" w:rsidRDefault="009C36B6" w:rsidP="001D2920">
      <w:pPr>
        <w:spacing w:line="240" w:lineRule="auto"/>
        <w:rPr>
          <w:rFonts w:cs="Times New Roman"/>
          <w:szCs w:val="24"/>
          <w:u w:val="single"/>
        </w:rPr>
      </w:pPr>
      <w:r w:rsidRPr="005D3F76">
        <w:rPr>
          <w:rFonts w:cs="Times New Roman"/>
          <w:szCs w:val="24"/>
          <w:u w:val="single"/>
        </w:rPr>
        <w:t xml:space="preserve"> Ralph Brockett</w:t>
      </w:r>
      <w:r w:rsidRPr="005D3F76">
        <w:rPr>
          <w:rFonts w:cs="Times New Roman"/>
          <w:szCs w:val="24"/>
          <w:u w:val="single"/>
        </w:rPr>
        <w:tab/>
      </w:r>
      <w:r w:rsidRPr="005D3F76">
        <w:rPr>
          <w:rFonts w:cs="Times New Roman"/>
          <w:szCs w:val="24"/>
          <w:u w:val="single"/>
        </w:rPr>
        <w:tab/>
      </w:r>
    </w:p>
    <w:p w14:paraId="70165DC5" w14:textId="420B164E" w:rsidR="003E50EF" w:rsidRPr="005D3F76" w:rsidRDefault="003E50EF" w:rsidP="001D2920">
      <w:pPr>
        <w:spacing w:line="240" w:lineRule="auto"/>
        <w:rPr>
          <w:rFonts w:cs="Times New Roman"/>
          <w:szCs w:val="24"/>
          <w:u w:val="single"/>
        </w:rPr>
      </w:pPr>
    </w:p>
    <w:p w14:paraId="3E63858E" w14:textId="77777777" w:rsidR="003E50EF" w:rsidRPr="005D3F76" w:rsidRDefault="003E50EF" w:rsidP="001D2920">
      <w:pPr>
        <w:spacing w:line="240" w:lineRule="auto"/>
        <w:rPr>
          <w:rFonts w:cs="Times New Roman"/>
          <w:szCs w:val="24"/>
          <w:u w:val="single"/>
        </w:rPr>
      </w:pPr>
    </w:p>
    <w:p w14:paraId="2C375F7E" w14:textId="5A30C61D" w:rsidR="003E50EF" w:rsidRPr="005D3F76" w:rsidRDefault="009C36B6" w:rsidP="001D2920">
      <w:pPr>
        <w:spacing w:line="240" w:lineRule="auto"/>
        <w:rPr>
          <w:rFonts w:cs="Times New Roman"/>
          <w:szCs w:val="24"/>
          <w:u w:val="single"/>
        </w:rPr>
      </w:pPr>
      <w:r w:rsidRPr="005D3F76">
        <w:rPr>
          <w:rFonts w:cs="Times New Roman"/>
          <w:szCs w:val="24"/>
          <w:u w:val="single"/>
        </w:rPr>
        <w:t>Michael Fitzgerald</w:t>
      </w:r>
      <w:r w:rsidRPr="005D3F76">
        <w:rPr>
          <w:rFonts w:cs="Times New Roman"/>
          <w:szCs w:val="24"/>
          <w:u w:val="single"/>
        </w:rPr>
        <w:tab/>
      </w:r>
      <w:r w:rsidRPr="005D3F76">
        <w:rPr>
          <w:rFonts w:cs="Times New Roman"/>
          <w:szCs w:val="24"/>
          <w:u w:val="single"/>
        </w:rPr>
        <w:tab/>
      </w:r>
    </w:p>
    <w:p w14:paraId="5C2461DA" w14:textId="77777777" w:rsidR="003E50EF" w:rsidRPr="005D3F76" w:rsidRDefault="003E50EF" w:rsidP="0012433F">
      <w:pPr>
        <w:pStyle w:val="Title"/>
        <w:rPr>
          <w:sz w:val="32"/>
          <w:szCs w:val="32"/>
        </w:rPr>
      </w:pPr>
    </w:p>
    <w:p w14:paraId="2FB26D01" w14:textId="4DACC397" w:rsidR="003E50EF" w:rsidRPr="005D3F76" w:rsidRDefault="003E50EF" w:rsidP="003E50EF">
      <w:pPr>
        <w:pStyle w:val="Title"/>
        <w:jc w:val="left"/>
        <w:rPr>
          <w:b w:val="0"/>
        </w:rPr>
      </w:pPr>
      <w:r w:rsidRPr="005D3F76">
        <w:rPr>
          <w:sz w:val="32"/>
          <w:szCs w:val="32"/>
        </w:rPr>
        <w:tab/>
      </w:r>
      <w:r w:rsidRPr="005D3F76">
        <w:rPr>
          <w:sz w:val="32"/>
          <w:szCs w:val="32"/>
        </w:rPr>
        <w:tab/>
      </w:r>
      <w:r w:rsidRPr="005D3F76">
        <w:rPr>
          <w:sz w:val="32"/>
          <w:szCs w:val="32"/>
        </w:rPr>
        <w:tab/>
      </w:r>
      <w:r w:rsidRPr="005D3F76">
        <w:rPr>
          <w:sz w:val="32"/>
          <w:szCs w:val="32"/>
        </w:rPr>
        <w:tab/>
      </w:r>
      <w:r w:rsidRPr="005D3F76">
        <w:rPr>
          <w:sz w:val="32"/>
          <w:szCs w:val="32"/>
        </w:rPr>
        <w:tab/>
      </w:r>
      <w:r w:rsidRPr="005D3F76">
        <w:rPr>
          <w:sz w:val="32"/>
          <w:szCs w:val="32"/>
        </w:rPr>
        <w:tab/>
      </w:r>
      <w:r w:rsidRPr="005D3F76">
        <w:rPr>
          <w:sz w:val="32"/>
          <w:szCs w:val="32"/>
        </w:rPr>
        <w:tab/>
      </w:r>
      <w:r w:rsidRPr="005D3F76">
        <w:rPr>
          <w:sz w:val="32"/>
          <w:szCs w:val="32"/>
        </w:rPr>
        <w:tab/>
      </w:r>
      <w:r w:rsidRPr="005D3F76">
        <w:rPr>
          <w:b w:val="0"/>
        </w:rPr>
        <w:t>Accepted for the Council:</w:t>
      </w:r>
    </w:p>
    <w:p w14:paraId="77D853B7" w14:textId="0425E0CA" w:rsidR="003E50EF" w:rsidRPr="005D3F76" w:rsidRDefault="003E50EF" w:rsidP="003E50EF">
      <w:pPr>
        <w:spacing w:line="240" w:lineRule="auto"/>
        <w:rPr>
          <w:rFonts w:cs="Times New Roman"/>
        </w:rPr>
      </w:pP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p>
    <w:p w14:paraId="3C2D5CC1" w14:textId="622E72DF" w:rsidR="003E50EF" w:rsidRPr="005D3F76" w:rsidRDefault="003E50EF" w:rsidP="003E50EF">
      <w:pPr>
        <w:spacing w:line="240" w:lineRule="auto"/>
        <w:rPr>
          <w:rFonts w:cs="Times New Roman"/>
        </w:rPr>
      </w:pPr>
    </w:p>
    <w:p w14:paraId="4353262A" w14:textId="7C7FCCBB" w:rsidR="003E50EF" w:rsidRPr="005D3F76" w:rsidRDefault="003E50EF" w:rsidP="003E50EF">
      <w:pPr>
        <w:spacing w:line="240" w:lineRule="auto"/>
        <w:rPr>
          <w:rFonts w:cs="Times New Roman"/>
          <w:u w:val="single"/>
        </w:rPr>
      </w:pP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009C36B6" w:rsidRPr="005D3F76">
        <w:rPr>
          <w:rFonts w:cs="Times New Roman"/>
          <w:u w:val="single"/>
        </w:rPr>
        <w:t xml:space="preserve"> Carolyn R. Hodges</w:t>
      </w:r>
      <w:r w:rsidR="009C36B6" w:rsidRPr="005D3F76">
        <w:rPr>
          <w:rFonts w:cs="Times New Roman"/>
          <w:u w:val="single"/>
        </w:rPr>
        <w:tab/>
      </w:r>
      <w:r w:rsidR="009C36B6" w:rsidRPr="005D3F76">
        <w:rPr>
          <w:rFonts w:cs="Times New Roman"/>
          <w:u w:val="single"/>
        </w:rPr>
        <w:tab/>
      </w:r>
    </w:p>
    <w:p w14:paraId="07002176" w14:textId="7EB2B25E" w:rsidR="003E50EF" w:rsidRPr="005D3F76" w:rsidRDefault="003E50EF" w:rsidP="003E50EF">
      <w:pPr>
        <w:spacing w:line="240" w:lineRule="auto"/>
        <w:rPr>
          <w:rFonts w:cs="Times New Roman"/>
        </w:rPr>
      </w:pP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t>Vice Provost and</w:t>
      </w:r>
    </w:p>
    <w:p w14:paraId="2871CC7E" w14:textId="255B4574" w:rsidR="003E50EF" w:rsidRPr="005D3F76" w:rsidRDefault="003E50EF" w:rsidP="003E50EF">
      <w:pPr>
        <w:spacing w:line="240" w:lineRule="auto"/>
        <w:rPr>
          <w:rFonts w:cs="Times New Roman"/>
        </w:rPr>
      </w:pP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r>
      <w:r w:rsidRPr="005D3F76">
        <w:rPr>
          <w:rFonts w:cs="Times New Roman"/>
        </w:rPr>
        <w:tab/>
        <w:t>Dean of the Graduate School</w:t>
      </w:r>
    </w:p>
    <w:p w14:paraId="3984396D" w14:textId="6E992C1B" w:rsidR="003E50EF" w:rsidRPr="005D3F76" w:rsidRDefault="003E50EF" w:rsidP="003E50EF">
      <w:pPr>
        <w:spacing w:line="240" w:lineRule="auto"/>
        <w:rPr>
          <w:rFonts w:cs="Times New Roman"/>
        </w:rPr>
      </w:pPr>
    </w:p>
    <w:p w14:paraId="053E058B" w14:textId="0B31E5D6" w:rsidR="003E50EF" w:rsidRPr="005D3F76" w:rsidRDefault="003E50EF" w:rsidP="003E50EF">
      <w:pPr>
        <w:spacing w:line="240" w:lineRule="auto"/>
        <w:rPr>
          <w:rFonts w:cs="Times New Roman"/>
        </w:rPr>
      </w:pPr>
    </w:p>
    <w:p w14:paraId="144AFDDD" w14:textId="669AB943" w:rsidR="003E50EF" w:rsidRPr="005D3F76" w:rsidRDefault="003E50EF" w:rsidP="003E50EF">
      <w:pPr>
        <w:spacing w:line="240" w:lineRule="auto"/>
        <w:rPr>
          <w:rFonts w:cs="Times New Roman"/>
        </w:rPr>
      </w:pPr>
    </w:p>
    <w:p w14:paraId="58C2294A" w14:textId="7EE6CFD6" w:rsidR="003E50EF" w:rsidRPr="005D3F76" w:rsidRDefault="003E50EF" w:rsidP="003E50EF">
      <w:pPr>
        <w:spacing w:line="240" w:lineRule="auto"/>
        <w:rPr>
          <w:rFonts w:cs="Times New Roman"/>
        </w:rPr>
      </w:pPr>
    </w:p>
    <w:p w14:paraId="77C0337C" w14:textId="238407DF" w:rsidR="003E50EF" w:rsidRPr="005D3F76" w:rsidRDefault="003E50EF" w:rsidP="003E50EF">
      <w:pPr>
        <w:spacing w:line="240" w:lineRule="auto"/>
        <w:rPr>
          <w:rFonts w:cs="Times New Roman"/>
        </w:rPr>
      </w:pPr>
    </w:p>
    <w:p w14:paraId="1B2EB82D" w14:textId="1344D8A5" w:rsidR="003E50EF" w:rsidRPr="005D3F76" w:rsidRDefault="003E50EF" w:rsidP="003E50EF">
      <w:pPr>
        <w:spacing w:line="240" w:lineRule="auto"/>
        <w:jc w:val="center"/>
        <w:rPr>
          <w:rFonts w:cs="Times New Roman"/>
        </w:rPr>
      </w:pPr>
      <w:r w:rsidRPr="005D3F76">
        <w:rPr>
          <w:rFonts w:cs="Times New Roman"/>
        </w:rPr>
        <w:t>(Original signatures are on file with official student records.)</w:t>
      </w:r>
    </w:p>
    <w:p w14:paraId="6EFF3F67" w14:textId="77777777" w:rsidR="003E50EF" w:rsidRPr="005D3F76" w:rsidRDefault="003E50EF" w:rsidP="003E50EF">
      <w:pPr>
        <w:spacing w:line="240" w:lineRule="auto"/>
        <w:jc w:val="center"/>
        <w:rPr>
          <w:rFonts w:cs="Times New Roman"/>
        </w:rPr>
        <w:sectPr w:rsidR="003E50EF" w:rsidRPr="005D3F76" w:rsidSect="007A5D55">
          <w:headerReference w:type="default" r:id="rId8"/>
          <w:footerReference w:type="default" r:id="rId9"/>
          <w:endnotePr>
            <w:numRestart w:val="eachSect"/>
          </w:endnotePr>
          <w:pgSz w:w="12240" w:h="15840"/>
          <w:pgMar w:top="1440" w:right="1440" w:bottom="1440" w:left="1440" w:header="720" w:footer="720" w:gutter="0"/>
          <w:pgNumType w:fmt="lowerRoman"/>
          <w:cols w:space="720"/>
          <w:vAlign w:val="center"/>
          <w:docGrid w:linePitch="360"/>
        </w:sectPr>
      </w:pPr>
    </w:p>
    <w:p w14:paraId="2356AD19" w14:textId="2D098B40" w:rsidR="0012433F" w:rsidRPr="005D3F76" w:rsidRDefault="0012433F" w:rsidP="0012433F">
      <w:pPr>
        <w:pStyle w:val="Title"/>
        <w:rPr>
          <w:sz w:val="32"/>
          <w:szCs w:val="32"/>
        </w:rPr>
      </w:pPr>
      <w:r w:rsidRPr="005D3F76">
        <w:rPr>
          <w:sz w:val="32"/>
          <w:szCs w:val="32"/>
        </w:rPr>
        <w:lastRenderedPageBreak/>
        <w:t>Viewing Power, Politics, and Loss:</w:t>
      </w:r>
    </w:p>
    <w:p w14:paraId="4F3B4A95" w14:textId="73CC78C3" w:rsidR="0012433F" w:rsidRPr="005D3F76" w:rsidRDefault="0012433F" w:rsidP="0012433F">
      <w:pPr>
        <w:pStyle w:val="Title"/>
        <w:rPr>
          <w:sz w:val="32"/>
          <w:szCs w:val="32"/>
        </w:rPr>
      </w:pPr>
      <w:r w:rsidRPr="005D3F76">
        <w:rPr>
          <w:sz w:val="32"/>
          <w:szCs w:val="32"/>
        </w:rPr>
        <w:t>A Critical Discourse Analysis of the Mass Media’s Rep</w:t>
      </w:r>
      <w:r w:rsidR="00E4154F" w:rsidRPr="005D3F76">
        <w:rPr>
          <w:sz w:val="32"/>
          <w:szCs w:val="32"/>
        </w:rPr>
        <w:t>resentations</w:t>
      </w:r>
      <w:r w:rsidRPr="005D3F76">
        <w:rPr>
          <w:sz w:val="32"/>
          <w:szCs w:val="32"/>
        </w:rPr>
        <w:t xml:space="preserve"> of Teacher Unions in the United States and the Consequences Concerning Policy</w:t>
      </w:r>
    </w:p>
    <w:p w14:paraId="30A9204E" w14:textId="77777777" w:rsidR="0012433F" w:rsidRPr="005D3F76" w:rsidRDefault="0012433F" w:rsidP="0012433F">
      <w:pPr>
        <w:rPr>
          <w:rFonts w:cs="Times New Roman"/>
          <w:sz w:val="32"/>
          <w:szCs w:val="32"/>
        </w:rPr>
      </w:pPr>
    </w:p>
    <w:p w14:paraId="63491292" w14:textId="77777777" w:rsidR="0012433F" w:rsidRPr="005D3F76" w:rsidRDefault="0012433F" w:rsidP="0012433F">
      <w:pPr>
        <w:rPr>
          <w:rFonts w:cs="Times New Roman"/>
          <w:sz w:val="32"/>
          <w:szCs w:val="32"/>
        </w:rPr>
      </w:pPr>
    </w:p>
    <w:p w14:paraId="055A5AC3" w14:textId="77777777" w:rsidR="0012433F" w:rsidRPr="005D3F76" w:rsidRDefault="0012433F" w:rsidP="0012433F">
      <w:pPr>
        <w:rPr>
          <w:rFonts w:cs="Times New Roman"/>
          <w:sz w:val="32"/>
          <w:szCs w:val="32"/>
        </w:rPr>
      </w:pPr>
    </w:p>
    <w:p w14:paraId="765897A5" w14:textId="0EE1F094" w:rsidR="0012433F" w:rsidRPr="005D3F76" w:rsidRDefault="0012433F" w:rsidP="0012433F">
      <w:pPr>
        <w:spacing w:line="240" w:lineRule="auto"/>
        <w:jc w:val="center"/>
        <w:rPr>
          <w:rFonts w:cs="Times New Roman"/>
          <w:sz w:val="32"/>
          <w:szCs w:val="32"/>
        </w:rPr>
      </w:pPr>
      <w:r w:rsidRPr="005D3F76">
        <w:rPr>
          <w:rFonts w:cs="Times New Roman"/>
          <w:sz w:val="32"/>
          <w:szCs w:val="32"/>
        </w:rPr>
        <w:t>A Dissertation Presented for</w:t>
      </w:r>
      <w:r w:rsidR="001B1E2A" w:rsidRPr="005D3F76">
        <w:rPr>
          <w:rFonts w:cs="Times New Roman"/>
          <w:sz w:val="32"/>
          <w:szCs w:val="32"/>
        </w:rPr>
        <w:t xml:space="preserve"> the</w:t>
      </w:r>
    </w:p>
    <w:p w14:paraId="3FBE869C" w14:textId="1B43B0CA" w:rsidR="0012433F" w:rsidRPr="005D3F76" w:rsidRDefault="0012433F" w:rsidP="0012433F">
      <w:pPr>
        <w:spacing w:line="240" w:lineRule="auto"/>
        <w:jc w:val="center"/>
        <w:rPr>
          <w:rFonts w:cs="Times New Roman"/>
          <w:sz w:val="32"/>
          <w:szCs w:val="32"/>
        </w:rPr>
      </w:pPr>
      <w:r w:rsidRPr="005D3F76">
        <w:rPr>
          <w:rFonts w:cs="Times New Roman"/>
          <w:sz w:val="32"/>
          <w:szCs w:val="32"/>
        </w:rPr>
        <w:t>Doctor of Philosophy</w:t>
      </w:r>
    </w:p>
    <w:p w14:paraId="0B3ED748" w14:textId="77777777" w:rsidR="0012433F" w:rsidRPr="005D3F76" w:rsidRDefault="0012433F" w:rsidP="0012433F">
      <w:pPr>
        <w:spacing w:line="240" w:lineRule="auto"/>
        <w:jc w:val="center"/>
        <w:rPr>
          <w:rFonts w:cs="Times New Roman"/>
          <w:sz w:val="32"/>
          <w:szCs w:val="32"/>
        </w:rPr>
      </w:pPr>
      <w:r w:rsidRPr="005D3F76">
        <w:rPr>
          <w:rFonts w:cs="Times New Roman"/>
          <w:sz w:val="32"/>
          <w:szCs w:val="32"/>
        </w:rPr>
        <w:t>Degree</w:t>
      </w:r>
    </w:p>
    <w:p w14:paraId="04D59903" w14:textId="77777777" w:rsidR="0012433F" w:rsidRPr="005D3F76" w:rsidRDefault="0012433F" w:rsidP="0012433F">
      <w:pPr>
        <w:spacing w:line="240" w:lineRule="auto"/>
        <w:jc w:val="center"/>
        <w:rPr>
          <w:rFonts w:cs="Times New Roman"/>
          <w:sz w:val="32"/>
          <w:szCs w:val="32"/>
        </w:rPr>
      </w:pPr>
      <w:r w:rsidRPr="005D3F76">
        <w:rPr>
          <w:rFonts w:cs="Times New Roman"/>
          <w:sz w:val="32"/>
          <w:szCs w:val="32"/>
        </w:rPr>
        <w:t>The University of Tennessee, Knoxville</w:t>
      </w:r>
    </w:p>
    <w:p w14:paraId="115BAFE1" w14:textId="77777777" w:rsidR="0012433F" w:rsidRPr="005D3F76" w:rsidRDefault="0012433F" w:rsidP="0012433F">
      <w:pPr>
        <w:spacing w:line="240" w:lineRule="auto"/>
        <w:jc w:val="center"/>
        <w:rPr>
          <w:rFonts w:cs="Times New Roman"/>
          <w:sz w:val="32"/>
          <w:szCs w:val="32"/>
        </w:rPr>
      </w:pPr>
    </w:p>
    <w:p w14:paraId="05770F87" w14:textId="77777777" w:rsidR="0012433F" w:rsidRPr="005D3F76" w:rsidRDefault="0012433F" w:rsidP="0012433F">
      <w:pPr>
        <w:spacing w:line="240" w:lineRule="auto"/>
        <w:jc w:val="center"/>
        <w:rPr>
          <w:rFonts w:cs="Times New Roman"/>
          <w:sz w:val="32"/>
          <w:szCs w:val="32"/>
        </w:rPr>
      </w:pPr>
    </w:p>
    <w:p w14:paraId="439B57C7" w14:textId="77777777" w:rsidR="009A00EB" w:rsidRPr="005D3F76" w:rsidRDefault="009A00EB" w:rsidP="0012433F">
      <w:pPr>
        <w:spacing w:line="240" w:lineRule="auto"/>
        <w:jc w:val="center"/>
        <w:rPr>
          <w:rFonts w:cs="Times New Roman"/>
          <w:sz w:val="32"/>
          <w:szCs w:val="32"/>
        </w:rPr>
      </w:pPr>
    </w:p>
    <w:p w14:paraId="39834DCD" w14:textId="77777777" w:rsidR="009A00EB" w:rsidRPr="005D3F76" w:rsidRDefault="009A00EB" w:rsidP="0012433F">
      <w:pPr>
        <w:spacing w:line="240" w:lineRule="auto"/>
        <w:jc w:val="center"/>
        <w:rPr>
          <w:rFonts w:cs="Times New Roman"/>
          <w:sz w:val="32"/>
          <w:szCs w:val="32"/>
        </w:rPr>
      </w:pPr>
    </w:p>
    <w:p w14:paraId="7D4C8983" w14:textId="77777777" w:rsidR="009A00EB" w:rsidRPr="005D3F76" w:rsidRDefault="009A00EB" w:rsidP="0012433F">
      <w:pPr>
        <w:spacing w:line="240" w:lineRule="auto"/>
        <w:jc w:val="center"/>
        <w:rPr>
          <w:rFonts w:cs="Times New Roman"/>
          <w:sz w:val="32"/>
          <w:szCs w:val="32"/>
        </w:rPr>
      </w:pPr>
    </w:p>
    <w:p w14:paraId="7C4450D6" w14:textId="77777777" w:rsidR="009A00EB" w:rsidRPr="005D3F76" w:rsidRDefault="009A00EB" w:rsidP="0012433F">
      <w:pPr>
        <w:spacing w:line="240" w:lineRule="auto"/>
        <w:jc w:val="center"/>
        <w:rPr>
          <w:rFonts w:cs="Times New Roman"/>
          <w:sz w:val="32"/>
          <w:szCs w:val="32"/>
        </w:rPr>
      </w:pPr>
    </w:p>
    <w:p w14:paraId="63DE1175" w14:textId="77777777" w:rsidR="009A00EB" w:rsidRPr="005D3F76" w:rsidRDefault="009A00EB" w:rsidP="0012433F">
      <w:pPr>
        <w:spacing w:line="240" w:lineRule="auto"/>
        <w:jc w:val="center"/>
        <w:rPr>
          <w:rFonts w:cs="Times New Roman"/>
          <w:sz w:val="32"/>
          <w:szCs w:val="32"/>
        </w:rPr>
      </w:pPr>
    </w:p>
    <w:p w14:paraId="5950AF1C" w14:textId="77777777" w:rsidR="009A00EB" w:rsidRPr="005D3F76" w:rsidRDefault="009A00EB" w:rsidP="0012433F">
      <w:pPr>
        <w:spacing w:line="240" w:lineRule="auto"/>
        <w:jc w:val="center"/>
        <w:rPr>
          <w:rFonts w:cs="Times New Roman"/>
          <w:sz w:val="32"/>
          <w:szCs w:val="32"/>
        </w:rPr>
      </w:pPr>
    </w:p>
    <w:p w14:paraId="075ABDCF" w14:textId="77777777" w:rsidR="009A00EB" w:rsidRPr="005D3F76" w:rsidRDefault="009A00EB" w:rsidP="0012433F">
      <w:pPr>
        <w:spacing w:line="240" w:lineRule="auto"/>
        <w:jc w:val="center"/>
        <w:rPr>
          <w:rFonts w:cs="Times New Roman"/>
          <w:sz w:val="32"/>
          <w:szCs w:val="32"/>
        </w:rPr>
      </w:pPr>
    </w:p>
    <w:p w14:paraId="3F30729C" w14:textId="77777777" w:rsidR="009A00EB" w:rsidRPr="005D3F76" w:rsidRDefault="009A00EB" w:rsidP="0012433F">
      <w:pPr>
        <w:spacing w:line="240" w:lineRule="auto"/>
        <w:jc w:val="center"/>
        <w:rPr>
          <w:rFonts w:cs="Times New Roman"/>
          <w:sz w:val="32"/>
          <w:szCs w:val="32"/>
        </w:rPr>
      </w:pPr>
    </w:p>
    <w:p w14:paraId="40A99E4B" w14:textId="77777777" w:rsidR="009A00EB" w:rsidRPr="005D3F76" w:rsidRDefault="009A00EB" w:rsidP="0012433F">
      <w:pPr>
        <w:spacing w:line="240" w:lineRule="auto"/>
        <w:jc w:val="center"/>
        <w:rPr>
          <w:rFonts w:cs="Times New Roman"/>
          <w:sz w:val="32"/>
          <w:szCs w:val="32"/>
        </w:rPr>
      </w:pPr>
    </w:p>
    <w:p w14:paraId="462A71FF" w14:textId="77777777" w:rsidR="0012433F" w:rsidRPr="005D3F76" w:rsidRDefault="0012433F" w:rsidP="0012433F">
      <w:pPr>
        <w:spacing w:line="240" w:lineRule="auto"/>
        <w:jc w:val="center"/>
        <w:rPr>
          <w:rFonts w:cs="Times New Roman"/>
          <w:sz w:val="32"/>
          <w:szCs w:val="32"/>
        </w:rPr>
      </w:pPr>
    </w:p>
    <w:p w14:paraId="656419CD" w14:textId="77777777" w:rsidR="0012433F" w:rsidRPr="005D3F76" w:rsidRDefault="0012433F" w:rsidP="0012433F">
      <w:pPr>
        <w:spacing w:line="240" w:lineRule="auto"/>
        <w:jc w:val="center"/>
        <w:rPr>
          <w:rFonts w:cs="Times New Roman"/>
          <w:sz w:val="32"/>
          <w:szCs w:val="32"/>
        </w:rPr>
      </w:pPr>
    </w:p>
    <w:p w14:paraId="4C3EC954" w14:textId="77777777" w:rsidR="0012433F" w:rsidRPr="005D3F76" w:rsidRDefault="0012433F" w:rsidP="0012433F">
      <w:pPr>
        <w:spacing w:line="240" w:lineRule="auto"/>
        <w:jc w:val="center"/>
        <w:rPr>
          <w:rFonts w:cs="Times New Roman"/>
          <w:sz w:val="32"/>
          <w:szCs w:val="32"/>
        </w:rPr>
      </w:pPr>
    </w:p>
    <w:p w14:paraId="1FBE7F06" w14:textId="77777777" w:rsidR="0012433F" w:rsidRPr="005D3F76" w:rsidRDefault="0012433F" w:rsidP="0012433F">
      <w:pPr>
        <w:spacing w:line="240" w:lineRule="auto"/>
        <w:jc w:val="center"/>
        <w:rPr>
          <w:rFonts w:cs="Times New Roman"/>
          <w:sz w:val="32"/>
          <w:szCs w:val="32"/>
        </w:rPr>
      </w:pPr>
    </w:p>
    <w:p w14:paraId="6A1BC50C" w14:textId="77777777" w:rsidR="0012433F" w:rsidRPr="005D3F76" w:rsidRDefault="0012433F" w:rsidP="0012433F">
      <w:pPr>
        <w:spacing w:line="240" w:lineRule="auto"/>
        <w:jc w:val="center"/>
        <w:rPr>
          <w:rFonts w:cs="Times New Roman"/>
          <w:sz w:val="32"/>
          <w:szCs w:val="32"/>
        </w:rPr>
      </w:pPr>
    </w:p>
    <w:p w14:paraId="46633C38" w14:textId="77777777" w:rsidR="0012433F" w:rsidRPr="005D3F76" w:rsidRDefault="0012433F" w:rsidP="0012433F">
      <w:pPr>
        <w:spacing w:line="240" w:lineRule="auto"/>
        <w:jc w:val="center"/>
        <w:rPr>
          <w:rFonts w:cs="Times New Roman"/>
          <w:sz w:val="32"/>
          <w:szCs w:val="32"/>
        </w:rPr>
      </w:pPr>
      <w:r w:rsidRPr="005D3F76">
        <w:rPr>
          <w:rFonts w:cs="Times New Roman"/>
          <w:sz w:val="32"/>
          <w:szCs w:val="32"/>
        </w:rPr>
        <w:t>Melissa Ann Harness</w:t>
      </w:r>
    </w:p>
    <w:p w14:paraId="680A0888" w14:textId="10B929E6" w:rsidR="00A3521D" w:rsidRPr="005D3F76" w:rsidRDefault="001B1E2A" w:rsidP="009A00EB">
      <w:pPr>
        <w:spacing w:line="240" w:lineRule="auto"/>
        <w:jc w:val="center"/>
        <w:rPr>
          <w:rFonts w:cs="Times New Roman"/>
          <w:sz w:val="32"/>
          <w:szCs w:val="32"/>
        </w:rPr>
      </w:pPr>
      <w:r w:rsidRPr="005D3F76">
        <w:rPr>
          <w:rFonts w:cs="Times New Roman"/>
          <w:sz w:val="32"/>
          <w:szCs w:val="32"/>
        </w:rPr>
        <w:t>December</w:t>
      </w:r>
      <w:r w:rsidR="0012433F" w:rsidRPr="005D3F76">
        <w:rPr>
          <w:rFonts w:cs="Times New Roman"/>
          <w:sz w:val="32"/>
          <w:szCs w:val="32"/>
        </w:rPr>
        <w:t xml:space="preserve"> 2016</w:t>
      </w:r>
    </w:p>
    <w:p w14:paraId="2A8907A4" w14:textId="77777777" w:rsidR="00A3521D" w:rsidRPr="005D3F76" w:rsidRDefault="00A3521D">
      <w:pPr>
        <w:spacing w:after="160" w:line="259" w:lineRule="auto"/>
        <w:rPr>
          <w:rFonts w:cs="Times New Roman"/>
          <w:sz w:val="32"/>
          <w:szCs w:val="32"/>
        </w:rPr>
      </w:pPr>
      <w:r w:rsidRPr="005D3F76">
        <w:rPr>
          <w:rFonts w:cs="Times New Roman"/>
          <w:sz w:val="32"/>
          <w:szCs w:val="32"/>
        </w:rPr>
        <w:br w:type="page"/>
      </w:r>
    </w:p>
    <w:p w14:paraId="012BA859" w14:textId="77777777" w:rsidR="00A3521D" w:rsidRPr="005D3F76" w:rsidRDefault="00A3521D" w:rsidP="00A3521D">
      <w:pPr>
        <w:spacing w:line="240" w:lineRule="auto"/>
        <w:jc w:val="center"/>
        <w:rPr>
          <w:rFonts w:cs="Times New Roman"/>
        </w:rPr>
      </w:pPr>
      <w:r w:rsidRPr="005D3F76">
        <w:rPr>
          <w:rFonts w:cs="Times New Roman"/>
        </w:rPr>
        <w:lastRenderedPageBreak/>
        <w:t>Copyright © 2016 by Melissa Ann Harness</w:t>
      </w:r>
    </w:p>
    <w:p w14:paraId="02E601A1" w14:textId="77777777" w:rsidR="00A3521D" w:rsidRPr="005D3F76" w:rsidRDefault="00A3521D" w:rsidP="00A3521D">
      <w:pPr>
        <w:spacing w:line="240" w:lineRule="auto"/>
        <w:jc w:val="center"/>
        <w:rPr>
          <w:rFonts w:cs="Times New Roman"/>
          <w:b/>
        </w:rPr>
        <w:sectPr w:rsidR="00A3521D" w:rsidRPr="005D3F76" w:rsidSect="006F28A3">
          <w:headerReference w:type="default" r:id="rId10"/>
          <w:headerReference w:type="first" r:id="rId11"/>
          <w:endnotePr>
            <w:numRestart w:val="eachSect"/>
          </w:endnotePr>
          <w:pgSz w:w="12240" w:h="15840"/>
          <w:pgMar w:top="1440" w:right="1440" w:bottom="1440" w:left="1440" w:header="720" w:footer="720" w:gutter="0"/>
          <w:pgNumType w:fmt="lowerRoman" w:start="1"/>
          <w:cols w:space="720"/>
          <w:vAlign w:val="center"/>
          <w:titlePg/>
          <w:docGrid w:linePitch="360"/>
        </w:sectPr>
      </w:pPr>
      <w:r w:rsidRPr="005D3F76">
        <w:rPr>
          <w:rFonts w:cs="Times New Roman"/>
        </w:rPr>
        <w:t>All rights reserved.</w:t>
      </w:r>
    </w:p>
    <w:p w14:paraId="2C72A6E3" w14:textId="77777777" w:rsidR="00A3521D" w:rsidRPr="005D3F76" w:rsidRDefault="00A3521D" w:rsidP="00A3521D">
      <w:pPr>
        <w:spacing w:line="240" w:lineRule="auto"/>
        <w:rPr>
          <w:rFonts w:cs="Times New Roman"/>
        </w:rPr>
      </w:pPr>
      <w:r w:rsidRPr="005D3F76">
        <w:rPr>
          <w:rFonts w:cs="Times New Roman"/>
        </w:rPr>
        <w:lastRenderedPageBreak/>
        <w:t>This dissertation is dedicated to all those who asked me ‘Why?’ Expressly, my loving and often times frustrated husband, Adam.</w:t>
      </w:r>
    </w:p>
    <w:p w14:paraId="45791A8C" w14:textId="77777777" w:rsidR="00A3521D" w:rsidRPr="005D3F76" w:rsidRDefault="00A3521D" w:rsidP="00A3521D">
      <w:pPr>
        <w:spacing w:line="240" w:lineRule="auto"/>
        <w:rPr>
          <w:rFonts w:cs="Times New Roman"/>
        </w:rPr>
      </w:pPr>
    </w:p>
    <w:p w14:paraId="51FC3CA8" w14:textId="77777777" w:rsidR="00A3521D" w:rsidRPr="005D3F76" w:rsidRDefault="00A3521D" w:rsidP="00A3521D">
      <w:pPr>
        <w:spacing w:line="240" w:lineRule="auto"/>
        <w:rPr>
          <w:rFonts w:cs="Times New Roman"/>
        </w:rPr>
      </w:pPr>
      <w:r w:rsidRPr="005D3F76">
        <w:rPr>
          <w:rFonts w:cs="Times New Roman"/>
        </w:rPr>
        <w:t>‘Why are you doing this?’</w:t>
      </w:r>
    </w:p>
    <w:p w14:paraId="54AFE407" w14:textId="77777777" w:rsidR="00A3521D" w:rsidRPr="005D3F76" w:rsidRDefault="00A3521D" w:rsidP="00A3521D">
      <w:pPr>
        <w:spacing w:line="240" w:lineRule="auto"/>
        <w:rPr>
          <w:rFonts w:cs="Times New Roman"/>
        </w:rPr>
      </w:pPr>
      <w:r w:rsidRPr="005D3F76">
        <w:rPr>
          <w:rFonts w:cs="Times New Roman"/>
        </w:rPr>
        <w:t>‘Why are you not doing that?’</w:t>
      </w:r>
    </w:p>
    <w:p w14:paraId="7ACBC911" w14:textId="77777777" w:rsidR="00A3521D" w:rsidRPr="005D3F76" w:rsidRDefault="00A3521D" w:rsidP="00A3521D">
      <w:pPr>
        <w:spacing w:line="240" w:lineRule="auto"/>
        <w:rPr>
          <w:rFonts w:cs="Times New Roman"/>
        </w:rPr>
      </w:pPr>
      <w:r w:rsidRPr="005D3F76">
        <w:rPr>
          <w:rFonts w:cs="Times New Roman"/>
        </w:rPr>
        <w:t>‘Why would you even think about having done those?</w:t>
      </w:r>
    </w:p>
    <w:p w14:paraId="76ED79EC" w14:textId="77777777" w:rsidR="00A3521D" w:rsidRPr="005D3F76" w:rsidRDefault="00A3521D" w:rsidP="00A3521D">
      <w:pPr>
        <w:spacing w:line="240" w:lineRule="auto"/>
        <w:rPr>
          <w:rFonts w:cs="Times New Roman"/>
        </w:rPr>
      </w:pPr>
    </w:p>
    <w:p w14:paraId="0F6B508B" w14:textId="77777777" w:rsidR="00A3521D" w:rsidRPr="005D3F76" w:rsidRDefault="00A3521D" w:rsidP="00A3521D">
      <w:pPr>
        <w:spacing w:line="240" w:lineRule="auto"/>
        <w:rPr>
          <w:rFonts w:cs="Times New Roman"/>
        </w:rPr>
      </w:pPr>
      <w:r w:rsidRPr="005D3F76">
        <w:rPr>
          <w:rFonts w:cs="Times New Roman"/>
        </w:rPr>
        <w:t>The one ‘Why’ for you—</w:t>
      </w:r>
    </w:p>
    <w:p w14:paraId="22FD9713" w14:textId="77777777" w:rsidR="00A3521D" w:rsidRPr="005D3F76" w:rsidRDefault="00A3521D" w:rsidP="00A3521D">
      <w:pPr>
        <w:spacing w:line="240" w:lineRule="auto"/>
        <w:rPr>
          <w:rFonts w:cs="Times New Roman"/>
        </w:rPr>
      </w:pPr>
    </w:p>
    <w:p w14:paraId="75997EAE" w14:textId="77777777" w:rsidR="00A3521D" w:rsidRPr="005D3F76" w:rsidRDefault="00A3521D" w:rsidP="00A3521D">
      <w:pPr>
        <w:spacing w:line="240" w:lineRule="auto"/>
        <w:rPr>
          <w:rFonts w:cs="Times New Roman"/>
        </w:rPr>
      </w:pPr>
      <w:r w:rsidRPr="005D3F76">
        <w:rPr>
          <w:rFonts w:cs="Times New Roman"/>
        </w:rPr>
        <w:t>‘Why do you still love me so much?’</w:t>
      </w:r>
    </w:p>
    <w:p w14:paraId="5BD4E099" w14:textId="30480DFE" w:rsidR="00A3521D" w:rsidRPr="005D3F76" w:rsidRDefault="00A3521D">
      <w:pPr>
        <w:spacing w:after="160" w:line="259" w:lineRule="auto"/>
        <w:rPr>
          <w:rFonts w:cs="Times New Roman"/>
          <w:sz w:val="32"/>
          <w:szCs w:val="32"/>
        </w:rPr>
      </w:pPr>
      <w:r w:rsidRPr="005D3F76">
        <w:rPr>
          <w:rFonts w:cs="Times New Roman"/>
          <w:sz w:val="32"/>
          <w:szCs w:val="32"/>
        </w:rPr>
        <w:br w:type="page"/>
      </w:r>
    </w:p>
    <w:p w14:paraId="567D7042" w14:textId="64A3719C" w:rsidR="00A3521D" w:rsidRPr="005D3F76" w:rsidRDefault="001D2920" w:rsidP="00A3521D">
      <w:pPr>
        <w:jc w:val="center"/>
        <w:rPr>
          <w:rFonts w:cs="Times New Roman"/>
          <w:b/>
          <w:sz w:val="32"/>
          <w:szCs w:val="32"/>
        </w:rPr>
      </w:pPr>
      <w:r w:rsidRPr="005D3F76">
        <w:rPr>
          <w:rFonts w:cs="Times New Roman"/>
          <w:b/>
          <w:sz w:val="32"/>
          <w:szCs w:val="32"/>
        </w:rPr>
        <w:lastRenderedPageBreak/>
        <w:t>ACKNOWLEDGEMENTS</w:t>
      </w:r>
    </w:p>
    <w:p w14:paraId="25487336" w14:textId="77777777" w:rsidR="00A3521D" w:rsidRPr="005D3F76" w:rsidRDefault="00A3521D" w:rsidP="00A3521D">
      <w:pPr>
        <w:spacing w:line="240" w:lineRule="auto"/>
        <w:rPr>
          <w:rFonts w:cs="Times New Roman"/>
        </w:rPr>
      </w:pPr>
      <w:r w:rsidRPr="005D3F76">
        <w:rPr>
          <w:rFonts w:cs="Times New Roman"/>
        </w:rPr>
        <w:tab/>
        <w:t xml:space="preserve">I would first personally like to thank Dr. Barbara Thayer-Bacon for her tireless efforts in helping push me to the finish line. I have known Dr. Thayer-Bacon for many years and she has offered me support, encouragement, understanding, and more knowledge than I will ever know what to do with. Her often times brutal honesty has helped me more than she will ever know. So thank you Dr. Barb. </w:t>
      </w:r>
    </w:p>
    <w:p w14:paraId="6778B349" w14:textId="77777777" w:rsidR="00A3521D" w:rsidRPr="005D3F76" w:rsidRDefault="00A3521D" w:rsidP="00A3521D">
      <w:pPr>
        <w:spacing w:line="240" w:lineRule="auto"/>
        <w:rPr>
          <w:rFonts w:cs="Times New Roman"/>
        </w:rPr>
      </w:pPr>
      <w:r w:rsidRPr="005D3F76">
        <w:rPr>
          <w:rFonts w:cs="Times New Roman"/>
        </w:rPr>
        <w:tab/>
        <w:t xml:space="preserve">I would also like to thank others in my department, including, Dr. Lisa Yamagata-Lynch, who has lent me both an ear and advice when I most needed it. Also, I would like to thank Beverley Cate, Christine Tidwell and April Phillips of which without your help and support I would not have been able to survive many times over. </w:t>
      </w:r>
    </w:p>
    <w:p w14:paraId="1C82DB1A" w14:textId="77777777" w:rsidR="00A3521D" w:rsidRPr="005D3F76" w:rsidRDefault="00A3521D" w:rsidP="00A3521D">
      <w:pPr>
        <w:spacing w:line="240" w:lineRule="auto"/>
        <w:rPr>
          <w:rFonts w:cs="Times New Roman"/>
        </w:rPr>
      </w:pPr>
      <w:r w:rsidRPr="005D3F76">
        <w:rPr>
          <w:rFonts w:cs="Times New Roman"/>
        </w:rPr>
        <w:tab/>
        <w:t>I have made many life-long friends while working on this degree and I would like to say thank you to each and every one of them. Sultana, Amanda, Anne, Brittney, Sherrie, Sheryse, Brian, Jaewoo, Brenda, and Su, you all have kept me sane, made me laugh, and been a wonderful support system that has helped keep me together through my degree: So thank you all.</w:t>
      </w:r>
    </w:p>
    <w:p w14:paraId="631C3748" w14:textId="77777777" w:rsidR="00A3521D" w:rsidRPr="005D3F76" w:rsidRDefault="00A3521D" w:rsidP="00A3521D">
      <w:pPr>
        <w:spacing w:line="240" w:lineRule="auto"/>
        <w:rPr>
          <w:rFonts w:cs="Times New Roman"/>
        </w:rPr>
      </w:pPr>
      <w:r w:rsidRPr="005D3F76">
        <w:rPr>
          <w:rFonts w:cs="Times New Roman"/>
        </w:rPr>
        <w:tab/>
        <w:t xml:space="preserve">Finally, I would like to thank my family for supporting and helping me through this long and stressful process of endless writing, and worrying if I am indeed good enough to be earning this degree. Thank you Dennis and Carol Sieberg for helping with familial obligations both financially and emotionally. You two have been a part of this since the beginning and without your support, none of it would have been possible. Thank you, Bailey Castille, for putting up with my endless prattle about neoliberalism and social capital, and being the most responsible big brother anyone could ever hope for. Thank you, Samuel Harness, for giving me lots of hugs and love, and no matter how frustrated I became with what I was doing, always caring enough to get me through it. And thank you Adam Harness for always loving me no matter how crazy I got. Your support and help means more to me than the words I am writing here can ever express. Thank you and I will forever be grateful. </w:t>
      </w:r>
    </w:p>
    <w:p w14:paraId="0952F4F9" w14:textId="124466F2" w:rsidR="00A3521D" w:rsidRPr="005D3F76" w:rsidRDefault="00A3521D" w:rsidP="00A3521D">
      <w:pPr>
        <w:spacing w:line="240" w:lineRule="auto"/>
        <w:ind w:firstLine="720"/>
        <w:rPr>
          <w:rFonts w:cs="Times New Roman"/>
        </w:rPr>
      </w:pPr>
      <w:r w:rsidRPr="005D3F76">
        <w:rPr>
          <w:rFonts w:cs="Times New Roman"/>
        </w:rPr>
        <w:t>And I thank God most of all, for all that He has given me and continues to. Without Him, I would have never met any of these people or written this dissertation.</w:t>
      </w:r>
    </w:p>
    <w:p w14:paraId="652E1A38" w14:textId="77777777" w:rsidR="00A3521D" w:rsidRPr="005D3F76" w:rsidRDefault="00A3521D">
      <w:pPr>
        <w:spacing w:after="160" w:line="259" w:lineRule="auto"/>
        <w:rPr>
          <w:rFonts w:cs="Times New Roman"/>
        </w:rPr>
      </w:pPr>
      <w:r w:rsidRPr="005D3F76">
        <w:rPr>
          <w:rFonts w:cs="Times New Roman"/>
        </w:rPr>
        <w:br w:type="page"/>
      </w:r>
    </w:p>
    <w:p w14:paraId="4E8C9A5F" w14:textId="6E111267" w:rsidR="00A3521D" w:rsidRPr="005D3F76" w:rsidRDefault="001D2920" w:rsidP="00A3521D">
      <w:pPr>
        <w:jc w:val="center"/>
        <w:rPr>
          <w:rFonts w:cs="Times New Roman"/>
          <w:sz w:val="32"/>
          <w:szCs w:val="32"/>
        </w:rPr>
      </w:pPr>
      <w:r w:rsidRPr="005D3F76">
        <w:rPr>
          <w:rFonts w:cs="Times New Roman"/>
          <w:b/>
          <w:sz w:val="32"/>
          <w:szCs w:val="32"/>
        </w:rPr>
        <w:lastRenderedPageBreak/>
        <w:t>ABSTRACT</w:t>
      </w:r>
    </w:p>
    <w:p w14:paraId="030B04E8" w14:textId="77777777" w:rsidR="00A3521D" w:rsidRPr="005D3F76" w:rsidRDefault="00A3521D" w:rsidP="000A69B5">
      <w:pPr>
        <w:spacing w:line="240" w:lineRule="auto"/>
        <w:rPr>
          <w:rFonts w:cs="Times New Roman"/>
        </w:rPr>
      </w:pPr>
      <w:r w:rsidRPr="005D3F76">
        <w:rPr>
          <w:rFonts w:cs="Times New Roman"/>
        </w:rPr>
        <w:t xml:space="preserve">From 2011 to 2012, in the state of Wisconsin, Governor Scott Walker and legislative republicans passed ACT-10, a law severely limiting public sector/teacher’s union’s collective bargaining rights. This legislative effort shocked the nation with the bold move toward stricter regulations concerning the public sector, as Wisconsin is historically one of the most progressive states concerning labor within the United States. Teachers unions within the state, in particular, took ACT-10 as an assault on their very profession. Shortly before the passing of the act, sit-ins and protests abounded within the capital of Madison that caught attention from both the local and national media. This research seeks to answer the following </w:t>
      </w:r>
      <w:r w:rsidRPr="005D3F76">
        <w:rPr>
          <w:rFonts w:cs="Times New Roman"/>
          <w:szCs w:val="24"/>
        </w:rPr>
        <w:t xml:space="preserve">questions: Is the anti-labor/anti-public sector union’s stance being perpetuated by the media in particular papers? Is there a clear agenda or theme that the media is trying to press onto the larger public in regards to education and teacher unions? Are there underlying issues of social consciousness and knowledge concerning mass society? Do these questions and the effort to answer them through discourse analysis lead us to answers regarding power issues and equity with what is being introduced to the mass public in regards to public sector unions? And could a critical study of the media using their own work lead to more responsibility with this theme of teacher unionization in their reporting?  </w:t>
      </w:r>
      <w:r w:rsidRPr="005D3F76">
        <w:rPr>
          <w:rFonts w:cs="Times New Roman"/>
        </w:rPr>
        <w:t xml:space="preserve"> </w:t>
      </w:r>
    </w:p>
    <w:p w14:paraId="58C7FC51" w14:textId="77777777" w:rsidR="00A3521D" w:rsidRPr="005D3F76" w:rsidRDefault="00A3521D" w:rsidP="00A3521D">
      <w:pPr>
        <w:spacing w:line="240" w:lineRule="auto"/>
        <w:rPr>
          <w:rFonts w:cs="Times New Roman"/>
        </w:rPr>
      </w:pPr>
    </w:p>
    <w:p w14:paraId="0B278693" w14:textId="77777777" w:rsidR="00A3521D" w:rsidRPr="005D3F76" w:rsidRDefault="00A3521D" w:rsidP="00A3521D">
      <w:pPr>
        <w:spacing w:line="240" w:lineRule="auto"/>
        <w:rPr>
          <w:rFonts w:cs="Times New Roman"/>
        </w:rPr>
      </w:pPr>
      <w:r w:rsidRPr="005D3F76">
        <w:rPr>
          <w:rFonts w:cs="Times New Roman"/>
        </w:rPr>
        <w:t>In order to answer these questions, this dissertation analyzes articles from three major newspaper sources (</w:t>
      </w:r>
      <w:r w:rsidRPr="005D3F76">
        <w:rPr>
          <w:rFonts w:cs="Times New Roman"/>
          <w:i/>
        </w:rPr>
        <w:t>The New York Times</w:t>
      </w:r>
      <w:r w:rsidRPr="005D3F76">
        <w:rPr>
          <w:rFonts w:cs="Times New Roman"/>
        </w:rPr>
        <w:t xml:space="preserve">, </w:t>
      </w:r>
      <w:r w:rsidRPr="005D3F76">
        <w:rPr>
          <w:rFonts w:cs="Times New Roman"/>
          <w:i/>
        </w:rPr>
        <w:t>The Wisconsin State Journal</w:t>
      </w:r>
      <w:r w:rsidRPr="005D3F76">
        <w:rPr>
          <w:rFonts w:cs="Times New Roman"/>
        </w:rPr>
        <w:t xml:space="preserve">, and </w:t>
      </w:r>
      <w:r w:rsidRPr="005D3F76">
        <w:rPr>
          <w:rFonts w:cs="Times New Roman"/>
          <w:i/>
        </w:rPr>
        <w:t>The Capital Times</w:t>
      </w:r>
      <w:r w:rsidRPr="005D3F76">
        <w:rPr>
          <w:rFonts w:cs="Times New Roman"/>
        </w:rPr>
        <w:t xml:space="preserve">) from 2011-2015, utilizing both critical discourse analysis and philosophy, to examine the media’s framing of the issues pertaining to public sector/teacher unions within Wisconsin during this turbulent time. By analyzing these media sources, three data strands emerged: The Language of Battle, Neoliberalistic Discourses, and Teacher as a Defunct Agent.  The three strands reveal a picture that illuminates the unions and the teacher members as the “enemy” that is destroying the education system within the United States. All the while, the government is portrayed as the “savior” of the education system by passing policies that restrict the unions, eliminating their “corruption,” and giving control of the education system seemingly back to the teachers and administrators. However, at the same time, the teachers’ accountability and professionalism were found to be called into question within this media framework. By portraying such a politically motivated agenda, fueled by ideas surrounding neoliberalism, the media creates social justice issues whereby they call into question the need and abilities of such organizations as unions within a highly globalized society. According to the findings of this research: what is at stake is the future of what working in America will look like with portrayals such as what can be found within the discourse presented to the public through the media. </w:t>
      </w:r>
    </w:p>
    <w:p w14:paraId="0662630A" w14:textId="77777777" w:rsidR="00A3521D" w:rsidRPr="005D3F76" w:rsidRDefault="00A3521D" w:rsidP="00A3521D">
      <w:pPr>
        <w:spacing w:line="240" w:lineRule="auto"/>
        <w:rPr>
          <w:rFonts w:cs="Times New Roman"/>
        </w:rPr>
      </w:pPr>
    </w:p>
    <w:p w14:paraId="63F64197" w14:textId="4424A122" w:rsidR="007A5D55" w:rsidRPr="005D3F76" w:rsidRDefault="00A3521D" w:rsidP="00A3521D">
      <w:pPr>
        <w:spacing w:line="240" w:lineRule="auto"/>
        <w:rPr>
          <w:rFonts w:cs="Times New Roman"/>
        </w:rPr>
        <w:sectPr w:rsidR="007A5D55" w:rsidRPr="005D3F76" w:rsidSect="009C36B6">
          <w:endnotePr>
            <w:numRestart w:val="eachSect"/>
          </w:endnotePr>
          <w:pgSz w:w="12240" w:h="15840"/>
          <w:pgMar w:top="1440" w:right="1440" w:bottom="1440" w:left="1440" w:header="720" w:footer="720" w:gutter="0"/>
          <w:pgNumType w:fmt="lowerRoman"/>
          <w:cols w:space="720"/>
          <w:docGrid w:linePitch="360"/>
        </w:sectPr>
      </w:pPr>
      <w:r w:rsidRPr="005D3F76">
        <w:rPr>
          <w:rFonts w:cs="Times New Roman"/>
        </w:rPr>
        <w:t>Finally, the analysis generates possibilities to facilitate discussions around the idea of hegemonic ideologies of the media and the government, and the results where policy is created around such important topics such as children’s education. To this end, recommendations of developing ways through education and critical engagement are presented for contemplation to better inform society as to the rolls of the media, the government, and the unions within the U.S.</w:t>
      </w:r>
      <w:r w:rsidR="007A5D55" w:rsidRPr="005D3F76">
        <w:rPr>
          <w:rFonts w:cs="Times New Roman"/>
        </w:rPr>
        <w:br w:type="page"/>
      </w:r>
    </w:p>
    <w:sdt>
      <w:sdtPr>
        <w:rPr>
          <w:rFonts w:ascii="Times New Roman" w:eastAsiaTheme="minorHAnsi" w:hAnsi="Times New Roman" w:cs="Times New Roman"/>
          <w:color w:val="auto"/>
          <w:sz w:val="24"/>
          <w:szCs w:val="22"/>
        </w:rPr>
        <w:id w:val="-1803762282"/>
        <w:docPartObj>
          <w:docPartGallery w:val="Table of Contents"/>
          <w:docPartUnique/>
        </w:docPartObj>
      </w:sdtPr>
      <w:sdtEndPr>
        <w:rPr>
          <w:b/>
          <w:bCs/>
          <w:noProof/>
        </w:rPr>
      </w:sdtEndPr>
      <w:sdtContent>
        <w:p w14:paraId="70923FC8" w14:textId="29C99308" w:rsidR="007A5D55" w:rsidRPr="005D3F76" w:rsidRDefault="00A3521D" w:rsidP="005D3F76">
          <w:pPr>
            <w:pStyle w:val="TOCHeading"/>
            <w:spacing w:before="0" w:after="0" w:line="480" w:lineRule="auto"/>
            <w:jc w:val="center"/>
            <w:rPr>
              <w:rFonts w:ascii="Times New Roman" w:hAnsi="Times New Roman" w:cs="Times New Roman"/>
              <w:b/>
              <w:color w:val="auto"/>
            </w:rPr>
          </w:pPr>
          <w:r w:rsidRPr="005D3F76">
            <w:rPr>
              <w:rFonts w:ascii="Times New Roman" w:hAnsi="Times New Roman" w:cs="Times New Roman"/>
              <w:b/>
              <w:color w:val="auto"/>
            </w:rPr>
            <w:t>T</w:t>
          </w:r>
          <w:bookmarkStart w:id="0" w:name="_GoBack"/>
          <w:bookmarkEnd w:id="0"/>
          <w:r w:rsidRPr="005D3F76">
            <w:rPr>
              <w:rFonts w:ascii="Times New Roman" w:hAnsi="Times New Roman" w:cs="Times New Roman"/>
              <w:b/>
              <w:color w:val="auto"/>
            </w:rPr>
            <w:t>ABLE OF CONTENTS</w:t>
          </w:r>
        </w:p>
        <w:p w14:paraId="4E7F4C69" w14:textId="361736B1" w:rsidR="006F28A3" w:rsidRPr="005D3F76" w:rsidRDefault="007A5D55" w:rsidP="005D3F76">
          <w:pPr>
            <w:pStyle w:val="TOC1"/>
            <w:tabs>
              <w:tab w:val="right" w:leader="dot" w:pos="9350"/>
            </w:tabs>
            <w:spacing w:after="0" w:line="360" w:lineRule="auto"/>
            <w:rPr>
              <w:rFonts w:eastAsiaTheme="minorEastAsia" w:cs="Times New Roman"/>
              <w:noProof/>
              <w:sz w:val="22"/>
            </w:rPr>
          </w:pPr>
          <w:r w:rsidRPr="005D3F76">
            <w:rPr>
              <w:rFonts w:cs="Times New Roman"/>
            </w:rPr>
            <w:fldChar w:fldCharType="begin"/>
          </w:r>
          <w:r w:rsidRPr="005D3F76">
            <w:rPr>
              <w:rFonts w:cs="Times New Roman"/>
            </w:rPr>
            <w:instrText xml:space="preserve"> TOC \o "1-3" \h \z \u </w:instrText>
          </w:r>
          <w:r w:rsidRPr="005D3F76">
            <w:rPr>
              <w:rFonts w:cs="Times New Roman"/>
            </w:rPr>
            <w:fldChar w:fldCharType="separate"/>
          </w:r>
          <w:hyperlink w:anchor="_Toc462843621" w:history="1">
            <w:r w:rsidR="006F28A3" w:rsidRPr="005D3F76">
              <w:rPr>
                <w:rStyle w:val="Hyperlink"/>
                <w:rFonts w:cs="Times New Roman"/>
                <w:noProof/>
              </w:rPr>
              <w:t>CHAPTER ONE: INTRODUCTION</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_Toc462843621 \h </w:instrText>
            </w:r>
            <w:r w:rsidR="006F28A3" w:rsidRPr="005D3F76">
              <w:rPr>
                <w:rFonts w:cs="Times New Roman"/>
                <w:noProof/>
                <w:webHidden/>
              </w:rPr>
            </w:r>
            <w:r w:rsidR="006F28A3" w:rsidRPr="005D3F76">
              <w:rPr>
                <w:rFonts w:cs="Times New Roman"/>
                <w:noProof/>
                <w:webHidden/>
              </w:rPr>
              <w:fldChar w:fldCharType="separate"/>
            </w:r>
            <w:r w:rsidR="00E76379">
              <w:rPr>
                <w:rFonts w:cs="Times New Roman"/>
                <w:noProof/>
                <w:webHidden/>
              </w:rPr>
              <w:t>1</w:t>
            </w:r>
            <w:r w:rsidR="006F28A3" w:rsidRPr="005D3F76">
              <w:rPr>
                <w:rFonts w:cs="Times New Roman"/>
                <w:noProof/>
                <w:webHidden/>
              </w:rPr>
              <w:fldChar w:fldCharType="end"/>
            </w:r>
          </w:hyperlink>
        </w:p>
        <w:p w14:paraId="04A32F24" w14:textId="633292B7"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22" w:history="1">
            <w:r w:rsidR="006F28A3" w:rsidRPr="005D3F76">
              <w:rPr>
                <w:rStyle w:val="Hyperlink"/>
                <w:rFonts w:cs="Times New Roman"/>
                <w:noProof/>
              </w:rPr>
              <w:t>Arbitrating Media and Policy Dynamics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_Toc462843622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7</w:t>
            </w:r>
            <w:r w:rsidR="006F28A3" w:rsidRPr="005D3F76">
              <w:rPr>
                <w:rFonts w:cs="Times New Roman"/>
                <w:noProof/>
                <w:webHidden/>
              </w:rPr>
              <w:fldChar w:fldCharType="end"/>
            </w:r>
          </w:hyperlink>
        </w:p>
        <w:p w14:paraId="03542723" w14:textId="2DA7581B"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23" w:history="1">
            <w:r w:rsidR="006F28A3" w:rsidRPr="005D3F76">
              <w:rPr>
                <w:rStyle w:val="Hyperlink"/>
                <w:rFonts w:cs="Times New Roman"/>
                <w:noProof/>
              </w:rPr>
              <w:t>Equality, Equity, and Social Justice: Examining Issues of Power</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_Toc462843623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13</w:t>
            </w:r>
            <w:r w:rsidR="006F28A3" w:rsidRPr="005D3F76">
              <w:rPr>
                <w:rFonts w:cs="Times New Roman"/>
                <w:noProof/>
                <w:webHidden/>
              </w:rPr>
              <w:fldChar w:fldCharType="end"/>
            </w:r>
          </w:hyperlink>
        </w:p>
        <w:p w14:paraId="4E6E1FE3" w14:textId="2C543161"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24" w:history="1">
            <w:r w:rsidR="006F28A3" w:rsidRPr="005D3F76">
              <w:rPr>
                <w:rStyle w:val="Hyperlink"/>
                <w:rFonts w:cs="Times New Roman"/>
                <w:noProof/>
              </w:rPr>
              <w:t>In the End. . .</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_Toc462843624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18</w:t>
            </w:r>
            <w:r w:rsidR="006F28A3" w:rsidRPr="005D3F76">
              <w:rPr>
                <w:rFonts w:cs="Times New Roman"/>
                <w:noProof/>
                <w:webHidden/>
              </w:rPr>
              <w:fldChar w:fldCharType="end"/>
            </w:r>
          </w:hyperlink>
        </w:p>
        <w:p w14:paraId="71CA2DD1" w14:textId="4F9B075F" w:rsidR="006F28A3" w:rsidRPr="005D3F76" w:rsidRDefault="00E76379" w:rsidP="005D3F76">
          <w:pPr>
            <w:pStyle w:val="TOC1"/>
            <w:tabs>
              <w:tab w:val="right" w:leader="dot" w:pos="9350"/>
            </w:tabs>
            <w:spacing w:after="0" w:line="360" w:lineRule="auto"/>
            <w:rPr>
              <w:rFonts w:eastAsiaTheme="minorEastAsia" w:cs="Times New Roman"/>
              <w:noProof/>
              <w:sz w:val="22"/>
            </w:rPr>
          </w:pPr>
          <w:hyperlink w:anchor="_Toc462843625" w:history="1">
            <w:r w:rsidR="006F28A3" w:rsidRPr="005D3F76">
              <w:rPr>
                <w:rStyle w:val="Hyperlink"/>
                <w:rFonts w:cs="Times New Roman"/>
                <w:noProof/>
              </w:rPr>
              <w:t>CHAPTER TWO: A HISTORY OF PUBLIC SECTOR AND TEACHER UNIONS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_Toc462843625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21</w:t>
            </w:r>
            <w:r w:rsidR="006F28A3" w:rsidRPr="005D3F76">
              <w:rPr>
                <w:rFonts w:cs="Times New Roman"/>
                <w:noProof/>
                <w:webHidden/>
              </w:rPr>
              <w:fldChar w:fldCharType="end"/>
            </w:r>
          </w:hyperlink>
        </w:p>
        <w:p w14:paraId="744CA069" w14:textId="24224B91"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26" w:history="1">
            <w:r w:rsidR="006F28A3" w:rsidRPr="005D3F76">
              <w:rPr>
                <w:rStyle w:val="Hyperlink"/>
                <w:rFonts w:cs="Times New Roman"/>
                <w:noProof/>
              </w:rPr>
              <w:t>Give Us Something Worthy to Stand Upon</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_Toc462843626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22</w:t>
            </w:r>
            <w:r w:rsidR="006F28A3" w:rsidRPr="005D3F76">
              <w:rPr>
                <w:rFonts w:cs="Times New Roman"/>
                <w:noProof/>
                <w:webHidden/>
              </w:rPr>
              <w:fldChar w:fldCharType="end"/>
            </w:r>
          </w:hyperlink>
        </w:p>
        <w:p w14:paraId="3AB2D528" w14:textId="35B4AF88"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27" w:history="1">
            <w:r w:rsidR="006F28A3" w:rsidRPr="005D3F76">
              <w:rPr>
                <w:rStyle w:val="Hyperlink"/>
                <w:rFonts w:cs="Times New Roman"/>
                <w:noProof/>
              </w:rPr>
              <w:t>The Stage is Set: Teacher Unions in Context</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_Toc462843627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31</w:t>
            </w:r>
            <w:r w:rsidR="006F28A3" w:rsidRPr="005D3F76">
              <w:rPr>
                <w:rFonts w:cs="Times New Roman"/>
                <w:noProof/>
                <w:webHidden/>
              </w:rPr>
              <w:fldChar w:fldCharType="end"/>
            </w:r>
          </w:hyperlink>
        </w:p>
        <w:p w14:paraId="79A8207E" w14:textId="303E0E87"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28" w:history="1">
            <w:r w:rsidR="006F28A3" w:rsidRPr="005D3F76">
              <w:rPr>
                <w:rStyle w:val="Hyperlink"/>
                <w:rFonts w:cs="Times New Roman"/>
                <w:noProof/>
              </w:rPr>
              <w:t>History Culmination</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_Toc462843628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38</w:t>
            </w:r>
            <w:r w:rsidR="006F28A3" w:rsidRPr="005D3F76">
              <w:rPr>
                <w:rFonts w:cs="Times New Roman"/>
                <w:noProof/>
                <w:webHidden/>
              </w:rPr>
              <w:fldChar w:fldCharType="end"/>
            </w:r>
          </w:hyperlink>
        </w:p>
        <w:p w14:paraId="41F36E1F" w14:textId="72BFF0A2" w:rsidR="006F28A3" w:rsidRPr="005D3F76" w:rsidRDefault="00E76379" w:rsidP="005D3F76">
          <w:pPr>
            <w:pStyle w:val="TOC1"/>
            <w:tabs>
              <w:tab w:val="right" w:leader="dot" w:pos="9350"/>
            </w:tabs>
            <w:spacing w:after="0" w:line="360" w:lineRule="auto"/>
            <w:rPr>
              <w:rFonts w:eastAsiaTheme="minorEastAsia" w:cs="Times New Roman"/>
              <w:noProof/>
              <w:sz w:val="22"/>
            </w:rPr>
          </w:pPr>
          <w:hyperlink w:anchor="_Toc462843629" w:history="1">
            <w:r w:rsidR="006F28A3" w:rsidRPr="005D3F76">
              <w:rPr>
                <w:rStyle w:val="Hyperlink"/>
                <w:rFonts w:cs="Times New Roman"/>
                <w:noProof/>
              </w:rPr>
              <w:t>CHAPTER THREE: METHODOLOGY</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_Toc462843629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41</w:t>
            </w:r>
            <w:r w:rsidR="006F28A3" w:rsidRPr="005D3F76">
              <w:rPr>
                <w:rFonts w:cs="Times New Roman"/>
                <w:noProof/>
                <w:webHidden/>
              </w:rPr>
              <w:fldChar w:fldCharType="end"/>
            </w:r>
          </w:hyperlink>
        </w:p>
        <w:p w14:paraId="32D467EA" w14:textId="5E77A31D"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0" w:history="1">
            <w:r w:rsidR="006F28A3" w:rsidRPr="005D3F76">
              <w:rPr>
                <w:rStyle w:val="Hyperlink"/>
                <w:rFonts w:cs="Times New Roman"/>
                <w:noProof/>
              </w:rPr>
              <w:t>Critical Discourse Analysis: A Brief History</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_Toc462843630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42</w:t>
            </w:r>
            <w:r w:rsidR="006F28A3" w:rsidRPr="005D3F76">
              <w:rPr>
                <w:rFonts w:cs="Times New Roman"/>
                <w:noProof/>
                <w:webHidden/>
              </w:rPr>
              <w:fldChar w:fldCharType="end"/>
            </w:r>
          </w:hyperlink>
        </w:p>
        <w:p w14:paraId="19A34EE2" w14:textId="7A174C19"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1" w:history="1">
            <w:r w:rsidR="006F28A3" w:rsidRPr="005D3F76">
              <w:rPr>
                <w:rStyle w:val="Hyperlink"/>
                <w:rFonts w:cs="Times New Roman"/>
                <w:noProof/>
              </w:rPr>
              <w:t>The Undergirding of Critical Discourse Analysis (CDA)</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_Toc462843631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43</w:t>
            </w:r>
            <w:r w:rsidR="006F28A3" w:rsidRPr="005D3F76">
              <w:rPr>
                <w:rFonts w:cs="Times New Roman"/>
                <w:noProof/>
                <w:webHidden/>
              </w:rPr>
              <w:fldChar w:fldCharType="end"/>
            </w:r>
          </w:hyperlink>
        </w:p>
        <w:p w14:paraId="2915E388" w14:textId="538ADF2D"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2" w:history="1">
            <w:r w:rsidR="006F28A3" w:rsidRPr="005D3F76">
              <w:rPr>
                <w:rStyle w:val="Hyperlink"/>
                <w:rFonts w:cs="Times New Roman"/>
                <w:noProof/>
              </w:rPr>
              <w:t>The Importance of the Mass Media</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_Toc462843632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54</w:t>
            </w:r>
            <w:r w:rsidR="006F28A3" w:rsidRPr="005D3F76">
              <w:rPr>
                <w:rFonts w:cs="Times New Roman"/>
                <w:noProof/>
                <w:webHidden/>
              </w:rPr>
              <w:fldChar w:fldCharType="end"/>
            </w:r>
          </w:hyperlink>
        </w:p>
        <w:p w14:paraId="47C6B16C" w14:textId="77F37E3D"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3" w:history="1">
            <w:r w:rsidR="006F28A3" w:rsidRPr="005D3F76">
              <w:rPr>
                <w:rStyle w:val="Hyperlink"/>
                <w:rFonts w:cs="Times New Roman"/>
                <w:noProof/>
              </w:rPr>
              <w:t>So How Does It Work? … A Workable Methodological Framework</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_Toc462843633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61</w:t>
            </w:r>
            <w:r w:rsidR="006F28A3" w:rsidRPr="005D3F76">
              <w:rPr>
                <w:rFonts w:cs="Times New Roman"/>
                <w:noProof/>
                <w:webHidden/>
              </w:rPr>
              <w:fldChar w:fldCharType="end"/>
            </w:r>
          </w:hyperlink>
        </w:p>
        <w:p w14:paraId="2C914DFC" w14:textId="718AB711"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4" w:history="1">
            <w:r w:rsidR="006F28A3" w:rsidRPr="005D3F76">
              <w:rPr>
                <w:rStyle w:val="Hyperlink"/>
                <w:rFonts w:cs="Times New Roman"/>
                <w:noProof/>
              </w:rPr>
              <w:t>The Research Situation and the Procedures of Investigation</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_Toc462843634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66</w:t>
            </w:r>
            <w:r w:rsidR="006F28A3" w:rsidRPr="005D3F76">
              <w:rPr>
                <w:rFonts w:cs="Times New Roman"/>
                <w:noProof/>
                <w:webHidden/>
              </w:rPr>
              <w:fldChar w:fldCharType="end"/>
            </w:r>
          </w:hyperlink>
        </w:p>
        <w:p w14:paraId="5D69768A" w14:textId="60139F80"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5" w:history="1">
            <w:r w:rsidR="006F28A3" w:rsidRPr="005D3F76">
              <w:rPr>
                <w:rStyle w:val="Hyperlink"/>
                <w:rFonts w:cs="Times New Roman"/>
                <w:noProof/>
              </w:rPr>
              <w:t>About the Newspapers and Their Articles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_Toc462843635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66</w:t>
            </w:r>
            <w:r w:rsidR="006F28A3" w:rsidRPr="005D3F76">
              <w:rPr>
                <w:rFonts w:cs="Times New Roman"/>
                <w:noProof/>
                <w:webHidden/>
              </w:rPr>
              <w:fldChar w:fldCharType="end"/>
            </w:r>
          </w:hyperlink>
        </w:p>
        <w:p w14:paraId="31F57C9A" w14:textId="06A556BB"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6" w:history="1">
            <w:r w:rsidR="006F28A3" w:rsidRPr="005D3F76">
              <w:rPr>
                <w:rStyle w:val="Hyperlink"/>
                <w:rFonts w:cs="Times New Roman"/>
                <w:noProof/>
              </w:rPr>
              <w:t>Data Collection Methods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_Toc462843636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71</w:t>
            </w:r>
            <w:r w:rsidR="006F28A3" w:rsidRPr="005D3F76">
              <w:rPr>
                <w:rFonts w:cs="Times New Roman"/>
                <w:noProof/>
                <w:webHidden/>
              </w:rPr>
              <w:fldChar w:fldCharType="end"/>
            </w:r>
          </w:hyperlink>
        </w:p>
        <w:p w14:paraId="31B9EC13" w14:textId="3710135B"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7" w:history="1">
            <w:r w:rsidR="006F28A3" w:rsidRPr="005D3F76">
              <w:rPr>
                <w:rStyle w:val="Hyperlink"/>
                <w:rFonts w:cs="Times New Roman"/>
                <w:noProof/>
              </w:rPr>
              <w:t>Research Questions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_Toc462843637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77</w:t>
            </w:r>
            <w:r w:rsidR="006F28A3" w:rsidRPr="005D3F76">
              <w:rPr>
                <w:rFonts w:cs="Times New Roman"/>
                <w:noProof/>
                <w:webHidden/>
              </w:rPr>
              <w:fldChar w:fldCharType="end"/>
            </w:r>
          </w:hyperlink>
        </w:p>
        <w:p w14:paraId="44A25D5C" w14:textId="18B2FDCD" w:rsidR="006F28A3" w:rsidRPr="005D3F76" w:rsidRDefault="00E76379" w:rsidP="005D3F76">
          <w:pPr>
            <w:pStyle w:val="TOC1"/>
            <w:tabs>
              <w:tab w:val="right" w:leader="dot" w:pos="9350"/>
            </w:tabs>
            <w:spacing w:after="0" w:line="360" w:lineRule="auto"/>
            <w:rPr>
              <w:rFonts w:eastAsiaTheme="minorEastAsia" w:cs="Times New Roman"/>
              <w:noProof/>
              <w:sz w:val="22"/>
            </w:rPr>
          </w:pPr>
          <w:hyperlink w:anchor="_Toc462843638" w:history="1">
            <w:r w:rsidR="006F28A3" w:rsidRPr="005D3F76">
              <w:rPr>
                <w:rStyle w:val="Hyperlink"/>
                <w:rFonts w:cs="Times New Roman"/>
                <w:noProof/>
              </w:rPr>
              <w:t>CHAPTER FOUR: ANALYSIS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_Toc462843638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80</w:t>
            </w:r>
            <w:r w:rsidR="006F28A3" w:rsidRPr="005D3F76">
              <w:rPr>
                <w:rFonts w:cs="Times New Roman"/>
                <w:noProof/>
                <w:webHidden/>
              </w:rPr>
              <w:fldChar w:fldCharType="end"/>
            </w:r>
          </w:hyperlink>
        </w:p>
        <w:p w14:paraId="23E45EB3" w14:textId="7A1C7938"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39" w:history="1">
            <w:r w:rsidR="006F28A3" w:rsidRPr="005D3F76">
              <w:rPr>
                <w:rStyle w:val="Hyperlink"/>
                <w:rFonts w:cs="Times New Roman"/>
                <w:noProof/>
              </w:rPr>
              <w:t>Critical Discourse Analysis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_Toc462843639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82</w:t>
            </w:r>
            <w:r w:rsidR="006F28A3" w:rsidRPr="005D3F76">
              <w:rPr>
                <w:rFonts w:cs="Times New Roman"/>
                <w:noProof/>
                <w:webHidden/>
              </w:rPr>
              <w:fldChar w:fldCharType="end"/>
            </w:r>
          </w:hyperlink>
        </w:p>
        <w:p w14:paraId="0B11CF6C" w14:textId="3E50875B" w:rsidR="006F28A3" w:rsidRPr="005D3F76" w:rsidRDefault="00E76379" w:rsidP="005D3F76">
          <w:pPr>
            <w:pStyle w:val="TOC3"/>
            <w:tabs>
              <w:tab w:val="right" w:leader="dot" w:pos="9350"/>
            </w:tabs>
            <w:spacing w:after="0" w:line="360" w:lineRule="auto"/>
            <w:rPr>
              <w:rFonts w:eastAsiaTheme="minorEastAsia" w:cs="Times New Roman"/>
              <w:noProof/>
              <w:sz w:val="22"/>
            </w:rPr>
          </w:pPr>
          <w:hyperlink w:anchor="_Toc462843640" w:history="1">
            <w:r w:rsidR="006F28A3" w:rsidRPr="005D3F76">
              <w:rPr>
                <w:rStyle w:val="Hyperlink"/>
                <w:rFonts w:cs="Times New Roman"/>
                <w:noProof/>
              </w:rPr>
              <w:t>Strand One: The Language of Battle</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_Toc462843640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82</w:t>
            </w:r>
            <w:r w:rsidR="006F28A3" w:rsidRPr="005D3F76">
              <w:rPr>
                <w:rFonts w:cs="Times New Roman"/>
                <w:noProof/>
                <w:webHidden/>
              </w:rPr>
              <w:fldChar w:fldCharType="end"/>
            </w:r>
          </w:hyperlink>
        </w:p>
        <w:p w14:paraId="454F2645" w14:textId="7A3D5FDF" w:rsidR="006F28A3" w:rsidRPr="005D3F76" w:rsidRDefault="00E76379" w:rsidP="005D3F76">
          <w:pPr>
            <w:pStyle w:val="TOC3"/>
            <w:tabs>
              <w:tab w:val="right" w:leader="dot" w:pos="9350"/>
            </w:tabs>
            <w:spacing w:after="0" w:line="360" w:lineRule="auto"/>
            <w:rPr>
              <w:rFonts w:eastAsiaTheme="minorEastAsia" w:cs="Times New Roman"/>
              <w:noProof/>
              <w:sz w:val="22"/>
            </w:rPr>
          </w:pPr>
          <w:hyperlink w:anchor="_Toc462843641" w:history="1">
            <w:r w:rsidR="006F28A3" w:rsidRPr="005D3F76">
              <w:rPr>
                <w:rStyle w:val="Hyperlink"/>
                <w:rFonts w:cs="Times New Roman"/>
                <w:noProof/>
              </w:rPr>
              <w:t>Strand Two: Neoliberalistic Discourses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_Toc462843641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90</w:t>
            </w:r>
            <w:r w:rsidR="006F28A3" w:rsidRPr="005D3F76">
              <w:rPr>
                <w:rFonts w:cs="Times New Roman"/>
                <w:noProof/>
                <w:webHidden/>
              </w:rPr>
              <w:fldChar w:fldCharType="end"/>
            </w:r>
          </w:hyperlink>
        </w:p>
        <w:p w14:paraId="087BFC36" w14:textId="5BAD64CA" w:rsidR="006F28A3" w:rsidRPr="005D3F76" w:rsidRDefault="00E76379" w:rsidP="005D3F76">
          <w:pPr>
            <w:pStyle w:val="TOC3"/>
            <w:tabs>
              <w:tab w:val="right" w:leader="dot" w:pos="9350"/>
            </w:tabs>
            <w:spacing w:after="0" w:line="360" w:lineRule="auto"/>
            <w:rPr>
              <w:rFonts w:eastAsiaTheme="minorEastAsia" w:cs="Times New Roman"/>
              <w:noProof/>
              <w:sz w:val="22"/>
            </w:rPr>
          </w:pPr>
          <w:hyperlink w:anchor="_Toc462843642" w:history="1">
            <w:r w:rsidR="006F28A3" w:rsidRPr="005D3F76">
              <w:rPr>
                <w:rStyle w:val="Hyperlink"/>
                <w:rFonts w:cs="Times New Roman"/>
                <w:noProof/>
              </w:rPr>
              <w:t>Strand Three: Teacher as a Defunct Agent</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_Toc462843642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100</w:t>
            </w:r>
            <w:r w:rsidR="006F28A3" w:rsidRPr="005D3F76">
              <w:rPr>
                <w:rFonts w:cs="Times New Roman"/>
                <w:noProof/>
                <w:webHidden/>
              </w:rPr>
              <w:fldChar w:fldCharType="end"/>
            </w:r>
          </w:hyperlink>
        </w:p>
        <w:p w14:paraId="1787609D" w14:textId="603CFFFA"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43" w:history="1">
            <w:r w:rsidR="006F28A3" w:rsidRPr="005D3F76">
              <w:rPr>
                <w:rStyle w:val="Hyperlink"/>
                <w:rFonts w:cs="Times New Roman"/>
                <w:noProof/>
              </w:rPr>
              <w:t>One Final Note</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_Toc462843643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109</w:t>
            </w:r>
            <w:r w:rsidR="006F28A3" w:rsidRPr="005D3F76">
              <w:rPr>
                <w:rFonts w:cs="Times New Roman"/>
                <w:noProof/>
                <w:webHidden/>
              </w:rPr>
              <w:fldChar w:fldCharType="end"/>
            </w:r>
          </w:hyperlink>
        </w:p>
        <w:p w14:paraId="3F9214F7" w14:textId="1780A625"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44" w:history="1">
            <w:r w:rsidR="006F28A3" w:rsidRPr="005D3F76">
              <w:rPr>
                <w:rStyle w:val="Hyperlink"/>
                <w:rFonts w:cs="Times New Roman"/>
                <w:noProof/>
              </w:rPr>
              <w:t>In Conclusion</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_Toc462843644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112</w:t>
            </w:r>
            <w:r w:rsidR="006F28A3" w:rsidRPr="005D3F76">
              <w:rPr>
                <w:rFonts w:cs="Times New Roman"/>
                <w:noProof/>
                <w:webHidden/>
              </w:rPr>
              <w:fldChar w:fldCharType="end"/>
            </w:r>
          </w:hyperlink>
        </w:p>
        <w:p w14:paraId="623B2ED4" w14:textId="4B9C5226" w:rsidR="006F28A3" w:rsidRPr="005D3F76" w:rsidRDefault="00E76379" w:rsidP="005D3F76">
          <w:pPr>
            <w:pStyle w:val="TOC1"/>
            <w:tabs>
              <w:tab w:val="right" w:leader="dot" w:pos="9350"/>
            </w:tabs>
            <w:spacing w:after="0" w:line="360" w:lineRule="auto"/>
            <w:rPr>
              <w:rFonts w:eastAsiaTheme="minorEastAsia" w:cs="Times New Roman"/>
              <w:noProof/>
              <w:sz w:val="22"/>
            </w:rPr>
          </w:pPr>
          <w:hyperlink w:anchor="_Toc462843645" w:history="1">
            <w:r w:rsidR="006F28A3" w:rsidRPr="005D3F76">
              <w:rPr>
                <w:rStyle w:val="Hyperlink"/>
                <w:rFonts w:cs="Times New Roman"/>
                <w:noProof/>
              </w:rPr>
              <w:t>CHAPTER FIVE: CONCLUSION</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_Toc462843645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115</w:t>
            </w:r>
            <w:r w:rsidR="006F28A3" w:rsidRPr="005D3F76">
              <w:rPr>
                <w:rFonts w:cs="Times New Roman"/>
                <w:noProof/>
                <w:webHidden/>
              </w:rPr>
              <w:fldChar w:fldCharType="end"/>
            </w:r>
          </w:hyperlink>
        </w:p>
        <w:p w14:paraId="138078D3" w14:textId="1ACF43FD"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46" w:history="1">
            <w:r w:rsidR="006F28A3" w:rsidRPr="005D3F76">
              <w:rPr>
                <w:rStyle w:val="Hyperlink"/>
                <w:rFonts w:cs="Times New Roman"/>
                <w:noProof/>
              </w:rPr>
              <w:t>Implications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_Toc462843646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117</w:t>
            </w:r>
            <w:r w:rsidR="006F28A3" w:rsidRPr="005D3F76">
              <w:rPr>
                <w:rFonts w:cs="Times New Roman"/>
                <w:noProof/>
                <w:webHidden/>
              </w:rPr>
              <w:fldChar w:fldCharType="end"/>
            </w:r>
          </w:hyperlink>
        </w:p>
        <w:p w14:paraId="42A7E927" w14:textId="7BB77662"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47" w:history="1">
            <w:r w:rsidR="006F28A3" w:rsidRPr="005D3F76">
              <w:rPr>
                <w:rStyle w:val="Hyperlink"/>
                <w:rFonts w:cs="Times New Roman"/>
                <w:noProof/>
              </w:rPr>
              <w:t>Recommendations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_Toc462843647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126</w:t>
            </w:r>
            <w:r w:rsidR="006F28A3" w:rsidRPr="005D3F76">
              <w:rPr>
                <w:rFonts w:cs="Times New Roman"/>
                <w:noProof/>
                <w:webHidden/>
              </w:rPr>
              <w:fldChar w:fldCharType="end"/>
            </w:r>
          </w:hyperlink>
        </w:p>
        <w:p w14:paraId="3EA86757" w14:textId="455F5041"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48" w:history="1">
            <w:r w:rsidR="006F28A3" w:rsidRPr="005D3F76">
              <w:rPr>
                <w:rStyle w:val="Hyperlink"/>
                <w:rFonts w:cs="Times New Roman"/>
                <w:noProof/>
              </w:rPr>
              <w:t>Limitations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_Toc462843648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133</w:t>
            </w:r>
            <w:r w:rsidR="006F28A3" w:rsidRPr="005D3F76">
              <w:rPr>
                <w:rFonts w:cs="Times New Roman"/>
                <w:noProof/>
                <w:webHidden/>
              </w:rPr>
              <w:fldChar w:fldCharType="end"/>
            </w:r>
          </w:hyperlink>
        </w:p>
        <w:p w14:paraId="5D915D34" w14:textId="21813FFD"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49" w:history="1">
            <w:r w:rsidR="006F28A3" w:rsidRPr="005D3F76">
              <w:rPr>
                <w:rStyle w:val="Hyperlink"/>
                <w:rFonts w:cs="Times New Roman"/>
                <w:noProof/>
              </w:rPr>
              <w:t>My Future Research Endeavors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_Toc462843649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136</w:t>
            </w:r>
            <w:r w:rsidR="006F28A3" w:rsidRPr="005D3F76">
              <w:rPr>
                <w:rFonts w:cs="Times New Roman"/>
                <w:noProof/>
                <w:webHidden/>
              </w:rPr>
              <w:fldChar w:fldCharType="end"/>
            </w:r>
          </w:hyperlink>
        </w:p>
        <w:p w14:paraId="2CB1839C" w14:textId="5E4F9CAC"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50" w:history="1">
            <w:r w:rsidR="006F28A3" w:rsidRPr="005D3F76">
              <w:rPr>
                <w:rStyle w:val="Hyperlink"/>
                <w:rFonts w:cs="Times New Roman"/>
                <w:noProof/>
              </w:rPr>
              <w:t>Concluding Remarks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_Toc462843650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138</w:t>
            </w:r>
            <w:r w:rsidR="006F28A3" w:rsidRPr="005D3F76">
              <w:rPr>
                <w:rFonts w:cs="Times New Roman"/>
                <w:noProof/>
                <w:webHidden/>
              </w:rPr>
              <w:fldChar w:fldCharType="end"/>
            </w:r>
          </w:hyperlink>
        </w:p>
        <w:p w14:paraId="3112CAD8" w14:textId="34DC62C0" w:rsidR="006F28A3" w:rsidRPr="005D3F76" w:rsidRDefault="00E76379" w:rsidP="005D3F76">
          <w:pPr>
            <w:pStyle w:val="TOC1"/>
            <w:tabs>
              <w:tab w:val="right" w:leader="dot" w:pos="9350"/>
            </w:tabs>
            <w:spacing w:after="0" w:line="360" w:lineRule="auto"/>
            <w:rPr>
              <w:rFonts w:eastAsiaTheme="minorEastAsia" w:cs="Times New Roman"/>
              <w:noProof/>
              <w:sz w:val="22"/>
            </w:rPr>
          </w:pPr>
          <w:hyperlink w:anchor="_Toc462843651" w:history="1">
            <w:r w:rsidR="006F28A3" w:rsidRPr="005D3F76">
              <w:rPr>
                <w:rStyle w:val="Hyperlink"/>
                <w:rFonts w:cs="Times New Roman"/>
                <w:noProof/>
              </w:rPr>
              <w:t>BIBLIOGRAPHY</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_Toc462843651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142</w:t>
            </w:r>
            <w:r w:rsidR="006F28A3" w:rsidRPr="005D3F76">
              <w:rPr>
                <w:rFonts w:cs="Times New Roman"/>
                <w:noProof/>
                <w:webHidden/>
              </w:rPr>
              <w:fldChar w:fldCharType="end"/>
            </w:r>
          </w:hyperlink>
        </w:p>
        <w:p w14:paraId="38FC8BC6" w14:textId="59DD56AF" w:rsidR="006F28A3" w:rsidRPr="005D3F76" w:rsidRDefault="00E76379" w:rsidP="005D3F76">
          <w:pPr>
            <w:pStyle w:val="TOC1"/>
            <w:tabs>
              <w:tab w:val="right" w:leader="dot" w:pos="9350"/>
            </w:tabs>
            <w:spacing w:after="0" w:line="360" w:lineRule="auto"/>
            <w:rPr>
              <w:rFonts w:eastAsiaTheme="minorEastAsia" w:cs="Times New Roman"/>
              <w:noProof/>
              <w:sz w:val="22"/>
            </w:rPr>
          </w:pPr>
          <w:hyperlink w:anchor="_Toc462843652" w:history="1">
            <w:r w:rsidR="006F28A3" w:rsidRPr="005D3F76">
              <w:rPr>
                <w:rStyle w:val="Hyperlink"/>
                <w:rFonts w:cs="Times New Roman"/>
                <w:noProof/>
              </w:rPr>
              <w:t>APPENDICES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_Toc462843652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155</w:t>
            </w:r>
            <w:r w:rsidR="006F28A3" w:rsidRPr="005D3F76">
              <w:rPr>
                <w:rFonts w:cs="Times New Roman"/>
                <w:noProof/>
                <w:webHidden/>
              </w:rPr>
              <w:fldChar w:fldCharType="end"/>
            </w:r>
          </w:hyperlink>
        </w:p>
        <w:p w14:paraId="4B8AF376" w14:textId="151A7C35"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53" w:history="1">
            <w:r w:rsidR="006F28A3" w:rsidRPr="005D3F76">
              <w:rPr>
                <w:rStyle w:val="Hyperlink"/>
                <w:rFonts w:cs="Times New Roman"/>
                <w:noProof/>
              </w:rPr>
              <w:t>Appendix A: Newspaper Articles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_Toc462843653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156</w:t>
            </w:r>
            <w:r w:rsidR="006F28A3" w:rsidRPr="005D3F76">
              <w:rPr>
                <w:rFonts w:cs="Times New Roman"/>
                <w:noProof/>
                <w:webHidden/>
              </w:rPr>
              <w:fldChar w:fldCharType="end"/>
            </w:r>
          </w:hyperlink>
        </w:p>
        <w:p w14:paraId="2CAAC91D" w14:textId="2B987720" w:rsidR="006F28A3" w:rsidRPr="005D3F76" w:rsidRDefault="00E76379" w:rsidP="005D3F76">
          <w:pPr>
            <w:pStyle w:val="TOC2"/>
            <w:tabs>
              <w:tab w:val="right" w:leader="dot" w:pos="9350"/>
            </w:tabs>
            <w:spacing w:after="0" w:line="360" w:lineRule="auto"/>
            <w:rPr>
              <w:rFonts w:eastAsiaTheme="minorEastAsia" w:cs="Times New Roman"/>
              <w:noProof/>
              <w:sz w:val="22"/>
            </w:rPr>
          </w:pPr>
          <w:hyperlink w:anchor="_Toc462843654" w:history="1">
            <w:r w:rsidR="006F28A3" w:rsidRPr="005D3F76">
              <w:rPr>
                <w:rStyle w:val="Hyperlink"/>
                <w:rFonts w:cs="Times New Roman"/>
                <w:noProof/>
              </w:rPr>
              <w:t>Appendix B: Finalized Codes and Definitions</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_Toc462843654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160</w:t>
            </w:r>
            <w:r w:rsidR="006F28A3" w:rsidRPr="005D3F76">
              <w:rPr>
                <w:rFonts w:cs="Times New Roman"/>
                <w:noProof/>
                <w:webHidden/>
              </w:rPr>
              <w:fldChar w:fldCharType="end"/>
            </w:r>
          </w:hyperlink>
        </w:p>
        <w:p w14:paraId="2EF22FCF" w14:textId="77413A5A" w:rsidR="006F28A3" w:rsidRPr="005D3F76" w:rsidRDefault="00E76379" w:rsidP="005D3F76">
          <w:pPr>
            <w:pStyle w:val="TOC1"/>
            <w:tabs>
              <w:tab w:val="right" w:leader="dot" w:pos="9350"/>
            </w:tabs>
            <w:spacing w:after="0" w:line="360" w:lineRule="auto"/>
            <w:rPr>
              <w:rFonts w:eastAsiaTheme="minorEastAsia" w:cs="Times New Roman"/>
              <w:noProof/>
              <w:sz w:val="22"/>
            </w:rPr>
          </w:pPr>
          <w:hyperlink w:anchor="_Toc462843655" w:history="1">
            <w:r w:rsidR="006F28A3" w:rsidRPr="005D3F76">
              <w:rPr>
                <w:rStyle w:val="Hyperlink"/>
                <w:rFonts w:cs="Times New Roman"/>
                <w:noProof/>
              </w:rPr>
              <w:t>VITA</w:t>
            </w:r>
            <w:r w:rsidR="006F28A3" w:rsidRPr="005D3F76">
              <w:rPr>
                <w:rFonts w:cs="Times New Roman"/>
                <w:noProof/>
                <w:webHidden/>
              </w:rPr>
              <w:tab/>
            </w:r>
            <w:r w:rsidR="006F28A3" w:rsidRPr="005D3F76">
              <w:rPr>
                <w:rFonts w:cs="Times New Roman"/>
                <w:noProof/>
                <w:webHidden/>
              </w:rPr>
              <w:fldChar w:fldCharType="begin"/>
            </w:r>
            <w:r w:rsidR="006F28A3" w:rsidRPr="005D3F76">
              <w:rPr>
                <w:rFonts w:cs="Times New Roman"/>
                <w:noProof/>
                <w:webHidden/>
              </w:rPr>
              <w:instrText xml:space="preserve"> PAGEREF _Toc462843655 \h </w:instrText>
            </w:r>
            <w:r w:rsidR="006F28A3" w:rsidRPr="005D3F76">
              <w:rPr>
                <w:rFonts w:cs="Times New Roman"/>
                <w:noProof/>
                <w:webHidden/>
              </w:rPr>
            </w:r>
            <w:r w:rsidR="006F28A3" w:rsidRPr="005D3F76">
              <w:rPr>
                <w:rFonts w:cs="Times New Roman"/>
                <w:noProof/>
                <w:webHidden/>
              </w:rPr>
              <w:fldChar w:fldCharType="separate"/>
            </w:r>
            <w:r>
              <w:rPr>
                <w:rFonts w:cs="Times New Roman"/>
                <w:noProof/>
                <w:webHidden/>
              </w:rPr>
              <w:t>176</w:t>
            </w:r>
            <w:r w:rsidR="006F28A3" w:rsidRPr="005D3F76">
              <w:rPr>
                <w:rFonts w:cs="Times New Roman"/>
                <w:noProof/>
                <w:webHidden/>
              </w:rPr>
              <w:fldChar w:fldCharType="end"/>
            </w:r>
          </w:hyperlink>
        </w:p>
        <w:p w14:paraId="09935CD1" w14:textId="52638201" w:rsidR="007A5D55" w:rsidRPr="005D3F76" w:rsidRDefault="007A5D55" w:rsidP="005D3F76">
          <w:pPr>
            <w:pStyle w:val="TOC1"/>
            <w:tabs>
              <w:tab w:val="right" w:leader="dot" w:pos="9350"/>
            </w:tabs>
            <w:spacing w:after="0" w:line="360" w:lineRule="auto"/>
            <w:rPr>
              <w:rFonts w:cs="Times New Roman"/>
            </w:rPr>
          </w:pPr>
          <w:r w:rsidRPr="005D3F76">
            <w:rPr>
              <w:rFonts w:cs="Times New Roman"/>
              <w:b/>
              <w:bCs/>
              <w:noProof/>
            </w:rPr>
            <w:fldChar w:fldCharType="end"/>
          </w:r>
        </w:p>
      </w:sdtContent>
    </w:sdt>
    <w:p w14:paraId="755C80AF" w14:textId="77777777" w:rsidR="0012433F" w:rsidRPr="005D3F76" w:rsidRDefault="0012433F" w:rsidP="006F28A3">
      <w:pPr>
        <w:pStyle w:val="Heading1"/>
        <w:rPr>
          <w:rFonts w:cs="Times New Roman"/>
        </w:rPr>
        <w:sectPr w:rsidR="0012433F" w:rsidRPr="005D3F76" w:rsidSect="009A00EB">
          <w:endnotePr>
            <w:numRestart w:val="eachSect"/>
          </w:endnotePr>
          <w:pgSz w:w="12240" w:h="15840"/>
          <w:pgMar w:top="1440" w:right="1440" w:bottom="1440" w:left="1440" w:header="720" w:footer="720" w:gutter="0"/>
          <w:pgNumType w:fmt="lowerRoman"/>
          <w:cols w:space="720"/>
          <w:docGrid w:linePitch="360"/>
        </w:sectPr>
      </w:pPr>
    </w:p>
    <w:p w14:paraId="78C1B3B4" w14:textId="69D4FD18" w:rsidR="00DC6D2F" w:rsidRPr="005D3F76" w:rsidRDefault="00A3521D" w:rsidP="006F28A3">
      <w:pPr>
        <w:pStyle w:val="Heading1"/>
        <w:rPr>
          <w:rFonts w:cs="Times New Roman"/>
        </w:rPr>
      </w:pPr>
      <w:bookmarkStart w:id="1" w:name="_Toc462843621"/>
      <w:r w:rsidRPr="005D3F76">
        <w:rPr>
          <w:rFonts w:cs="Times New Roman"/>
        </w:rPr>
        <w:lastRenderedPageBreak/>
        <w:t>CHAPTER ONE:</w:t>
      </w:r>
      <w:r w:rsidRPr="005D3F76">
        <w:rPr>
          <w:rFonts w:cs="Times New Roman"/>
        </w:rPr>
        <w:br/>
        <w:t>INTRODUCTION</w:t>
      </w:r>
      <w:bookmarkEnd w:id="1"/>
    </w:p>
    <w:p w14:paraId="3A180397" w14:textId="77777777" w:rsidR="00DC6D2F" w:rsidRPr="005D3F76" w:rsidRDefault="00DC6D2F" w:rsidP="001B1E2A">
      <w:pPr>
        <w:spacing w:before="480" w:after="480" w:line="240" w:lineRule="auto"/>
        <w:ind w:left="720"/>
        <w:rPr>
          <w:rFonts w:cs="Times New Roman"/>
          <w:b/>
          <w:szCs w:val="24"/>
        </w:rPr>
      </w:pPr>
      <w:r w:rsidRPr="005D3F76">
        <w:rPr>
          <w:rFonts w:cs="Times New Roman"/>
          <w:b/>
          <w:szCs w:val="24"/>
        </w:rPr>
        <w:t>Trade Unions have been an essential force for social change without which a semblance of a decent and humane society is impossible under capitalism, which leads to unfair economic structures that create huge inequalities. ~</w:t>
      </w:r>
      <w:r w:rsidRPr="005D3F76">
        <w:rPr>
          <w:rFonts w:cs="Times New Roman"/>
          <w:b/>
          <w:i/>
          <w:szCs w:val="24"/>
        </w:rPr>
        <w:t xml:space="preserve">Pope Francis speaking with President Barack Obama in a Recorded Meeting   </w:t>
      </w:r>
    </w:p>
    <w:p w14:paraId="4896F092" w14:textId="1E8C488E" w:rsidR="00B03557" w:rsidRPr="005D3F76" w:rsidRDefault="00B03557" w:rsidP="001B1E2A">
      <w:pPr>
        <w:ind w:firstLine="720"/>
        <w:rPr>
          <w:rFonts w:cs="Times New Roman"/>
          <w:szCs w:val="24"/>
        </w:rPr>
      </w:pPr>
      <w:r w:rsidRPr="005D3F76">
        <w:rPr>
          <w:rFonts w:cs="Times New Roman"/>
          <w:szCs w:val="24"/>
        </w:rPr>
        <w:t>What started my predilection and desire to begin researching the complex and highly convoluted contexts and subtexts of teacher unions in the United States of America (U.S.A.) began in 2011, when I was writing my thesis for my master’s degree. I ventured slightly into the teacher union arena as I was writing about how teaching in the U.S. is not treated as a ‘true profession’</w:t>
      </w:r>
      <w:r w:rsidRPr="005D3F76">
        <w:rPr>
          <w:rStyle w:val="EndnoteReference"/>
          <w:rFonts w:cs="Times New Roman"/>
          <w:szCs w:val="24"/>
        </w:rPr>
        <w:endnoteReference w:id="1"/>
      </w:r>
      <w:r w:rsidRPr="005D3F76">
        <w:rPr>
          <w:rFonts w:cs="Times New Roman"/>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&lt;EndNote&gt;&lt;Cite&gt;&lt;Author&gt;Harness&lt;/Author&gt;&lt;Year&gt;2011&lt;/Year&gt;&lt;RecNum&gt;283&lt;/RecNum&gt;&lt;DisplayText&gt;(M. A. Harness, 2011)&lt;/DisplayText&gt;&lt;record&gt;&lt;rec-number&gt;283&lt;/rec-number&gt;&lt;foreign-keys&gt;&lt;key app="EN" db-id="etwareaz8xpxz3et59b50d9vxrata9z2w2zt" timestamp="1465700262"&gt;283&lt;/key&gt;&lt;/foreign-keys&gt;&lt;ref-type name="Thesis"&gt;32&lt;/ref-type&gt;&lt;contributors&gt;&lt;authors&gt;&lt;author&gt;Melissa Ann Harness&lt;/author&gt;&lt;/authors&gt;&lt;tertiary-authors&gt;&lt;author&gt;Dr. Barbara Thayer-Bacon&lt;/author&gt;&lt;/tertiary-authors&gt;&lt;/contributors&gt;&lt;titles&gt;&lt;title&gt;Pretending Teaching is a Profession: Why Public School Teaching Will Never Be Considered a True Profession&lt;/title&gt;&lt;secondary-title&gt;Cultural Studies in Education&lt;/secondary-title&gt;&lt;/titles&gt;&lt;volume&gt;Master&amp;apos;s of Science&lt;/volume&gt;&lt;dates&gt;&lt;year&gt;2011&lt;/year&gt;&lt;pub-dates&gt;&lt;date&gt;August 2012&lt;/date&gt;&lt;/pub-dates&gt;&lt;/dates&gt;&lt;pub-location&gt;Knoxville, TN&lt;/pub-location&gt;&lt;publisher&gt;The University of Tennessee&lt;/publisher&gt;&lt;urls&gt;&lt;/urls&gt;&lt;/record&gt;&lt;/Cite&gt;&lt;/EndNote&gt;</w:instrText>
      </w:r>
      <w:r w:rsidRPr="005D3F76">
        <w:rPr>
          <w:rFonts w:cs="Times New Roman"/>
          <w:szCs w:val="24"/>
        </w:rPr>
        <w:fldChar w:fldCharType="separate"/>
      </w:r>
      <w:r w:rsidRPr="005D3F76">
        <w:rPr>
          <w:rFonts w:cs="Times New Roman"/>
          <w:noProof/>
          <w:szCs w:val="24"/>
        </w:rPr>
        <w:t>(M. A. Harness, 2011)</w:t>
      </w:r>
      <w:r w:rsidRPr="005D3F76">
        <w:rPr>
          <w:rFonts w:cs="Times New Roman"/>
          <w:szCs w:val="24"/>
        </w:rPr>
        <w:fldChar w:fldCharType="end"/>
      </w:r>
      <w:r w:rsidRPr="005D3F76">
        <w:rPr>
          <w:rFonts w:cs="Times New Roman"/>
          <w:szCs w:val="24"/>
        </w:rPr>
        <w:t>.  It was at the beginning of that year, in February, that media outlets around the U.S. began to report heavily on the strikes that were taking place throughout the state of Wisconsin, but particularly centered on the capital of the state, Madison.  These strikes, which were caused by a bill (ACT 10)</w:t>
      </w:r>
      <w:r w:rsidRPr="005D3F76">
        <w:rPr>
          <w:rStyle w:val="EndnoteReference"/>
          <w:rFonts w:cs="Times New Roman"/>
          <w:szCs w:val="24"/>
        </w:rPr>
        <w:endnoteReference w:id="2"/>
      </w:r>
      <w:r w:rsidRPr="005D3F76">
        <w:rPr>
          <w:rFonts w:cs="Times New Roman"/>
          <w:szCs w:val="24"/>
        </w:rPr>
        <w:t xml:space="preserve"> introduced by the then six week veteran to the governorship, Scott Walker, included weakening most “public-sector unions by sharply curtailing their collective bargaining rights, [and] limiting talks to subjects of basic wages” </w:t>
      </w:r>
      <w:r w:rsidRPr="005D3F76">
        <w:rPr>
          <w:rFonts w:cs="Times New Roman"/>
          <w:szCs w:val="24"/>
        </w:rPr>
        <w:fldChar w:fldCharType="begin"/>
      </w:r>
      <w:r w:rsidRPr="005D3F76">
        <w:rPr>
          <w:rFonts w:cs="Times New Roman"/>
          <w:szCs w:val="24"/>
        </w:rPr>
        <w:instrText xml:space="preserve"> ADDIN EN.CITE &lt;EndNote&gt;&lt;Cite&gt;&lt;Author&gt;Davey&lt;/Author&gt;&lt;Year&gt;2011&lt;/Year&gt;&lt;RecNum&gt;284&lt;/RecNum&gt;&lt;Suffix&gt;`, para. 3&lt;/Suffix&gt;&lt;DisplayText&gt;(Davey, 2011, para. 3)&lt;/DisplayText&gt;&lt;record&gt;&lt;rec-number&gt;284&lt;/rec-number&gt;&lt;foreign-keys&gt;&lt;key app="EN" db-id="etwareaz8xpxz3et59b50d9vxrata9z2w2zt" timestamp="1465700262"&gt;284&lt;/key&gt;&lt;/foreign-keys&gt;&lt;ref-type name="Newspaper Article"&gt;23&lt;/ref-type&gt;&lt;contributors&gt;&lt;authors&gt;&lt;author&gt;Monica Davey&lt;/author&gt;&lt;/authors&gt;&lt;/contributors&gt;&lt;titles&gt;&lt;title&gt;Angry Demonstrations in Wisconsin as Cuts Loom&lt;/title&gt;&lt;secondary-title&gt;The New York Times&lt;/secondary-title&gt;&lt;/titles&gt;&lt;section&gt;U.S. News&lt;/section&gt;&lt;dates&gt;&lt;year&gt;2011&lt;/year&gt;&lt;/dates&gt;&lt;pub-location&gt;New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(Davey, 2011, para. 3)</w:t>
      </w:r>
      <w:r w:rsidRPr="005D3F76">
        <w:rPr>
          <w:rFonts w:cs="Times New Roman"/>
          <w:szCs w:val="24"/>
        </w:rPr>
        <w:fldChar w:fldCharType="end"/>
      </w:r>
      <w:r w:rsidRPr="005D3F76">
        <w:rPr>
          <w:rFonts w:cs="Times New Roman"/>
          <w:szCs w:val="24"/>
        </w:rPr>
        <w:t xml:space="preserve">. When angry protestors confronted Governor Walker, he claimed that he was going after the public sector unions because of their budget shortfall in the state that was averaging almost $150 million a year, seemingly to increase to 2 billion dollars in the projected two years that were to follow </w:t>
      </w:r>
      <w:r w:rsidRPr="005D3F76">
        <w:rPr>
          <w:rFonts w:cs="Times New Roman"/>
          <w:szCs w:val="24"/>
        </w:rPr>
        <w:fldChar w:fldCharType="begin"/>
      </w:r>
      <w:r w:rsidRPr="005D3F76">
        <w:rPr>
          <w:rFonts w:cs="Times New Roman"/>
          <w:szCs w:val="24"/>
        </w:rPr>
        <w:instrText xml:space="preserve"> ADDIN EN.CITE &lt;EndNote&gt;&lt;Cite ExcludeAuth="1" ExcludeYear="1"&gt;&lt;Author&gt;Davey&lt;/Author&gt;&lt;Year&gt;2011&lt;/Year&gt;&lt;RecNum&gt;284&lt;/RecNum&gt;&lt;Suffix&gt;para 4&lt;/Suffix&gt;&lt;DisplayText&gt;(para 4)&lt;/DisplayText&gt;&lt;record&gt;&lt;rec-number&gt;284&lt;/rec-number&gt;&lt;foreign-keys&gt;&lt;key app="EN" db-id="etwareaz8xpxz3et59b50d9vxrata9z2w2zt" timestamp="1465700262"&gt;284&lt;/key&gt;&lt;/foreign-keys&gt;&lt;ref-type name="Newspaper Article"&gt;23&lt;/ref-type&gt;&lt;contributors&gt;&lt;authors&gt;&lt;author&gt;Monica Davey&lt;/author&gt;&lt;/authors&gt;&lt;/contributors&gt;&lt;titles&gt;&lt;title&gt;Angry Demonstrations in Wisconsin as Cuts Loom&lt;/title&gt;&lt;secondary-title&gt;The New York Times&lt;/secondary-title&gt;&lt;/titles&gt;&lt;section&gt;U.S. News&lt;/section&gt;&lt;dates&gt;&lt;year&gt;2011&lt;/year&gt;&lt;/dates&gt;&lt;pub-location&gt;New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(para 4)</w:t>
      </w:r>
      <w:r w:rsidRPr="005D3F76">
        <w:rPr>
          <w:rFonts w:cs="Times New Roman"/>
          <w:szCs w:val="24"/>
        </w:rPr>
        <w:fldChar w:fldCharType="end"/>
      </w:r>
      <w:r w:rsidRPr="005D3F76">
        <w:rPr>
          <w:rFonts w:cs="Times New Roman"/>
          <w:szCs w:val="24"/>
        </w:rPr>
        <w:t xml:space="preserve">.  With the use of the mass media and anti-labor advocates which included organizations and individuals in and outside the government, including, government officials both elected and appointed, political parties, and various corporations, Governor Walker began to create a picture of public sector union members as lazy, money hungry, non-committed, uncaring individuals. Thus, Governor Walker’s answer to the budget </w:t>
      </w:r>
      <w:r w:rsidRPr="005D3F76">
        <w:rPr>
          <w:rFonts w:cs="Times New Roman"/>
          <w:szCs w:val="24"/>
        </w:rPr>
        <w:lastRenderedPageBreak/>
        <w:t>shortfall became easy, his endeavor was to put an end to negotiations for public sector unions to effectively bargain for higher wages and extended health and pension benefits. After months, and recall elections of state senators in 2011, and the failed recall of Governor Walker in 2012, ACT 10 was eventually passed and signed into law. ACT 10 severely limits and in many cases outlaws public-sector unions’ (which includes teachers, fire fighters, and police officer unions) historical rights concerning collective bargaining. Many of these rights, such as the ability to strike and negotiate for pay, were fought over and won by these unions just a century ago. Unfortunately, they are now being stripped away in Wisconsin and other states throughout the U.S.</w:t>
      </w:r>
    </w:p>
    <w:p w14:paraId="6197E9C1" w14:textId="77777777" w:rsidR="00B03557" w:rsidRPr="005D3F76" w:rsidRDefault="00B03557" w:rsidP="00DC6D2F">
      <w:pPr>
        <w:pStyle w:val="FootnoteText"/>
        <w:spacing w:line="480" w:lineRule="auto"/>
        <w:rPr>
          <w:rFonts w:cs="Times New Roman"/>
          <w:sz w:val="24"/>
          <w:szCs w:val="24"/>
        </w:rPr>
      </w:pPr>
      <w:r w:rsidRPr="005D3F76">
        <w:rPr>
          <w:rFonts w:cs="Times New Roman"/>
          <w:sz w:val="24"/>
          <w:szCs w:val="24"/>
        </w:rPr>
        <w:tab/>
        <w:t xml:space="preserve">  For months, after the strikes in Wisconsin died down, the mass media continued to seemingly develop both textually and visually a disparaging story of public sector unions and their members that were fighting against a burgeoning anti-labor union movement being played out. Where did this anti-labor stance come from? The answer may lay within the mass media in the U.S. It must be interjected at this point what is meant by the mass media</w:t>
      </w:r>
      <w:r w:rsidRPr="005D3F76">
        <w:rPr>
          <w:rStyle w:val="EndnoteReference"/>
          <w:rFonts w:cs="Times New Roman"/>
          <w:sz w:val="24"/>
          <w:szCs w:val="24"/>
        </w:rPr>
        <w:endnoteReference w:id="3"/>
      </w:r>
      <w:r w:rsidRPr="005D3F76">
        <w:rPr>
          <w:rFonts w:cs="Times New Roman"/>
          <w:sz w:val="24"/>
          <w:szCs w:val="24"/>
        </w:rPr>
        <w:t xml:space="preserve"> within this body of research. The term mass media will refer to a means of communication, as both national broadcasts and cable television, or newspapers and magazines that a ‘mass’ of individuals view or read on a fairly routine basis. Jan Leighley (2004) writes that the mass media “create and distribute news to a mass audience and engage in overtly political communication. One of their key characteristics is that their messages are directed toward a large and relatively undifferentiated audience” </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ExcludeYear="1"&gt;&lt;Author&gt;Leighley&lt;/Author&gt;&lt;Year&gt;2004&lt;/Year&gt;&lt;RecNum&gt;285&lt;/RecNum&gt;&lt;Pages&gt;45&lt;/Pages&gt;&lt;DisplayText&gt;(p. 45)&lt;/DisplayText&gt;&lt;record&gt;&lt;rec-number&gt;285&lt;/rec-number&gt;&lt;foreign-keys&gt;&lt;key app="EN" db-id="etwareaz8xpxz3et59b50d9vxrata9z2w2zt" timestamp="1465700262"&gt;285&lt;/key&gt;&lt;/foreign-keys&gt;&lt;ref-type name="Book"&gt;6&lt;/ref-type&gt;&lt;contributors&gt;&lt;authors&gt;&lt;author&gt;Jan E. Leighley&lt;/author&gt;&lt;/authors&gt;&lt;/contributors&gt;&lt;titles&gt;&lt;title&gt;Mass Media and Politics&lt;/title&gt;&lt;/titles&gt;&lt;dates&gt;&lt;year&gt;2004&lt;/year&gt;&lt;/dates&gt;&lt;pub-location&gt;New York&lt;/pub-location&gt;&lt;publisher&gt;Houghton Miffin Company&lt;/publisher&gt;&lt;urls&gt;&lt;/urls&gt;&lt;/record&gt;&lt;/Cite&gt;&lt;/EndNote&gt;</w:instrText>
      </w:r>
      <w:r w:rsidRPr="005D3F76">
        <w:rPr>
          <w:rFonts w:cs="Times New Roman"/>
          <w:sz w:val="24"/>
          <w:szCs w:val="24"/>
        </w:rPr>
        <w:fldChar w:fldCharType="separate"/>
      </w:r>
      <w:r w:rsidRPr="005D3F76">
        <w:rPr>
          <w:rFonts w:cs="Times New Roman"/>
          <w:noProof/>
          <w:sz w:val="24"/>
          <w:szCs w:val="24"/>
        </w:rPr>
        <w:t>(p. 45)</w:t>
      </w:r>
      <w:r w:rsidRPr="005D3F76">
        <w:rPr>
          <w:rFonts w:cs="Times New Roman"/>
          <w:sz w:val="24"/>
          <w:szCs w:val="24"/>
        </w:rPr>
        <w:fldChar w:fldCharType="end"/>
      </w:r>
      <w:r w:rsidRPr="005D3F76">
        <w:rPr>
          <w:rFonts w:cs="Times New Roman"/>
          <w:sz w:val="24"/>
          <w:szCs w:val="24"/>
        </w:rPr>
        <w:t xml:space="preserve">. The question above as to where the anti-labor stance may be coming from, can observationally be answered as it seemed to be a consequence of the episodic news coverage by the media from 2011 to 2015, in places like Wisconsin where protests and demonstrations were held. </w:t>
      </w:r>
    </w:p>
    <w:p w14:paraId="1BEF6D5A" w14:textId="3062A1E2" w:rsidR="00B03557" w:rsidRPr="005D3F76" w:rsidRDefault="00B03557" w:rsidP="00DC6D2F">
      <w:pPr>
        <w:pStyle w:val="FootnoteText"/>
        <w:spacing w:line="480" w:lineRule="auto"/>
        <w:ind w:firstLine="720"/>
        <w:rPr>
          <w:rFonts w:cs="Times New Roman"/>
        </w:rPr>
      </w:pPr>
      <w:r w:rsidRPr="005D3F76">
        <w:rPr>
          <w:rFonts w:cs="Times New Roman"/>
          <w:sz w:val="24"/>
          <w:szCs w:val="24"/>
        </w:rPr>
        <w:lastRenderedPageBreak/>
        <w:t xml:space="preserve">According to Shanto Ivengar, a professor and author of political issues through media coverage, episodic media coverage refers to how the mass media covers political issues “as seemingly unrelated, discrete events” </w:t>
      </w:r>
      <w:r w:rsidRPr="005D3F76">
        <w:rPr>
          <w:rFonts w:cs="Times New Roman"/>
          <w:sz w:val="24"/>
          <w:szCs w:val="24"/>
        </w:rPr>
        <w:fldChar w:fldCharType="begin"/>
      </w:r>
      <w:r w:rsidRPr="005D3F76">
        <w:rPr>
          <w:rFonts w:cs="Times New Roman"/>
          <w:sz w:val="24"/>
          <w:szCs w:val="24"/>
        </w:rPr>
        <w:instrText xml:space="preserve"> ADDIN EN.CITE &lt;EndNote&gt;&lt;Cite&gt;&lt;Author&gt;Leighley&lt;/Author&gt;&lt;Year&gt;2004&lt;/Year&gt;&lt;RecNum&gt;285&lt;/RecNum&gt;&lt;Pages&gt;187&lt;/Pages&gt;&lt;DisplayText&gt;(Shanto Ivengar, 1996; Leighley, 2004a, p. 187)&lt;/DisplayText&gt;&lt;record&gt;&lt;rec-number&gt;285&lt;/rec-number&gt;&lt;foreign-keys&gt;&lt;key app="EN" db-id="etwareaz8xpxz3et59b50d9vxrata9z2w2zt" timestamp="1465700262"&gt;285&lt;/key&gt;&lt;/foreign-keys&gt;&lt;ref-type name="Book"&gt;6&lt;/ref-type&gt;&lt;contributors&gt;&lt;authors&gt;&lt;author&gt;Jan E. Leighley&lt;/author&gt;&lt;/authors&gt;&lt;/contributors&gt;&lt;titles&gt;&lt;title&gt;Mass Media and Politics&lt;/title&gt;&lt;/titles&gt;&lt;dates&gt;&lt;year&gt;2004&lt;/year&gt;&lt;/dates&gt;&lt;pub-location&gt;New York&lt;/pub-location&gt;&lt;publisher&gt;Houghton Miffin Company&lt;/publisher&gt;&lt;urls&gt;&lt;/urls&gt;&lt;/record&gt;&lt;/Cite&gt;&lt;Cite&gt;&lt;Author&gt;Ivengar&lt;/Author&gt;&lt;Year&gt;1996&lt;/Year&gt;&lt;RecNum&gt;286&lt;/RecNum&gt;&lt;record&gt;&lt;rec-number&gt;286&lt;/rec-number&gt;&lt;foreign-keys&gt;&lt;key app="EN" db-id="etwareaz8xpxz3et59b50d9vxrata9z2w2zt" timestamp="1465700262"&gt;286&lt;/key&gt;&lt;/foreign-keys&gt;&lt;ref-type name="Journal Article"&gt;17&lt;/ref-type&gt;&lt;contributors&gt;&lt;authors&gt;&lt;author&gt;Shanto Ivengar&lt;/author&gt;&lt;/authors&gt;&lt;/contributors&gt;&lt;titles&gt;&lt;title&gt;Framing Responsibility for Political Issues&lt;/title&gt;&lt;secondary-title&gt;American Academy of Political and Social Science&lt;/secondary-title&gt;&lt;/titles&gt;&lt;periodical&gt;&lt;full-title&gt;American Academy of Political and Social Science&lt;/full-title&gt;&lt;/periodical&gt;&lt;pages&gt;59-70&lt;/pages&gt;&lt;volume&gt;546&lt;/volume&gt;&lt;number&gt;The Media and Politics&lt;/number&gt;&lt;dates&gt;&lt;year&gt;1996&lt;/year&gt;&lt;/dates&gt;&lt;urls&gt;&lt;/urls&gt;&lt;/record&gt;&lt;/Cite&gt;&lt;/EndNote&gt;</w:instrText>
      </w:r>
      <w:r w:rsidRPr="005D3F76">
        <w:rPr>
          <w:rFonts w:cs="Times New Roman"/>
          <w:sz w:val="24"/>
          <w:szCs w:val="24"/>
        </w:rPr>
        <w:fldChar w:fldCharType="separate"/>
      </w:r>
      <w:r w:rsidRPr="005D3F76">
        <w:rPr>
          <w:rFonts w:cs="Times New Roman"/>
          <w:noProof/>
          <w:sz w:val="24"/>
          <w:szCs w:val="24"/>
        </w:rPr>
        <w:t>(Shanto Ivengar, 1996; Leighley, 2004a, p. 187)</w:t>
      </w:r>
      <w:r w:rsidRPr="005D3F76">
        <w:rPr>
          <w:rFonts w:cs="Times New Roman"/>
          <w:sz w:val="24"/>
          <w:szCs w:val="24"/>
        </w:rPr>
        <w:fldChar w:fldCharType="end"/>
      </w:r>
      <w:r w:rsidRPr="005D3F76">
        <w:rPr>
          <w:rFonts w:cs="Times New Roman"/>
          <w:sz w:val="24"/>
          <w:szCs w:val="24"/>
        </w:rPr>
        <w:t xml:space="preserve">. This is in contradiction to thematic media coverage where a ‘theme’ is covered over a long period of time, or is a frequently reoccurring issue reported. A small majority of the media may only cover thematic episodes, many times centered on heated discussions and analysis; whereas, episodic news coverage is generally covered by a larger amount of the media and includes relatively benign conversation </w:t>
      </w:r>
      <w:r w:rsidRPr="005D3F76">
        <w:rPr>
          <w:rFonts w:cs="Times New Roman"/>
          <w:sz w:val="24"/>
          <w:szCs w:val="24"/>
        </w:rPr>
        <w:fldChar w:fldCharType="begin"/>
      </w:r>
      <w:r w:rsidRPr="005D3F76">
        <w:rPr>
          <w:rFonts w:cs="Times New Roman"/>
          <w:sz w:val="24"/>
          <w:szCs w:val="24"/>
        </w:rPr>
        <w:instrText xml:space="preserve"> ADDIN EN.CITE &lt;EndNote&gt;&lt;Cite&gt;&lt;Author&gt;Leighley&lt;/Author&gt;&lt;Year&gt;2004&lt;/Year&gt;&lt;RecNum&gt;285&lt;/RecNum&gt;&lt;DisplayText&gt;(Leighley, 2004a; Ringel, 2009)&lt;/DisplayText&gt;&lt;record&gt;&lt;rec-number&gt;285&lt;/rec-number&gt;&lt;foreign-keys&gt;&lt;key app="EN" db-id="etwareaz8xpxz3et59b50d9vxrata9z2w2zt" timestamp="1465700262"&gt;285&lt;/key&gt;&lt;/foreign-keys&gt;&lt;ref-type name="Book"&gt;6&lt;/ref-type&gt;&lt;contributors&gt;&lt;authors&gt;&lt;author&gt;Jan E. Leighley&lt;/author&gt;&lt;/authors&gt;&lt;/contributors&gt;&lt;titles&gt;&lt;title&gt;Mass Media and Politics&lt;/title&gt;&lt;/titles&gt;&lt;dates&gt;&lt;year&gt;2004&lt;/year&gt;&lt;/dates&gt;&lt;pub-location&gt;New York&lt;/pub-location&gt;&lt;publisher&gt;Houghton Miffin Company&lt;/publisher&gt;&lt;urls&gt;&lt;/urls&gt;&lt;/record&gt;&lt;/Cite&gt;&lt;Cite&gt;&lt;Author&gt;Ringel&lt;/Author&gt;&lt;Year&gt;2009&lt;/Year&gt;&lt;RecNum&gt;287&lt;/RecNum&gt;&lt;record&gt;&lt;rec-number&gt;287&lt;/rec-number&gt;&lt;foreign-keys&gt;&lt;key app="EN" db-id="etwareaz8xpxz3et59b50d9vxrata9z2w2zt" timestamp="1465700262"&gt;287&lt;/key&gt;&lt;/foreign-keys&gt;&lt;ref-type name="Edited Book"&gt;28&lt;/ref-type&gt;&lt;contributors&gt;&lt;authors&gt;&lt;author&gt;Lewis S. Ringel&lt;/author&gt;&lt;/authors&gt;&lt;/contributors&gt;&lt;titles&gt;&lt;title&gt;The Lanahan Readings in Media and Politics&lt;/title&gt;&lt;/titles&gt;&lt;dates&gt;&lt;year&gt;2009&lt;/year&gt;&lt;/dates&gt;&lt;pub-location&gt;Baltimore&lt;/pub-location&gt;&lt;publisher&gt;Lanahan Publishing Inc&lt;/publisher&gt;&lt;urls&gt;&lt;/urls&gt;&lt;/record&gt;&lt;/Cite&gt;&lt;/EndNote&gt;</w:instrText>
      </w:r>
      <w:r w:rsidRPr="005D3F76">
        <w:rPr>
          <w:rFonts w:cs="Times New Roman"/>
          <w:sz w:val="24"/>
          <w:szCs w:val="24"/>
        </w:rPr>
        <w:fldChar w:fldCharType="separate"/>
      </w:r>
      <w:r w:rsidRPr="005D3F76">
        <w:rPr>
          <w:rFonts w:cs="Times New Roman"/>
          <w:noProof/>
          <w:sz w:val="24"/>
          <w:szCs w:val="24"/>
        </w:rPr>
        <w:t>(Leighley, 2004a; Ringel, 2009)</w:t>
      </w:r>
      <w:r w:rsidRPr="005D3F76">
        <w:rPr>
          <w:rFonts w:cs="Times New Roman"/>
          <w:sz w:val="24"/>
          <w:szCs w:val="24"/>
        </w:rPr>
        <w:fldChar w:fldCharType="end"/>
      </w:r>
      <w:r w:rsidRPr="005D3F76">
        <w:rPr>
          <w:rFonts w:cs="Times New Roman"/>
          <w:sz w:val="24"/>
          <w:szCs w:val="24"/>
        </w:rPr>
        <w:t xml:space="preserve">. An example of episodic media coverage in education can be witnessed in the strikes in Wisconsin mentioned above or the Sandy Hook elementary school shootings in Connecticut </w:t>
      </w:r>
      <w:r w:rsidRPr="005D3F76">
        <w:rPr>
          <w:rFonts w:cs="Times New Roman"/>
          <w:sz w:val="24"/>
          <w:szCs w:val="24"/>
        </w:rPr>
        <w:fldChar w:fldCharType="begin"/>
      </w:r>
      <w:r w:rsidRPr="005D3F76">
        <w:rPr>
          <w:rFonts w:cs="Times New Roman"/>
          <w:sz w:val="24"/>
          <w:szCs w:val="24"/>
        </w:rPr>
        <w:instrText xml:space="preserve"> ADDIN EN.CITE &lt;EndNote&gt;&lt;Cite&gt;&lt;Author&gt;Deloney&lt;/Author&gt;&lt;Year&gt;2012&lt;/Year&gt;&lt;RecNum&gt;213&lt;/RecNum&gt;&lt;DisplayText&gt;(Deloney, 2012)&lt;/DisplayText&gt;&lt;record&gt;&lt;rec-number&gt;213&lt;/rec-number&gt;&lt;foreign-keys&gt;&lt;key app="EN" db-id="etwareaz8xpxz3et59b50d9vxrata9z2w2zt" timestamp="1461536086"&gt;213&lt;/key&gt;&lt;/foreign-keys&gt;&lt;ref-type name="Web Page"&gt;12&lt;/ref-type&gt;&lt;contributors&gt;&lt;authors&gt;&lt;author&gt;Amalia Deloney&lt;/author&gt;&lt;/authors&gt;&lt;/contributors&gt;&lt;titles&gt;&lt;title&gt;Sandy Hook and Media Ownership--More Related Than You Might Think&lt;/title&gt;&lt;/titles&gt;&lt;volume&gt;2016&lt;/volume&gt;&lt;number&gt;April&lt;/number&gt;&lt;dates&gt;&lt;year&gt;2012&lt;/year&gt;&lt;/dates&gt;&lt;publisher&gt;The Center for Media Justice&lt;/publisher&gt;&lt;urls&gt;&lt;related-urls&gt;&lt;url&gt;http://centerformediajustice.org/2012/12/14/sandy-hook-and-media-ownership-more-related-than-you-might-think/&lt;/url&gt;&lt;/related-urls&gt;&lt;/urls&gt;&lt;/record&gt;&lt;/Cite&gt;&lt;/EndNote&gt;</w:instrText>
      </w:r>
      <w:r w:rsidRPr="005D3F76">
        <w:rPr>
          <w:rFonts w:cs="Times New Roman"/>
          <w:sz w:val="24"/>
          <w:szCs w:val="24"/>
        </w:rPr>
        <w:fldChar w:fldCharType="separate"/>
      </w:r>
      <w:r w:rsidRPr="005D3F76">
        <w:rPr>
          <w:rFonts w:cs="Times New Roman"/>
          <w:noProof/>
          <w:sz w:val="24"/>
          <w:szCs w:val="24"/>
        </w:rPr>
        <w:t>(Deloney, 2012)</w:t>
      </w:r>
      <w:r w:rsidRPr="005D3F76">
        <w:rPr>
          <w:rFonts w:cs="Times New Roman"/>
          <w:sz w:val="24"/>
          <w:szCs w:val="24"/>
        </w:rPr>
        <w:fldChar w:fldCharType="end"/>
      </w:r>
      <w:r w:rsidRPr="005D3F76">
        <w:rPr>
          <w:rFonts w:cs="Times New Roman"/>
          <w:sz w:val="24"/>
          <w:szCs w:val="24"/>
        </w:rPr>
        <w:t xml:space="preserve">. In these examples, it was an ‘episode’ that happened, that is devastating to witness, and whether or not legislation or changes are made based on these ‘episode’s’ is not necessarily important to those that are stakeholders in the media outlet. Conversely, an example of thematic media coverage can be found in the continuous exemplification of ‘bad teachers’ in the public education system, a topic that is continuously an ongoing mass media theme. We saw a major push for reform because of ‘bad teachers’ exemplified in the mass media in the early 1980’s after the report </w:t>
      </w:r>
      <w:r w:rsidRPr="005D3F76">
        <w:rPr>
          <w:rFonts w:cs="Times New Roman"/>
          <w:i/>
          <w:sz w:val="24"/>
          <w:szCs w:val="24"/>
        </w:rPr>
        <w:t>A Nation at Risk</w:t>
      </w:r>
      <w:r w:rsidRPr="005D3F76">
        <w:rPr>
          <w:rFonts w:cs="Times New Roman"/>
          <w:sz w:val="24"/>
          <w:szCs w:val="24"/>
        </w:rPr>
        <w:t xml:space="preserve"> was released </w:t>
      </w:r>
      <w:r w:rsidRPr="005D3F76">
        <w:rPr>
          <w:rFonts w:cs="Times New Roman"/>
          <w:sz w:val="24"/>
          <w:szCs w:val="24"/>
        </w:rPr>
        <w:fldChar w:fldCharType="begin"/>
      </w:r>
      <w:r w:rsidRPr="005D3F76">
        <w:rPr>
          <w:rFonts w:cs="Times New Roman"/>
          <w:sz w:val="24"/>
          <w:szCs w:val="24"/>
        </w:rPr>
        <w:instrText xml:space="preserve"> ADDIN EN.CITE &lt;EndNote&gt;&lt;Cite&gt;&lt;Author&gt;Education&lt;/Author&gt;&lt;Year&gt;1983&lt;/Year&gt;&lt;RecNum&gt;40&lt;/RecNum&gt;&lt;DisplayText&gt;(U. S. Department of Education, 1983)&lt;/DisplayText&gt;&lt;record&gt;&lt;rec-number&gt;40&lt;/rec-number&gt;&lt;foreign-keys&gt;&lt;key app="EN" db-id="etwareaz8xpxz3et59b50d9vxrata9z2w2zt" timestamp="1453065115"&gt;40&lt;/key&gt;&lt;/foreign-keys&gt;&lt;ref-type name="Report"&gt;27&lt;/ref-type&gt;&lt;contributors&gt;&lt;authors&gt;&lt;author&gt;U. S. Department of Education,&lt;/author&gt;&lt;/authors&gt;&lt;subsidiary-authors&gt;&lt;author&gt;Education&lt;/author&gt;&lt;/subsidiary-authors&gt;&lt;/contributors&gt;&lt;titles&gt;&lt;title&gt;A Nation at Risk&lt;/title&gt;&lt;/titles&gt;&lt;dates&gt;&lt;year&gt;1983&lt;/year&gt;&lt;pub-dates&gt;&lt;date&gt;April 1983&lt;/date&gt;&lt;/pub-dates&gt;&lt;/dates&gt;&lt;pub-location&gt;Washington D.C.&lt;/pub-location&gt;&lt;publisher&gt;Department of Education&lt;/publisher&gt;&lt;urls&gt;&lt;related-urls&gt;&lt;url&gt;http://www2.ed.gov/pubs/NatAtRisk/risk.html&lt;/url&gt;&lt;/related-urls&gt;&lt;/urls&gt;&lt;/record&gt;&lt;/Cite&gt;&lt;/EndNote&gt;</w:instrText>
      </w:r>
      <w:r w:rsidRPr="005D3F76">
        <w:rPr>
          <w:rFonts w:cs="Times New Roman"/>
          <w:sz w:val="24"/>
          <w:szCs w:val="24"/>
        </w:rPr>
        <w:fldChar w:fldCharType="separate"/>
      </w:r>
      <w:r w:rsidRPr="005D3F76">
        <w:rPr>
          <w:rFonts w:cs="Times New Roman"/>
          <w:noProof/>
          <w:sz w:val="24"/>
          <w:szCs w:val="24"/>
        </w:rPr>
        <w:t>(U. S. Department of Education, 1983)</w:t>
      </w:r>
      <w:r w:rsidRPr="005D3F76">
        <w:rPr>
          <w:rFonts w:cs="Times New Roman"/>
          <w:sz w:val="24"/>
          <w:szCs w:val="24"/>
        </w:rPr>
        <w:fldChar w:fldCharType="end"/>
      </w:r>
      <w:r w:rsidRPr="005D3F76">
        <w:rPr>
          <w:rFonts w:cs="Times New Roman"/>
          <w:sz w:val="24"/>
          <w:szCs w:val="24"/>
        </w:rPr>
        <w:t xml:space="preserve">; and again, some of the same negative coverage of teachers was done prior to the release of the </w:t>
      </w:r>
      <w:r w:rsidRPr="005D3F76">
        <w:rPr>
          <w:rFonts w:cs="Times New Roman"/>
          <w:i/>
          <w:sz w:val="24"/>
          <w:szCs w:val="24"/>
        </w:rPr>
        <w:t>No Child Left Behind</w:t>
      </w:r>
      <w:r w:rsidRPr="005D3F76">
        <w:rPr>
          <w:rFonts w:cs="Times New Roman"/>
          <w:sz w:val="24"/>
          <w:szCs w:val="24"/>
        </w:rPr>
        <w:t xml:space="preserve"> law </w:t>
      </w:r>
      <w:r w:rsidRPr="005D3F76">
        <w:rPr>
          <w:rFonts w:cs="Times New Roman"/>
          <w:sz w:val="24"/>
          <w:szCs w:val="24"/>
        </w:rPr>
        <w:fldChar w:fldCharType="begin"/>
      </w:r>
      <w:r w:rsidRPr="005D3F76">
        <w:rPr>
          <w:rFonts w:cs="Times New Roman"/>
          <w:sz w:val="24"/>
          <w:szCs w:val="24"/>
        </w:rPr>
        <w:instrText xml:space="preserve"> ADDIN EN.CITE &lt;EndNote&gt;&lt;Cite&gt;&lt;Year&gt;2001&lt;/Year&gt;&lt;RecNum&gt;41&lt;/RecNum&gt;&lt;DisplayText&gt;(&amp;quot;No Child Left Behind Elementary and Secondary Education Act,&amp;quot; 2001)&lt;/DisplayText&gt;&lt;record&gt;&lt;rec-number&gt;41&lt;/rec-number&gt;&lt;foreign-keys&gt;&lt;key app="EN" db-id="etwareaz8xpxz3et59b50d9vxrata9z2w2zt" timestamp="1453065365"&gt;41&lt;/key&gt;&lt;/foreign-keys&gt;&lt;ref-type name="Statute"&gt;31&lt;/ref-type&gt;&lt;contributors&gt;&lt;secondary-authors&gt;&lt;author&gt;U. S. Department of Education&lt;/author&gt;&lt;/secondary-authors&gt;&lt;/contributors&gt;&lt;titles&gt;&lt;title&gt;No Child Left Behind Elementary and Secondary Education Act&lt;/title&gt;&lt;/titles&gt;&lt;number&gt;PL 107-110&lt;/number&gt;&lt;dates&gt;&lt;year&gt;2001&lt;/year&gt;&lt;/dates&gt;&lt;pub-location&gt;United States of America&lt;/pub-location&gt;&lt;urls&gt;&lt;related-urls&gt;&lt;url&gt;http://www2.ed.gov/nclb/landing.jhtml&lt;/url&gt;&lt;/related-urls&gt;&lt;/urls&gt;&lt;/record&gt;&lt;/Cite&gt;&lt;/EndNote&gt;</w:instrText>
      </w:r>
      <w:r w:rsidRPr="005D3F76">
        <w:rPr>
          <w:rFonts w:cs="Times New Roman"/>
          <w:sz w:val="24"/>
          <w:szCs w:val="24"/>
        </w:rPr>
        <w:fldChar w:fldCharType="separate"/>
      </w:r>
      <w:r w:rsidRPr="005D3F76">
        <w:rPr>
          <w:rFonts w:cs="Times New Roman"/>
          <w:noProof/>
          <w:sz w:val="24"/>
          <w:szCs w:val="24"/>
        </w:rPr>
        <w:t>("No Child Left Behind Elementary and Secondary Education Act," 2001)</w:t>
      </w:r>
      <w:r w:rsidRPr="005D3F76">
        <w:rPr>
          <w:rFonts w:cs="Times New Roman"/>
          <w:sz w:val="24"/>
          <w:szCs w:val="24"/>
        </w:rPr>
        <w:fldChar w:fldCharType="end"/>
      </w:r>
      <w:r w:rsidRPr="005D3F76">
        <w:rPr>
          <w:rFonts w:cs="Times New Roman"/>
          <w:sz w:val="24"/>
          <w:szCs w:val="24"/>
        </w:rPr>
        <w:t xml:space="preserve"> and </w:t>
      </w:r>
      <w:r w:rsidRPr="005D3F76">
        <w:rPr>
          <w:rFonts w:cs="Times New Roman"/>
          <w:i/>
          <w:sz w:val="24"/>
          <w:szCs w:val="24"/>
        </w:rPr>
        <w:t xml:space="preserve">Race to the Top </w:t>
      </w:r>
      <w:r w:rsidRPr="005D3F76">
        <w:rPr>
          <w:rFonts w:cs="Times New Roman"/>
          <w:sz w:val="24"/>
          <w:szCs w:val="24"/>
        </w:rPr>
        <w:fldChar w:fldCharType="begin"/>
      </w:r>
      <w:r w:rsidRPr="005D3F76">
        <w:rPr>
          <w:rFonts w:cs="Times New Roman"/>
          <w:sz w:val="24"/>
          <w:szCs w:val="24"/>
        </w:rPr>
        <w:instrText xml:space="preserve"> ADDIN EN.CITE &lt;EndNote&gt;&lt;Cite&gt;&lt;Year&gt;2011&lt;/Year&gt;&lt;RecNum&gt;42&lt;/RecNum&gt;&lt;DisplayText&gt;(&amp;quot;No Child Left Behind Race to the Top Fund,&amp;quot; 2011)&lt;/DisplayText&gt;&lt;record&gt;&lt;rec-number&gt;42&lt;/rec-number&gt;&lt;foreign-keys&gt;&lt;key app="EN" db-id="etwareaz8xpxz3et59b50d9vxrata9z2w2zt" timestamp="1453065522"&gt;42&lt;/key&gt;&lt;/foreign-keys&gt;&lt;ref-type name="Legal Rule or Regulation"&gt;50&lt;/ref-type&gt;&lt;contributors&gt;&lt;secondary-authors&gt;&lt;author&gt;U. S. Department of Education&lt;/author&gt;&lt;/secondary-authors&gt;&lt;/contributors&gt;&lt;titles&gt;&lt;title&gt;No Child Left Behind Race to the Top Fund&lt;/title&gt;&lt;/titles&gt;&lt;dates&gt;&lt;year&gt;2011&lt;/year&gt;&lt;/dates&gt;&lt;pub-location&gt;Washington D.C.&lt;/pub-location&gt;&lt;urls&gt;&lt;related-urls&gt;&lt;url&gt;http://www2.ed.gov/programs/racetothetop/index.html&lt;/url&gt;&lt;/related-urls&gt;&lt;/urls&gt;&lt;/record&gt;&lt;/Cite&gt;&lt;/EndNote&gt;</w:instrText>
      </w:r>
      <w:r w:rsidRPr="005D3F76">
        <w:rPr>
          <w:rFonts w:cs="Times New Roman"/>
          <w:sz w:val="24"/>
          <w:szCs w:val="24"/>
        </w:rPr>
        <w:fldChar w:fldCharType="separate"/>
      </w:r>
      <w:r w:rsidRPr="005D3F76">
        <w:rPr>
          <w:rFonts w:cs="Times New Roman"/>
          <w:noProof/>
          <w:sz w:val="24"/>
          <w:szCs w:val="24"/>
        </w:rPr>
        <w:t>("No Child Left Behind Race to the Top Fund," 2011)</w:t>
      </w:r>
      <w:r w:rsidRPr="005D3F76">
        <w:rPr>
          <w:rFonts w:cs="Times New Roman"/>
          <w:sz w:val="24"/>
          <w:szCs w:val="24"/>
        </w:rPr>
        <w:fldChar w:fldCharType="end"/>
      </w:r>
      <w:r w:rsidRPr="005D3F76">
        <w:rPr>
          <w:rFonts w:cs="Times New Roman"/>
          <w:i/>
          <w:sz w:val="24"/>
          <w:szCs w:val="24"/>
        </w:rPr>
        <w:t xml:space="preserve"> </w:t>
      </w:r>
      <w:r w:rsidRPr="005D3F76">
        <w:rPr>
          <w:rFonts w:cs="Times New Roman"/>
          <w:sz w:val="24"/>
          <w:szCs w:val="24"/>
        </w:rPr>
        <w:t xml:space="preserve">policy. Many researchers claim that both thematic and episodic news are always run in conjunction with one another, in one format or another </w:t>
      </w:r>
      <w:r w:rsidRPr="005D3F76">
        <w:rPr>
          <w:rFonts w:cs="Times New Roman"/>
          <w:sz w:val="24"/>
          <w:szCs w:val="24"/>
        </w:rPr>
        <w:fldChar w:fldCharType="begin"/>
      </w:r>
      <w:r w:rsidRPr="005D3F76">
        <w:rPr>
          <w:rFonts w:cs="Times New Roman"/>
          <w:sz w:val="24"/>
          <w:szCs w:val="24"/>
        </w:rPr>
        <w:instrText xml:space="preserve"> ADDIN EN.CITE &lt;EndNote&gt;&lt;Cite&gt;&lt;Author&gt;Leighley&lt;/Author&gt;&lt;Year&gt;2004&lt;/Year&gt;&lt;RecNum&gt;285&lt;/RecNum&gt;&lt;DisplayText&gt;(Leighley, 2004a)&lt;/DisplayText&gt;&lt;record&gt;&lt;rec-number&gt;285&lt;/rec-number&gt;&lt;foreign-keys&gt;&lt;key app="EN" db-id="etwareaz8xpxz3et59b50d9vxrata9z2w2zt" timestamp="1465700262"&gt;285&lt;/key&gt;&lt;/foreign-keys&gt;&lt;ref-type name="Book"&gt;6&lt;/ref-type&gt;&lt;contributors&gt;&lt;authors&gt;&lt;author&gt;Jan E. Leighley&lt;/author&gt;&lt;/authors&gt;&lt;/contributors&gt;&lt;titles&gt;&lt;title&gt;Mass Media and Politics&lt;/title&gt;&lt;/titles&gt;&lt;dates&gt;&lt;year&gt;2004&lt;/year&gt;&lt;/dates&gt;&lt;pub-location&gt;New York&lt;/pub-location&gt;&lt;publisher&gt;Houghton Miffin Company&lt;/publisher&gt;&lt;urls&gt;&lt;/urls&gt;&lt;/record&gt;&lt;/Cite&gt;&lt;/EndNote&gt;</w:instrText>
      </w:r>
      <w:r w:rsidRPr="005D3F76">
        <w:rPr>
          <w:rFonts w:cs="Times New Roman"/>
          <w:sz w:val="24"/>
          <w:szCs w:val="24"/>
        </w:rPr>
        <w:fldChar w:fldCharType="separate"/>
      </w:r>
      <w:r w:rsidRPr="005D3F76">
        <w:rPr>
          <w:rFonts w:cs="Times New Roman"/>
          <w:noProof/>
          <w:sz w:val="24"/>
          <w:szCs w:val="24"/>
        </w:rPr>
        <w:t>(Leighley, 2004a)</w:t>
      </w:r>
      <w:r w:rsidRPr="005D3F76">
        <w:rPr>
          <w:rFonts w:cs="Times New Roman"/>
          <w:sz w:val="24"/>
          <w:szCs w:val="24"/>
        </w:rPr>
        <w:fldChar w:fldCharType="end"/>
      </w:r>
      <w:r w:rsidRPr="005D3F76">
        <w:rPr>
          <w:rFonts w:cs="Times New Roman"/>
          <w:sz w:val="24"/>
          <w:szCs w:val="24"/>
        </w:rPr>
        <w:t xml:space="preserve">; others claim that the news uses only one at a time </w:t>
      </w:r>
      <w:r w:rsidRPr="005D3F76">
        <w:rPr>
          <w:rFonts w:cs="Times New Roman"/>
          <w:sz w:val="24"/>
          <w:szCs w:val="24"/>
        </w:rPr>
        <w:fldChar w:fldCharType="begin"/>
      </w:r>
      <w:r w:rsidRPr="005D3F76">
        <w:rPr>
          <w:rFonts w:cs="Times New Roman"/>
          <w:sz w:val="24"/>
          <w:szCs w:val="24"/>
        </w:rPr>
        <w:instrText xml:space="preserve"> ADDIN EN.CITE &lt;EndNote&gt;&lt;Cite&gt;&lt;Author&gt;Ivengar&lt;/Author&gt;&lt;Year&gt;1991&lt;/Year&gt;&lt;RecNum&gt;43&lt;/RecNum&gt;&lt;DisplayText&gt;(S. Ivengar, 1991)&lt;/DisplayText&gt;&lt;record&gt;&lt;rec-number&gt;43&lt;/rec-number&gt;&lt;foreign-keys&gt;&lt;key app="EN" db-id="etwareaz8xpxz3et59b50d9vxrata9z2w2zt" timestamp="1453066200"&gt;43&lt;/key&gt;&lt;/foreign-keys&gt;&lt;ref-type name="Book"&gt;6&lt;/ref-type&gt;&lt;contributors&gt;&lt;authors&gt;&lt;author&gt;S. Ivengar&lt;/author&gt;&lt;/authors&gt;&lt;/contributors&gt;&lt;titles&gt;&lt;title&gt;Is Anyone Responsible? How Television Frames Political Issues&lt;/title&gt;&lt;/titles&gt;&lt;dates&gt;&lt;year&gt;1991&lt;/year&gt;&lt;/dates&gt;&lt;pub-location&gt;Chicago&lt;/pub-location&gt;&lt;publisher&gt;University of Chicago Press&lt;/publisher&gt;&lt;urls&gt;&lt;/urls&gt;&lt;/record&gt;&lt;/Cite&gt;&lt;/EndNote&gt;</w:instrText>
      </w:r>
      <w:r w:rsidRPr="005D3F76">
        <w:rPr>
          <w:rFonts w:cs="Times New Roman"/>
          <w:sz w:val="24"/>
          <w:szCs w:val="24"/>
        </w:rPr>
        <w:fldChar w:fldCharType="separate"/>
      </w:r>
      <w:r w:rsidRPr="005D3F76">
        <w:rPr>
          <w:rFonts w:cs="Times New Roman"/>
          <w:noProof/>
          <w:sz w:val="24"/>
          <w:szCs w:val="24"/>
        </w:rPr>
        <w:t>(S. Ivengar, 1991)</w:t>
      </w:r>
      <w:r w:rsidRPr="005D3F76">
        <w:rPr>
          <w:rFonts w:cs="Times New Roman"/>
          <w:sz w:val="24"/>
          <w:szCs w:val="24"/>
        </w:rPr>
        <w:fldChar w:fldCharType="end"/>
      </w:r>
      <w:r w:rsidRPr="005D3F76">
        <w:rPr>
          <w:rFonts w:cs="Times New Roman"/>
          <w:sz w:val="24"/>
          <w:szCs w:val="24"/>
        </w:rPr>
        <w:t>. Either way it is important to understand the ideas behind these concepts of the media.</w:t>
      </w:r>
    </w:p>
    <w:p w14:paraId="4B42E02C" w14:textId="4F8DA0B3" w:rsidR="00B03557" w:rsidRPr="005D3F76" w:rsidRDefault="00B03557" w:rsidP="00DC6D2F">
      <w:pPr>
        <w:ind w:firstLine="720"/>
        <w:rPr>
          <w:rFonts w:cs="Times New Roman"/>
          <w:szCs w:val="24"/>
        </w:rPr>
      </w:pPr>
      <w:r w:rsidRPr="005D3F76">
        <w:rPr>
          <w:rFonts w:cs="Times New Roman"/>
          <w:szCs w:val="24"/>
        </w:rPr>
        <w:lastRenderedPageBreak/>
        <w:t>Specifically, an example of the mass media’s episodic coverage of teacher unions that would later lead to state legislatures creating policies that were detrimental to teacher unions could be found in Chicago, where the mass media’s coverage of teachers in the area was unfavorable. Reporters from television and newspapers conveyed that public school (K-12</w:t>
      </w:r>
      <w:r w:rsidRPr="005D3F76">
        <w:rPr>
          <w:rFonts w:cs="Times New Roman"/>
          <w:szCs w:val="24"/>
          <w:vertAlign w:val="superscript"/>
        </w:rPr>
        <w:t>th</w:t>
      </w:r>
      <w:r w:rsidRPr="005D3F76">
        <w:rPr>
          <w:rFonts w:cs="Times New Roman"/>
          <w:szCs w:val="24"/>
        </w:rPr>
        <w:t xml:space="preserve"> grade) teachers in Chicago did not really care about their students, but were simply trying to look out for their best interests by demanding smaller class sizes and a “staggering” amount of additional income </w:t>
      </w:r>
      <w:r w:rsidRPr="005D3F76">
        <w:rPr>
          <w:rFonts w:cs="Times New Roman"/>
          <w:szCs w:val="24"/>
        </w:rPr>
        <w:fldChar w:fldCharType="begin"/>
      </w:r>
      <w:r w:rsidRPr="005D3F76">
        <w:rPr>
          <w:rFonts w:cs="Times New Roman"/>
          <w:szCs w:val="24"/>
        </w:rPr>
        <w:instrText xml:space="preserve"> ADDIN EN.CITE &lt;EndNote&gt;&lt;Cite&gt;&lt;Author&gt;Pearson&lt;/Author&gt;&lt;Year&gt;2012&lt;/Year&gt;&lt;RecNum&gt;288&lt;/RecNum&gt;&lt;DisplayText&gt;(Pearson, 2012)&lt;/DisplayText&gt;&lt;record&gt;&lt;rec-number&gt;288&lt;/rec-number&gt;&lt;foreign-keys&gt;&lt;key app="EN" db-id="etwareaz8xpxz3et59b50d9vxrata9z2w2zt" timestamp="1465700263"&gt;288&lt;/key&gt;&lt;/foreign-keys&gt;&lt;ref-type name="Online Multimedia"&gt;48&lt;/ref-type&gt;&lt;contributors&gt;&lt;authors&gt;&lt;author&gt;Michael Pearson&lt;/author&gt;&lt;/authors&gt;&lt;/contributors&gt;&lt;titles&gt;&lt;title&gt;Wins, Losses and Draws School Strike&lt;/title&gt;&lt;secondary-title&gt;News&lt;/secondary-title&gt;&lt;/titles&gt;&lt;dates&gt;&lt;year&gt;2012&lt;/year&gt;&lt;pub-dates&gt;&lt;date&gt;September 2, 2015&lt;/date&gt;&lt;/pub-dates&gt;&lt;/dates&gt;&lt;publisher&gt;CNN&lt;/publisher&gt;&lt;urls&gt;&lt;related-urls&gt;&lt;url&gt;http://www.cnn.com/2012/09/19/us/illinois-chicago-teachers-strike/&lt;/url&gt;&lt;/related-urls&gt;&lt;/urls&gt;&lt;/record&gt;&lt;/Cite&gt;&lt;/EndNote&gt;</w:instrText>
      </w:r>
      <w:r w:rsidRPr="005D3F76">
        <w:rPr>
          <w:rFonts w:cs="Times New Roman"/>
          <w:szCs w:val="24"/>
        </w:rPr>
        <w:fldChar w:fldCharType="separate"/>
      </w:r>
      <w:r w:rsidRPr="005D3F76">
        <w:rPr>
          <w:rFonts w:cs="Times New Roman"/>
          <w:noProof/>
          <w:szCs w:val="24"/>
        </w:rPr>
        <w:t>(Pearson, 2012)</w:t>
      </w:r>
      <w:r w:rsidRPr="005D3F76">
        <w:rPr>
          <w:rFonts w:cs="Times New Roman"/>
          <w:szCs w:val="24"/>
        </w:rPr>
        <w:fldChar w:fldCharType="end"/>
      </w:r>
      <w:r w:rsidRPr="005D3F76">
        <w:rPr>
          <w:rFonts w:cs="Times New Roman"/>
          <w:szCs w:val="24"/>
        </w:rPr>
        <w:t xml:space="preserve">. As a consequence of such coverage and damaging remarks concerning teacher unions, sixteen states, including Tennessee, Ohio, Florida, and California, began to see protests and strikes by their citizenry opposed to legislation that was being introduced that restricted, or in some cases outlawed, collective bargaining rights.  Other states, including New Jersey, Michigan, Indiana, Kansas and Iowa, passed legislation and policies that severely crippled most of the capabilities of the public-sector labor unions within them </w:t>
      </w:r>
      <w:r w:rsidRPr="005D3F76">
        <w:rPr>
          <w:rFonts w:cs="Times New Roman"/>
          <w:szCs w:val="24"/>
        </w:rPr>
        <w:fldChar w:fldCharType="begin"/>
      </w:r>
      <w:r w:rsidRPr="005D3F76">
        <w:rPr>
          <w:rFonts w:cs="Times New Roman"/>
          <w:szCs w:val="24"/>
        </w:rPr>
        <w:instrText xml:space="preserve"> ADDIN EN.CITE &lt;EndNote&gt;&lt;Cite&gt;&lt;Author&gt;Edwards&lt;/Author&gt;&lt;Year&gt;2011&lt;/Year&gt;&lt;RecNum&gt;289&lt;/RecNum&gt;&lt;DisplayText&gt;(J. Edwards &amp;amp; Brennan, 2011)&lt;/DisplayText&gt;&lt;record&gt;&lt;rec-number&gt;289&lt;/rec-number&gt;&lt;foreign-keys&gt;&lt;key app="EN" db-id="etwareaz8xpxz3et59b50d9vxrata9z2w2zt" timestamp="1465700263"&gt;289&lt;/key&gt;&lt;/foreign-keys&gt;&lt;ref-type name="Magazine Article"&gt;19&lt;/ref-type&gt;&lt;contributors&gt;&lt;authors&gt;&lt;author&gt;Julia Edwards&lt;/author&gt;&lt;author&gt;Kevin Brennan&lt;/author&gt;&lt;/authors&gt;&lt;/contributors&gt;&lt;titles&gt;&lt;title&gt;Unions Protests Spread Across the U.S.&lt;/title&gt;&lt;secondary-title&gt;National Journal Archived&lt;/secondary-title&gt;&lt;/titles&gt;&lt;dates&gt;&lt;year&gt;2011&lt;/year&gt;&lt;/dates&gt;&lt;urls&gt;&lt;/urls&gt;&lt;/record&gt;&lt;/Cite&gt;&lt;/EndNote&gt;</w:instrText>
      </w:r>
      <w:r w:rsidRPr="005D3F76">
        <w:rPr>
          <w:rFonts w:cs="Times New Roman"/>
          <w:szCs w:val="24"/>
        </w:rPr>
        <w:fldChar w:fldCharType="separate"/>
      </w:r>
      <w:r w:rsidRPr="005D3F76">
        <w:rPr>
          <w:rFonts w:cs="Times New Roman"/>
          <w:noProof/>
          <w:szCs w:val="24"/>
        </w:rPr>
        <w:t>(J. Edwards &amp; Brennan, 2011)</w:t>
      </w:r>
      <w:r w:rsidRPr="005D3F76">
        <w:rPr>
          <w:rFonts w:cs="Times New Roman"/>
          <w:szCs w:val="24"/>
        </w:rPr>
        <w:fldChar w:fldCharType="end"/>
      </w:r>
      <w:r w:rsidRPr="005D3F76">
        <w:rPr>
          <w:rFonts w:cs="Times New Roman"/>
          <w:szCs w:val="24"/>
        </w:rPr>
        <w:t xml:space="preserve">. </w:t>
      </w:r>
    </w:p>
    <w:p w14:paraId="5F9EE6F4" w14:textId="77777777" w:rsidR="00B03557" w:rsidRPr="005D3F76" w:rsidRDefault="00B03557" w:rsidP="00DC6D2F">
      <w:pPr>
        <w:rPr>
          <w:rFonts w:cs="Times New Roman"/>
          <w:szCs w:val="24"/>
        </w:rPr>
      </w:pPr>
      <w:r w:rsidRPr="005D3F76">
        <w:rPr>
          <w:rFonts w:cs="Times New Roman"/>
          <w:szCs w:val="24"/>
        </w:rPr>
        <w:tab/>
        <w:t xml:space="preserve">The story above illustrates a very poignant point concerning the ever-evolving domains of both public education and educational policy development within the U.S., and how the reporting done by the media is changing the power dynamics within U.S. society. Simply put, educational policy making in the U.S. has changed drastically over the last several decades especially for once very powerful groups such as teacher unions. As Peter Piazza (2014), a professor of educational policy, wrote concerning the shift in policy and political groups: </w:t>
      </w:r>
    </w:p>
    <w:p w14:paraId="6E0EF8DA" w14:textId="3ED7A629" w:rsidR="00B03557" w:rsidRPr="005D3F76" w:rsidRDefault="00B03557" w:rsidP="00DC6D2F">
      <w:pPr>
        <w:ind w:left="720"/>
        <w:rPr>
          <w:rFonts w:cs="Times New Roman"/>
          <w:szCs w:val="24"/>
        </w:rPr>
      </w:pPr>
      <w:r w:rsidRPr="005D3F76">
        <w:rPr>
          <w:rFonts w:cs="Times New Roman"/>
          <w:szCs w:val="24"/>
        </w:rPr>
        <w:t xml:space="preserve">A diverse array of policy proposals is now debated and developed by an increasingly diverse array of high-powered, high-level political actors. New to state-level policy making, a loosely –federated group of non-profit advocacy organizations have enjoyed remarkable success in recent years. Meanwhile, for better or worse, entrenched political </w:t>
      </w:r>
      <w:r w:rsidRPr="005D3F76">
        <w:rPr>
          <w:rFonts w:cs="Times New Roman"/>
          <w:szCs w:val="24"/>
        </w:rPr>
        <w:lastRenderedPageBreak/>
        <w:t>actors, like teachers’ unions, now face credible threats to their longstanding hold on political power.</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 ExcludeAuth="1" ExcludeYear="1"&gt;&lt;Author&gt;Piazza&lt;/Author&gt;&lt;Year&gt;2014&lt;/Year&gt;&lt;RecNum&gt;290&lt;/RecNum&gt;&lt;Pages&gt;3&lt;/Pages&gt;&lt;DisplayText&gt;(p. 3)&lt;/DisplayText&gt;&lt;record&gt;&lt;rec-number&gt;290&lt;/rec-number&gt;&lt;foreign-keys&gt;&lt;key app="EN" db-id="etwareaz8xpxz3et59b50d9vxrata9z2w2zt" timestamp="1465700263"&gt;290&lt;/key&gt;&lt;/foreign-keys&gt;&lt;ref-type name="Journal Article"&gt;17&lt;/ref-type&gt;&lt;contributors&gt;&lt;authors&gt;&lt;author&gt;Peter Piazza&lt;/author&gt;&lt;/authors&gt;&lt;/contributors&gt;&lt;titles&gt;&lt;title&gt;The Media Got it Wrong! A Critical Discourse Analysis of Changes to the Educational Policy Making Arena&lt;/title&gt;&lt;secondary-title&gt;edcuation policy analysis archives&lt;/secondary-title&gt;&lt;/titles&gt;&lt;periodical&gt;&lt;full-title&gt;edcuation policy analysis archives&lt;/full-title&gt;&lt;/periodical&gt;&lt;volume&gt;22&lt;/volume&gt;&lt;number&gt;36&lt;/number&gt;&lt;dates&gt;&lt;year&gt;2014&lt;/year&gt;&lt;/dates&gt;&lt;urls&gt;&lt;/urls&gt;&lt;/record&gt;&lt;/Cite&gt;&lt;/EndNote&gt;</w:instrText>
      </w:r>
      <w:r w:rsidRPr="005D3F76">
        <w:rPr>
          <w:rFonts w:cs="Times New Roman"/>
          <w:szCs w:val="24"/>
        </w:rPr>
        <w:fldChar w:fldCharType="separate"/>
      </w:r>
      <w:r w:rsidRPr="005D3F76">
        <w:rPr>
          <w:rFonts w:cs="Times New Roman"/>
          <w:noProof/>
          <w:szCs w:val="24"/>
        </w:rPr>
        <w:t>(p. 3)</w:t>
      </w:r>
      <w:r w:rsidRPr="005D3F76">
        <w:rPr>
          <w:rFonts w:cs="Times New Roman"/>
          <w:szCs w:val="24"/>
        </w:rPr>
        <w:fldChar w:fldCharType="end"/>
      </w:r>
      <w:r w:rsidRPr="005D3F76">
        <w:rPr>
          <w:rFonts w:cs="Times New Roman"/>
          <w:szCs w:val="24"/>
        </w:rPr>
        <w:t xml:space="preserve">  </w:t>
      </w:r>
    </w:p>
    <w:p w14:paraId="4F6DB7B5" w14:textId="02309C5D" w:rsidR="00B03557" w:rsidRPr="005D3F76" w:rsidRDefault="00B03557" w:rsidP="00DC6D2F">
      <w:pPr>
        <w:rPr>
          <w:rFonts w:cs="Times New Roman"/>
          <w:szCs w:val="24"/>
        </w:rPr>
      </w:pPr>
      <w:r w:rsidRPr="005D3F76">
        <w:rPr>
          <w:rFonts w:cs="Times New Roman"/>
          <w:szCs w:val="24"/>
        </w:rPr>
        <w:t xml:space="preserve">As the political subtleties have been changing, the policies behind the politics have also changed. These changes have been fueled by various entities within U.S. society, including in the </w:t>
      </w:r>
      <w:r w:rsidR="00D10E02" w:rsidRPr="005D3F76">
        <w:rPr>
          <w:rFonts w:cs="Times New Roman"/>
          <w:szCs w:val="24"/>
        </w:rPr>
        <w:t xml:space="preserve">realm of education, the report </w:t>
      </w:r>
      <w:r w:rsidR="00D10E02" w:rsidRPr="005D3F76">
        <w:rPr>
          <w:rFonts w:cs="Times New Roman"/>
          <w:i/>
          <w:szCs w:val="24"/>
        </w:rPr>
        <w:t>A Nation at Risk</w:t>
      </w:r>
      <w:r w:rsidR="00D10E02" w:rsidRPr="005D3F76">
        <w:rPr>
          <w:rFonts w:cs="Times New Roman"/>
          <w:szCs w:val="24"/>
        </w:rPr>
        <w:t xml:space="preserve"> and reforms such as </w:t>
      </w:r>
      <w:r w:rsidRPr="005D3F76">
        <w:rPr>
          <w:rFonts w:cs="Times New Roman"/>
          <w:i/>
          <w:szCs w:val="24"/>
        </w:rPr>
        <w:t>No Child Left Behind</w:t>
      </w:r>
      <w:r w:rsidRPr="005D3F76">
        <w:rPr>
          <w:rFonts w:cs="Times New Roman"/>
          <w:szCs w:val="24"/>
        </w:rPr>
        <w:t xml:space="preserve"> and </w:t>
      </w:r>
      <w:r w:rsidRPr="005D3F76">
        <w:rPr>
          <w:rFonts w:cs="Times New Roman"/>
          <w:i/>
          <w:szCs w:val="24"/>
        </w:rPr>
        <w:t>Race To the Top</w:t>
      </w:r>
      <w:r w:rsidR="00D10E02" w:rsidRPr="005D3F76">
        <w:rPr>
          <w:rFonts w:cs="Times New Roman"/>
          <w:i/>
          <w:szCs w:val="24"/>
        </w:rPr>
        <w:t>.</w:t>
      </w:r>
      <w:r w:rsidRPr="005D3F76">
        <w:rPr>
          <w:rFonts w:cs="Times New Roman"/>
          <w:szCs w:val="24"/>
        </w:rPr>
        <w:t xml:space="preserve">  These reports and programs, especially, most recently, President Barrack Obam</w:t>
      </w:r>
      <w:r w:rsidR="00D10E02" w:rsidRPr="005D3F76">
        <w:rPr>
          <w:rFonts w:cs="Times New Roman"/>
          <w:szCs w:val="24"/>
        </w:rPr>
        <w:t xml:space="preserve">a’s competitive reform program </w:t>
      </w:r>
      <w:r w:rsidRPr="005D3F76">
        <w:rPr>
          <w:rFonts w:cs="Times New Roman"/>
          <w:i/>
          <w:szCs w:val="24"/>
        </w:rPr>
        <w:t>Race To The Top</w:t>
      </w:r>
      <w:r w:rsidRPr="005D3F76">
        <w:rPr>
          <w:rFonts w:cs="Times New Roman"/>
          <w:szCs w:val="24"/>
        </w:rPr>
        <w:t xml:space="preserve">, a program that incentivizes schools to compete for extra money from the federal government based on performance given on standardized testing, have caused states throughout the country to embrace a more neoliberal approach to their education systems </w:t>
      </w:r>
      <w:r w:rsidRPr="005D3F76">
        <w:rPr>
          <w:rFonts w:cs="Times New Roman"/>
          <w:szCs w:val="24"/>
        </w:rPr>
        <w:fldChar w:fldCharType="begin"/>
      </w:r>
      <w:r w:rsidRPr="005D3F76">
        <w:rPr>
          <w:rFonts w:cs="Times New Roman"/>
          <w:szCs w:val="24"/>
        </w:rPr>
        <w:instrText xml:space="preserve"> ADDIN EN.CITE &lt;EndNote&gt;&lt;Cite&gt;&lt;Author&gt;Piazza&lt;/Author&gt;&lt;Year&gt;2014&lt;/Year&gt;&lt;RecNum&gt;290&lt;/RecNum&gt;&lt;Pages&gt;3-4&lt;/Pages&gt;&lt;DisplayText&gt;(Piazza, 2014b, pp. 3-4)&lt;/DisplayText&gt;&lt;record&gt;&lt;rec-number&gt;290&lt;/rec-number&gt;&lt;foreign-keys&gt;&lt;key app="EN" db-id="etwareaz8xpxz3et59b50d9vxrata9z2w2zt" timestamp="1465700263"&gt;290&lt;/key&gt;&lt;/foreign-keys&gt;&lt;ref-type name="Journal Article"&gt;17&lt;/ref-type&gt;&lt;contributors&gt;&lt;authors&gt;&lt;author&gt;Peter Piazza&lt;/author&gt;&lt;/authors&gt;&lt;/contributors&gt;&lt;titles&gt;&lt;title&gt;The Media Got it Wrong! A Critical Discourse Analysis of Changes to the Educational Policy Making Arena&lt;/title&gt;&lt;secondary-title&gt;edcuation policy analysis archives&lt;/secondary-title&gt;&lt;/titles&gt;&lt;periodical&gt;&lt;full-title&gt;edcuation policy analysis archives&lt;/full-title&gt;&lt;/periodical&gt;&lt;volume&gt;22&lt;/volume&gt;&lt;number&gt;36&lt;/number&gt;&lt;dates&gt;&lt;year&gt;2014&lt;/year&gt;&lt;/dates&gt;&lt;urls&gt;&lt;/urls&gt;&lt;/record&gt;&lt;/Cite&gt;&lt;/EndNote&gt;</w:instrText>
      </w:r>
      <w:r w:rsidRPr="005D3F76">
        <w:rPr>
          <w:rFonts w:cs="Times New Roman"/>
          <w:szCs w:val="24"/>
        </w:rPr>
        <w:fldChar w:fldCharType="separate"/>
      </w:r>
      <w:r w:rsidRPr="005D3F76">
        <w:rPr>
          <w:rFonts w:cs="Times New Roman"/>
          <w:noProof/>
          <w:szCs w:val="24"/>
        </w:rPr>
        <w:t>(Piazza, 2014b, pp. 3-4)</w:t>
      </w:r>
      <w:r w:rsidRPr="005D3F76">
        <w:rPr>
          <w:rFonts w:cs="Times New Roman"/>
          <w:szCs w:val="24"/>
        </w:rPr>
        <w:fldChar w:fldCharType="end"/>
      </w:r>
      <w:r w:rsidRPr="005D3F76">
        <w:rPr>
          <w:rFonts w:cs="Times New Roman"/>
          <w:szCs w:val="24"/>
        </w:rPr>
        <w:t xml:space="preserve">. </w:t>
      </w:r>
    </w:p>
    <w:p w14:paraId="3F2D85FA" w14:textId="77777777" w:rsidR="00B03557" w:rsidRPr="005D3F76" w:rsidRDefault="00B03557" w:rsidP="00DC6D2F">
      <w:pPr>
        <w:ind w:firstLine="720"/>
        <w:rPr>
          <w:rFonts w:cs="Times New Roman"/>
          <w:szCs w:val="24"/>
        </w:rPr>
      </w:pPr>
      <w:r w:rsidRPr="005D3F76">
        <w:rPr>
          <w:rFonts w:cs="Times New Roman"/>
          <w:szCs w:val="24"/>
        </w:rPr>
        <w:t xml:space="preserve">The understanding of neoliberalism is important where education, teacher unions, and policy are concerned. As such, neoliberalism is a political-economic movement that endorses economic and political liberty, and is a derivative of classical liberalism. Within neoliberalistic understandings public schooling’s aim should be in terms of helping the U.S. compete in the global economy. Fueled by the reporting of the mass media, public education has begun in many places to be run as though it is part of a private business (a tenet of neoliberalism is to treat all government entities more like businesses; open to the marketplace’s mechanisms and desires). Although this tendency for schools to be run more like businesses has been around for decades in varying ways, in more recent years the line between what is acceptable and what is not within schools concerning business-like maneuvers is being more blurred. For instance, in many states in the U.S. charter schools are largely funded and run by corporate sponsors and boards. The students are viewed as ‘customers,’ where teachers are responsible for good ‘customer service’ </w:t>
      </w:r>
      <w:r w:rsidRPr="005D3F76">
        <w:rPr>
          <w:rFonts w:cs="Times New Roman"/>
          <w:szCs w:val="24"/>
        </w:rPr>
        <w:fldChar w:fldCharType="begin"/>
      </w:r>
      <w:r w:rsidRPr="005D3F76">
        <w:rPr>
          <w:rFonts w:cs="Times New Roman"/>
          <w:szCs w:val="24"/>
        </w:rPr>
        <w:instrText xml:space="preserve"> ADDIN EN.CITE &lt;EndNote&gt;&lt;Cite&gt;&lt;Author&gt;Wohlstetter&lt;/Author&gt;&lt;Year&gt;2008&lt;/Year&gt;&lt;RecNum&gt;291&lt;/RecNum&gt;&lt;DisplayText&gt;(Wohlstetter, Nayfack, &amp;amp; Mora-Flores, 2008)&lt;/DisplayText&gt;&lt;record&gt;&lt;rec-number&gt;291&lt;/rec-number&gt;&lt;foreign-keys&gt;&lt;key app="EN" db-id="etwareaz8xpxz3et59b50d9vxrata9z2w2zt" timestamp="1465700263"&gt;291&lt;/key&gt;&lt;/foreign-keys&gt;&lt;ref-type name="Journal Article"&gt;17&lt;/ref-type&gt;&lt;contributors&gt;&lt;authors&gt;&lt;author&gt;Priscilla Wohlstetter&lt;/author&gt;&lt;author&gt;Michelle B Nayfack&lt;/author&gt;&lt;author&gt;Eugenia Mora-Flores&lt;/author&gt;&lt;/authors&gt;&lt;/contributors&gt;&lt;titles&gt;&lt;title&gt;Charter Schools and &amp;quot;Customer&amp;quot; Satisfaction: Lessons from Field Testing a Parent Survey&amp;#x9;&lt;/title&gt;&lt;secondary-title&gt;School Choice&lt;/secondary-title&gt;&lt;/titles&gt;&lt;periodical&gt;&lt;full-title&gt;School Choice&lt;/full-title&gt;&lt;/periodical&gt;&lt;pages&gt;66-82&lt;/pages&gt;&lt;volume&gt;2&lt;/volume&gt;&lt;number&gt;1&lt;/number&gt;&lt;dates&gt;&lt;year&gt;2008&lt;/year&gt;&lt;/dates&gt;&lt;urls&gt;&lt;/urls&gt;&lt;/record&gt;&lt;/Cite&gt;&lt;/EndNote&gt;</w:instrText>
      </w:r>
      <w:r w:rsidRPr="005D3F76">
        <w:rPr>
          <w:rFonts w:cs="Times New Roman"/>
          <w:szCs w:val="24"/>
        </w:rPr>
        <w:fldChar w:fldCharType="separate"/>
      </w:r>
      <w:r w:rsidRPr="005D3F76">
        <w:rPr>
          <w:rFonts w:cs="Times New Roman"/>
          <w:noProof/>
          <w:szCs w:val="24"/>
        </w:rPr>
        <w:t>(Wohlstetter, Nayfack, &amp; Mora-Flores, 2008)</w:t>
      </w:r>
      <w:r w:rsidRPr="005D3F76">
        <w:rPr>
          <w:rFonts w:cs="Times New Roman"/>
          <w:szCs w:val="24"/>
        </w:rPr>
        <w:fldChar w:fldCharType="end"/>
      </w:r>
      <w:r w:rsidRPr="005D3F76">
        <w:rPr>
          <w:rFonts w:cs="Times New Roman"/>
          <w:szCs w:val="24"/>
        </w:rPr>
        <w:t xml:space="preserve">. Further, there are companies, such as, Education </w:t>
      </w:r>
      <w:r w:rsidRPr="005D3F76">
        <w:rPr>
          <w:rFonts w:cs="Times New Roman"/>
          <w:szCs w:val="24"/>
        </w:rPr>
        <w:lastRenderedPageBreak/>
        <w:t xml:space="preserve">Funding Partners, who will locate and secure funding for public school districts, for a commission. The funding comes at a price, including: allowing advertising and commercial usage of approved property on or around school campuses.  </w:t>
      </w:r>
    </w:p>
    <w:p w14:paraId="50799EE3" w14:textId="77777777" w:rsidR="00B03557" w:rsidRPr="005D3F76" w:rsidRDefault="00B03557" w:rsidP="00DC6D2F">
      <w:pPr>
        <w:rPr>
          <w:rFonts w:cs="Times New Roman"/>
          <w:szCs w:val="24"/>
        </w:rPr>
      </w:pPr>
      <w:r w:rsidRPr="005D3F76">
        <w:rPr>
          <w:rFonts w:cs="Times New Roman"/>
          <w:szCs w:val="24"/>
        </w:rPr>
        <w:tab/>
        <w:t xml:space="preserve">To adequately understand and begin to dissect the discussion above and the research that will follow, the theories behind policy dynamics, power relationships, and the ideas of the mass media need to be examined more closely. It becomes imperative that a critical engagement take place in regards to researching how the media is framing teacher unions because “how the legislation and those people and issues connected to it) is presented … may shape how people interpret its purpose and efficacy” </w:t>
      </w:r>
      <w:r w:rsidRPr="005D3F76">
        <w:rPr>
          <w:rFonts w:cs="Times New Roman"/>
          <w:szCs w:val="24"/>
        </w:rPr>
        <w:fldChar w:fldCharType="begin"/>
      </w:r>
      <w:r w:rsidRPr="005D3F76">
        <w:rPr>
          <w:rFonts w:cs="Times New Roman"/>
          <w:szCs w:val="24"/>
        </w:rPr>
        <w:instrText xml:space="preserve"> ADDIN EN.CITE &lt;EndNote&gt;&lt;Cite&gt;&lt;Author&gt;Goldstein&lt;/Author&gt;&lt;Year&gt;2010&lt;/Year&gt;&lt;RecNum&gt;292&lt;/RecNum&gt;&lt;Pages&gt;7&lt;/Pages&gt;&lt;DisplayText&gt;(Goldstein, 2010, p. 7)&lt;/DisplayText&gt;&lt;record&gt;&lt;rec-number&gt;292&lt;/rec-number&gt;&lt;foreign-keys&gt;&lt;key app="EN" db-id="etwareaz8xpxz3et59b50d9vxrata9z2w2zt" timestamp="1465700263"&gt;292&lt;/key&gt;&lt;/foreign-keys&gt;&lt;ref-type name="Journal Article"&gt;17&lt;/ref-type&gt;&lt;contributors&gt;&lt;authors&gt;&lt;author&gt;Rebecca A Goldstein&lt;/author&gt;&lt;/authors&gt;&lt;/contributors&gt;&lt;titles&gt;&lt;title&gt;Imaging the Frame: Media Representations of Teachers, Their Unions, NCLB, and Education Reform&lt;/title&gt;&lt;secondary-title&gt;Educational Policy OnlineFirst&lt;/secondary-title&gt;&lt;/titles&gt;&lt;periodical&gt;&lt;full-title&gt;Educational Policy OnlineFirst&lt;/full-title&gt;&lt;/periodical&gt;&lt;pages&gt;1-34&lt;/pages&gt;&lt;edition&gt;April 14, 2010&lt;/edition&gt;&lt;dates&gt;&lt;year&gt;2010&lt;/year&gt;&lt;/dates&gt;&lt;urls&gt;&lt;/urls&gt;&lt;/record&gt;&lt;/Cite&gt;&lt;/EndNote&gt;</w:instrText>
      </w:r>
      <w:r w:rsidRPr="005D3F76">
        <w:rPr>
          <w:rFonts w:cs="Times New Roman"/>
          <w:szCs w:val="24"/>
        </w:rPr>
        <w:fldChar w:fldCharType="separate"/>
      </w:r>
      <w:r w:rsidRPr="005D3F76">
        <w:rPr>
          <w:rFonts w:cs="Times New Roman"/>
          <w:noProof/>
          <w:szCs w:val="24"/>
        </w:rPr>
        <w:t>(Goldstein, 2010, p. 7)</w:t>
      </w:r>
      <w:r w:rsidRPr="005D3F76">
        <w:rPr>
          <w:rFonts w:cs="Times New Roman"/>
          <w:szCs w:val="24"/>
        </w:rPr>
        <w:fldChar w:fldCharType="end"/>
      </w:r>
      <w:r w:rsidRPr="005D3F76">
        <w:rPr>
          <w:rFonts w:cs="Times New Roman"/>
          <w:szCs w:val="24"/>
        </w:rPr>
        <w:t xml:space="preserve">. This purpose of the media in its reporting needs to be further examined as to what is being reported (and what is not being reported) and for what purposes. </w:t>
      </w:r>
    </w:p>
    <w:p w14:paraId="64D146D9" w14:textId="56C787E1" w:rsidR="00B03557" w:rsidRPr="005D3F76" w:rsidRDefault="00B03557" w:rsidP="00DC6D2F">
      <w:pPr>
        <w:ind w:firstLine="720"/>
        <w:rPr>
          <w:rFonts w:cs="Times New Roman"/>
          <w:szCs w:val="24"/>
        </w:rPr>
      </w:pPr>
      <w:r w:rsidRPr="005D3F76">
        <w:rPr>
          <w:rFonts w:cs="Times New Roman"/>
          <w:szCs w:val="24"/>
        </w:rPr>
        <w:t>The central claim within my research is that the media within the U.S., by virtue of their political and neoliberal agendas, are framing teacher unions in a very unfavorable way thereby creating a possible social justice issue regarding the policies that affect teacher unions. This will culminate as a project by utilizing both a philosophical and critical discourse analysis as methods to examine common themes in the mass media’s discussions around the issues concerning teacher unions within the state of Wisconsin from 2011-2015. Three reputable newspapers, one from the national level (The New York Times), one from the state level (The Wisconsin State Journal), and one from the local level (The Capital Times) will be used as representatives of the media coverage under analysis. What follows will begin to answer questions regarding many different avenues with regard to</w:t>
      </w:r>
      <w:r w:rsidRPr="005D3F76" w:rsidDel="008560AC">
        <w:rPr>
          <w:rFonts w:cs="Times New Roman"/>
          <w:szCs w:val="24"/>
        </w:rPr>
        <w:t xml:space="preserve"> </w:t>
      </w:r>
      <w:r w:rsidRPr="005D3F76">
        <w:rPr>
          <w:rFonts w:cs="Times New Roman"/>
          <w:szCs w:val="24"/>
        </w:rPr>
        <w:t xml:space="preserve">the media, policy, public education, and social justice within the United States including: Is the anti-labor/anti-public sector union’s stance being perpetuated by the media in particular papers? </w:t>
      </w:r>
      <w:r w:rsidR="00F85BD0" w:rsidRPr="005D3F76">
        <w:rPr>
          <w:rFonts w:cs="Times New Roman"/>
          <w:szCs w:val="24"/>
        </w:rPr>
        <w:t xml:space="preserve">Is there </w:t>
      </w:r>
      <w:r w:rsidR="00E341FA" w:rsidRPr="005D3F76">
        <w:rPr>
          <w:rFonts w:cs="Times New Roman"/>
          <w:szCs w:val="24"/>
        </w:rPr>
        <w:t>a clear</w:t>
      </w:r>
      <w:r w:rsidRPr="005D3F76">
        <w:rPr>
          <w:rFonts w:cs="Times New Roman"/>
          <w:szCs w:val="24"/>
        </w:rPr>
        <w:t xml:space="preserve"> agenda or theme that the media is trying to press </w:t>
      </w:r>
      <w:r w:rsidRPr="005D3F76">
        <w:rPr>
          <w:rFonts w:cs="Times New Roman"/>
          <w:szCs w:val="24"/>
        </w:rPr>
        <w:lastRenderedPageBreak/>
        <w:t xml:space="preserve">onto the larger public in regards to education and teacher unions? </w:t>
      </w:r>
      <w:r w:rsidR="00F85BD0" w:rsidRPr="005D3F76">
        <w:rPr>
          <w:rFonts w:cs="Times New Roman"/>
          <w:szCs w:val="24"/>
        </w:rPr>
        <w:t xml:space="preserve">Are there issues of social consciousness and </w:t>
      </w:r>
      <w:r w:rsidRPr="005D3F76">
        <w:rPr>
          <w:rFonts w:cs="Times New Roman"/>
          <w:szCs w:val="24"/>
        </w:rPr>
        <w:t>knowledge concerning mass society</w:t>
      </w:r>
      <w:r w:rsidR="00F85BD0" w:rsidRPr="005D3F76">
        <w:rPr>
          <w:rFonts w:cs="Times New Roman"/>
          <w:szCs w:val="24"/>
        </w:rPr>
        <w:t xml:space="preserve"> where the media is concerned</w:t>
      </w:r>
      <w:r w:rsidRPr="005D3F76">
        <w:rPr>
          <w:rFonts w:cs="Times New Roman"/>
          <w:szCs w:val="24"/>
        </w:rPr>
        <w:t>? Could these questions lead us to answers regarding power issues and equity with what is being introduced to the mass public in regards to public sector unions? Could a critical study of the media using their own work lead to more responsibility</w:t>
      </w:r>
      <w:r w:rsidR="00F85BD0" w:rsidRPr="005D3F76">
        <w:rPr>
          <w:rFonts w:cs="Times New Roman"/>
          <w:szCs w:val="24"/>
        </w:rPr>
        <w:t xml:space="preserve"> where their reporting is concerned, especially in regards to unionization within the U.S.?</w:t>
      </w:r>
      <w:r w:rsidRPr="005D3F76">
        <w:rPr>
          <w:rFonts w:cs="Times New Roman"/>
          <w:szCs w:val="24"/>
        </w:rPr>
        <w:t xml:space="preserve">  </w:t>
      </w:r>
    </w:p>
    <w:p w14:paraId="4B97F19C" w14:textId="77777777" w:rsidR="00B03557" w:rsidRPr="005D3F76" w:rsidRDefault="00B03557" w:rsidP="00DC6D2F">
      <w:pPr>
        <w:pStyle w:val="Heading2"/>
        <w:rPr>
          <w:rFonts w:cs="Times New Roman"/>
        </w:rPr>
      </w:pPr>
      <w:bookmarkStart w:id="2" w:name="_Toc462843622"/>
      <w:r w:rsidRPr="005D3F76">
        <w:rPr>
          <w:rFonts w:cs="Times New Roman"/>
        </w:rPr>
        <w:t>Arbitrating Media and Policy Dynamics</w:t>
      </w:r>
      <w:bookmarkEnd w:id="2"/>
      <w:r w:rsidRPr="005D3F76">
        <w:rPr>
          <w:rFonts w:cs="Times New Roman"/>
        </w:rPr>
        <w:t xml:space="preserve"> </w:t>
      </w:r>
    </w:p>
    <w:p w14:paraId="1F1CD467" w14:textId="77777777" w:rsidR="00B03557" w:rsidRPr="005D3F76" w:rsidRDefault="00B03557" w:rsidP="00DC6D2F">
      <w:pPr>
        <w:rPr>
          <w:rFonts w:cs="Times New Roman"/>
          <w:szCs w:val="24"/>
        </w:rPr>
      </w:pPr>
      <w:r w:rsidRPr="005D3F76">
        <w:rPr>
          <w:rFonts w:cs="Times New Roman"/>
          <w:b/>
          <w:szCs w:val="24"/>
        </w:rPr>
        <w:tab/>
      </w:r>
      <w:r w:rsidRPr="005D3F76">
        <w:rPr>
          <w:rFonts w:cs="Times New Roman"/>
          <w:szCs w:val="24"/>
        </w:rPr>
        <w:t xml:space="preserve">According to Stephen Ball (2008), ‘policy’ “is one of those obvious terms we all use but use differently and often loosely” </w:t>
      </w:r>
      <w:r w:rsidRPr="005D3F76">
        <w:rPr>
          <w:rFonts w:cs="Times New Roman"/>
          <w:szCs w:val="24"/>
        </w:rPr>
        <w:fldChar w:fldCharType="begin"/>
      </w:r>
      <w:r w:rsidRPr="005D3F76">
        <w:rPr>
          <w:rFonts w:cs="Times New Roman"/>
          <w:szCs w:val="24"/>
        </w:rPr>
        <w:instrText xml:space="preserve"> ADDIN EN.CITE &lt;EndNote&gt;&lt;Cite ExcludeAuth="1" ExcludeYear="1"&gt;&lt;Author&gt;Ball&lt;/Author&gt;&lt;Year&gt;2008&lt;/Year&gt;&lt;RecNum&gt;293&lt;/RecNum&gt;&lt;Pages&gt;6&lt;/Pages&gt;&lt;DisplayText&gt;(p. 6)&lt;/DisplayText&gt;&lt;record&gt;&lt;rec-number&gt;293&lt;/rec-number&gt;&lt;foreign-keys&gt;&lt;key app="EN" db-id="etwareaz8xpxz3et59b50d9vxrata9z2w2zt" timestamp="1465700263"&gt;293&lt;/key&gt;&lt;/foreign-keys&gt;&lt;ref-type name="Book"&gt;6&lt;/ref-type&gt;&lt;contributors&gt;&lt;authors&gt;&lt;author&gt;Stephen J. Ball&lt;/author&gt;&lt;/authors&gt;&lt;/contributors&gt;&lt;titles&gt;&lt;title&gt;The Education Debate&lt;/title&gt;&lt;/titles&gt;&lt;dates&gt;&lt;year&gt;2008&lt;/year&gt;&lt;/dates&gt;&lt;pub-location&gt;UK&lt;/pub-location&gt;&lt;publisher&gt;The Policy Press&lt;/publisher&gt;&lt;urls&gt;&lt;/urls&gt;&lt;/record&gt;&lt;/Cite&gt;&lt;/EndNote&gt;</w:instrText>
      </w:r>
      <w:r w:rsidRPr="005D3F76">
        <w:rPr>
          <w:rFonts w:cs="Times New Roman"/>
          <w:szCs w:val="24"/>
        </w:rPr>
        <w:fldChar w:fldCharType="separate"/>
      </w:r>
      <w:r w:rsidRPr="005D3F76">
        <w:rPr>
          <w:rFonts w:cs="Times New Roman"/>
          <w:noProof/>
          <w:szCs w:val="24"/>
        </w:rPr>
        <w:t>(p. 6)</w:t>
      </w:r>
      <w:r w:rsidRPr="005D3F76">
        <w:rPr>
          <w:rFonts w:cs="Times New Roman"/>
          <w:szCs w:val="24"/>
        </w:rPr>
        <w:fldChar w:fldCharType="end"/>
      </w:r>
      <w:r w:rsidRPr="005D3F76">
        <w:rPr>
          <w:rFonts w:cs="Times New Roman"/>
          <w:szCs w:val="24"/>
        </w:rPr>
        <w:t xml:space="preserve">. Formerly, Black Law’s Dictionary defines ‘policy’ as “a course or principle of action adopted or proposed by a government, party, business or individual; versus a law that is the system of rules or policies that a particular country or community negotiates as regulating the actions of its members and may enforce by the imposition of penalties” </w:t>
      </w:r>
      <w:r w:rsidRPr="005D3F76">
        <w:rPr>
          <w:rFonts w:cs="Times New Roman"/>
          <w:szCs w:val="24"/>
        </w:rPr>
        <w:fldChar w:fldCharType="begin"/>
      </w:r>
      <w:r w:rsidRPr="005D3F76">
        <w:rPr>
          <w:rFonts w:cs="Times New Roman"/>
          <w:szCs w:val="24"/>
        </w:rPr>
        <w:instrText xml:space="preserve"> ADDIN EN.CITE &lt;EndNote&gt;&lt;Cite&gt;&lt;Author&gt;Gamer&lt;/Author&gt;&lt;Year&gt;2009&lt;/Year&gt;&lt;RecNum&gt;294&lt;/RecNum&gt;&lt;DisplayText&gt;(Gamer, 2009)&lt;/DisplayText&gt;&lt;record&gt;&lt;rec-number&gt;294&lt;/rec-number&gt;&lt;foreign-keys&gt;&lt;key app="EN" db-id="etwareaz8xpxz3et59b50d9vxrata9z2w2zt" timestamp="1465700263"&gt;294&lt;/key&gt;&lt;/foreign-keys&gt;&lt;ref-type name="Dictionary"&gt;52&lt;/ref-type&gt;&lt;contributors&gt;&lt;authors&gt;&lt;author&gt;Bryan A Gamer&lt;/author&gt;&lt;/authors&gt;&lt;secondary-authors&gt;&lt;author&gt;Bryan A Gamer&lt;/author&gt;&lt;/secondary-authors&gt;&lt;/contributors&gt;&lt;titles&gt;&lt;title&gt;What is Policy?&lt;/title&gt;&lt;secondary-title&gt;Black&amp;apos;s Law Dictionary&lt;/secondary-title&gt;&lt;/titles&gt;&lt;dates&gt;&lt;year&gt;2009&lt;/year&gt;&lt;/dates&gt;&lt;publisher&gt;Thomson West&lt;/publisher&gt;&lt;urls&gt;&lt;/urls&gt;&lt;/record&gt;&lt;/Cite&gt;&lt;/EndNote&gt;</w:instrText>
      </w:r>
      <w:r w:rsidRPr="005D3F76">
        <w:rPr>
          <w:rFonts w:cs="Times New Roman"/>
          <w:szCs w:val="24"/>
        </w:rPr>
        <w:fldChar w:fldCharType="separate"/>
      </w:r>
      <w:r w:rsidRPr="005D3F76">
        <w:rPr>
          <w:rFonts w:cs="Times New Roman"/>
          <w:noProof/>
          <w:szCs w:val="24"/>
        </w:rPr>
        <w:t>(Gamer, 2009)</w:t>
      </w:r>
      <w:r w:rsidRPr="005D3F76">
        <w:rPr>
          <w:rFonts w:cs="Times New Roman"/>
          <w:szCs w:val="24"/>
        </w:rPr>
        <w:fldChar w:fldCharType="end"/>
      </w:r>
      <w:r w:rsidRPr="005D3F76">
        <w:rPr>
          <w:rFonts w:cs="Times New Roman"/>
          <w:szCs w:val="24"/>
        </w:rPr>
        <w:t xml:space="preserve">. Educational researchers have become enamored with analyzing educational ‘policy,’ and because of the varied and undefined uses of the term within the educational research field, an array of both contested and accepted understandings have emerged </w:t>
      </w:r>
      <w:r w:rsidRPr="005D3F76">
        <w:rPr>
          <w:rFonts w:cs="Times New Roman"/>
          <w:szCs w:val="24"/>
        </w:rPr>
        <w:fldChar w:fldCharType="begin"/>
      </w:r>
      <w:r w:rsidRPr="005D3F76">
        <w:rPr>
          <w:rFonts w:cs="Times New Roman"/>
          <w:szCs w:val="24"/>
        </w:rPr>
        <w:instrText xml:space="preserve"> ADDIN EN.CITE &lt;EndNote&gt;&lt;Cite&gt;&lt;Author&gt;Gillborn&lt;/Author&gt;&lt;Year&gt;2014&lt;/Year&gt;&lt;RecNum&gt;295&lt;/RecNum&gt;&lt;Pages&gt;27&lt;/Pages&gt;&lt;DisplayText&gt;(Gillborn, 2014, p. 27)&lt;/DisplayText&gt;&lt;record&gt;&lt;rec-number&gt;295&lt;/rec-number&gt;&lt;foreign-keys&gt;&lt;key app="EN" db-id="etwareaz8xpxz3et59b50d9vxrata9z2w2zt" timestamp="1465700263"&gt;295&lt;/key&gt;&lt;/foreign-keys&gt;&lt;ref-type name="Journal Article"&gt;17&lt;/ref-type&gt;&lt;contributors&gt;&lt;authors&gt;&lt;author&gt;David Gillborn&lt;/author&gt;&lt;/authors&gt;&lt;/contributors&gt;&lt;titles&gt;&lt;title&gt;Racism as Policy: A Critical Race Analysis of Education Reforms in the United States and England&lt;/title&gt;&lt;secondary-title&gt;The Educational Forum&lt;/secondary-title&gt;&lt;/titles&gt;&lt;periodical&gt;&lt;full-title&gt;The Educational Forum&lt;/full-title&gt;&lt;/periodical&gt;&lt;pages&gt;26-41&lt;/pages&gt;&lt;volume&gt;78&lt;/volume&gt;&lt;number&gt;1&lt;/number&gt;&lt;dates&gt;&lt;year&gt;2014&lt;/year&gt;&lt;/dates&gt;&lt;urls&gt;&lt;/urls&gt;&lt;/record&gt;&lt;/Cite&gt;&lt;/EndNote&gt;</w:instrText>
      </w:r>
      <w:r w:rsidRPr="005D3F76">
        <w:rPr>
          <w:rFonts w:cs="Times New Roman"/>
          <w:szCs w:val="24"/>
        </w:rPr>
        <w:fldChar w:fldCharType="separate"/>
      </w:r>
      <w:r w:rsidRPr="005D3F76">
        <w:rPr>
          <w:rFonts w:cs="Times New Roman"/>
          <w:noProof/>
          <w:szCs w:val="24"/>
        </w:rPr>
        <w:t>(Gillborn, 2014, p. 27)</w:t>
      </w:r>
      <w:r w:rsidRPr="005D3F76">
        <w:rPr>
          <w:rFonts w:cs="Times New Roman"/>
          <w:szCs w:val="24"/>
        </w:rPr>
        <w:fldChar w:fldCharType="end"/>
      </w:r>
      <w:r w:rsidRPr="005D3F76">
        <w:rPr>
          <w:rFonts w:cs="Times New Roman"/>
          <w:szCs w:val="24"/>
        </w:rPr>
        <w:t xml:space="preserve">. There are researchers who still focus largely on the texts and legislative policies and laws themselves that are produced in the formal sense, while others “have broadened the concept of policy to include the wider debates and controversies that surround the process by which formal policies are shaped” </w:t>
      </w:r>
      <w:r w:rsidRPr="005D3F76">
        <w:rPr>
          <w:rFonts w:cs="Times New Roman"/>
          <w:szCs w:val="24"/>
        </w:rPr>
        <w:fldChar w:fldCharType="begin"/>
      </w:r>
      <w:r w:rsidRPr="005D3F76">
        <w:rPr>
          <w:rFonts w:cs="Times New Roman"/>
          <w:szCs w:val="24"/>
        </w:rPr>
        <w:instrText xml:space="preserve"> ADDIN EN.CITE &lt;EndNote&gt;&lt;Cite&gt;&lt;Author&gt;Gillborn&lt;/Author&gt;&lt;Year&gt;2014&lt;/Year&gt;&lt;RecNum&gt;295&lt;/RecNum&gt;&lt;Pages&gt;27&lt;/Pages&gt;&lt;DisplayText&gt;(Gillborn, 2014, p. 27; Rizvi &amp;amp; Lingard, 2010)&lt;/DisplayText&gt;&lt;record&gt;&lt;rec-number&gt;295&lt;/rec-number&gt;&lt;foreign-keys&gt;&lt;key app="EN" db-id="etwareaz8xpxz3et59b50d9vxrata9z2w2zt" timestamp="1465700263"&gt;295&lt;/key&gt;&lt;/foreign-keys&gt;&lt;ref-type name="Journal Article"&gt;17&lt;/ref-type&gt;&lt;contributors&gt;&lt;authors&gt;&lt;author&gt;David Gillborn&lt;/author&gt;&lt;/authors&gt;&lt;/contributors&gt;&lt;titles&gt;&lt;title&gt;Racism as Policy: A Critical Race Analysis of Education Reforms in the United States and England&lt;/title&gt;&lt;secondary-title&gt;The Educational Forum&lt;/secondary-title&gt;&lt;/titles&gt;&lt;periodical&gt;&lt;full-title&gt;The Educational Forum&lt;/full-title&gt;&lt;/periodical&gt;&lt;pages&gt;26-41&lt;/pages&gt;&lt;volume&gt;78&lt;/volume&gt;&lt;number&gt;1&lt;/number&gt;&lt;dates&gt;&lt;year&gt;2014&lt;/year&gt;&lt;/dates&gt;&lt;urls&gt;&lt;/urls&gt;&lt;/record&gt;&lt;/Cite&gt;&lt;Cite&gt;&lt;Author&gt;Rizvi&lt;/Author&gt;&lt;Year&gt;2010&lt;/Year&gt;&lt;RecNum&gt;296&lt;/RecNum&gt;&lt;record&gt;&lt;rec-number&gt;296&lt;/rec-number&gt;&lt;foreign-keys&gt;&lt;key app="EN" db-id="etwareaz8xpxz3et59b50d9vxrata9z2w2zt" timestamp="1465700264"&gt;296&lt;/key&gt;&lt;/foreign-keys&gt;&lt;ref-type name="Book"&gt;6&lt;/ref-type&gt;&lt;contributors&gt;&lt;authors&gt;&lt;author&gt;Fazal Rizvi&lt;/author&gt;&lt;author&gt;Bob Lingard&lt;/author&gt;&lt;/authors&gt;&lt;/contributors&gt;&lt;titles&gt;&lt;title&gt;Globalizing Education Policy&lt;/title&gt;&lt;/titles&gt;&lt;dates&gt;&lt;year&gt;2010&lt;/year&gt;&lt;/dates&gt;&lt;pub-location&gt;London&lt;/pub-location&gt;&lt;publisher&gt;Routledge&lt;/publisher&gt;&lt;urls&gt;&lt;/urls&gt;&lt;/record&gt;&lt;/Cite&gt;&lt;/EndNote&gt;</w:instrText>
      </w:r>
      <w:r w:rsidRPr="005D3F76">
        <w:rPr>
          <w:rFonts w:cs="Times New Roman"/>
          <w:szCs w:val="24"/>
        </w:rPr>
        <w:fldChar w:fldCharType="separate"/>
      </w:r>
      <w:r w:rsidRPr="005D3F76">
        <w:rPr>
          <w:rFonts w:cs="Times New Roman"/>
          <w:noProof/>
          <w:szCs w:val="24"/>
        </w:rPr>
        <w:t>(Gillborn, 2014, p. 27; Rizvi &amp; Lingard, 2010)</w:t>
      </w:r>
      <w:r w:rsidRPr="005D3F76">
        <w:rPr>
          <w:rFonts w:cs="Times New Roman"/>
          <w:szCs w:val="24"/>
        </w:rPr>
        <w:fldChar w:fldCharType="end"/>
      </w:r>
      <w:r w:rsidRPr="005D3F76">
        <w:rPr>
          <w:rFonts w:cs="Times New Roman"/>
          <w:szCs w:val="24"/>
        </w:rPr>
        <w:t xml:space="preserve">. </w:t>
      </w:r>
      <w:r w:rsidRPr="005D3F76">
        <w:rPr>
          <w:rFonts w:cs="Times New Roman"/>
          <w:szCs w:val="24"/>
        </w:rPr>
        <w:fldChar w:fldCharType="begin"/>
      </w:r>
      <w:r w:rsidRPr="005D3F76">
        <w:rPr>
          <w:rFonts w:cs="Times New Roman"/>
          <w:szCs w:val="24"/>
        </w:rPr>
        <w:instrText xml:space="preserve"> ADDIN EN.CITE &lt;EndNote&gt;&lt;Cite ExcludeAuth="1" ExcludeYear="1"&gt;&lt;Author&gt;Gamer&lt;/Author&gt;&lt;Year&gt;2009&lt;/Year&gt;&lt;RecNum&gt;294&lt;/RecNum&gt;&lt;record&gt;&lt;rec-number&gt;294&lt;/rec-number&gt;&lt;foreign-keys&gt;&lt;key app="EN" db-id="etwareaz8xpxz3et59b50d9vxrata9z2w2zt" timestamp="1465700263"&gt;294&lt;/key&gt;&lt;/foreign-keys&gt;&lt;ref-type name="Dictionary"&gt;52&lt;/ref-type&gt;&lt;contributors&gt;&lt;authors&gt;&lt;author&gt;Bryan A Gamer&lt;/author&gt;&lt;/authors&gt;&lt;secondary-authors&gt;&lt;author&gt;Bryan A Gamer&lt;/author&gt;&lt;/secondary-authors&gt;&lt;/contributors&gt;&lt;titles&gt;&lt;title&gt;What is Policy?&lt;/title&gt;&lt;secondary-title&gt;Black&amp;apos;s Law Dictionary&lt;/secondary-title&gt;&lt;/titles&gt;&lt;dates&gt;&lt;year&gt;2009&lt;/year&gt;&lt;/dates&gt;&lt;publisher&gt;Thomson West&lt;/publisher&gt;&lt;urls&gt;&lt;/urls&gt;&lt;/record&gt;&lt;/Cite&gt;&lt;/EndNote&gt;</w:instrText>
      </w:r>
      <w:r w:rsidRPr="005D3F76">
        <w:rPr>
          <w:rFonts w:cs="Times New Roman"/>
          <w:szCs w:val="24"/>
        </w:rPr>
        <w:fldChar w:fldCharType="end"/>
      </w:r>
      <w:r w:rsidRPr="005D3F76">
        <w:rPr>
          <w:rFonts w:cs="Times New Roman"/>
          <w:szCs w:val="24"/>
        </w:rPr>
        <w:t xml:space="preserve">Ball (2008) expands the concept of researching policy to include important avenues to study ‘policy’ such as where ‘policy’ is produced, “contested, or reshaped and forms of discourse, including texts and ways of speaking about particular issues and possibilities for action” (p. 12). Using Ball’s perspective of policy, the array of possibilities widens considerably and then can </w:t>
      </w:r>
      <w:r w:rsidRPr="005D3F76">
        <w:rPr>
          <w:rFonts w:cs="Times New Roman"/>
          <w:szCs w:val="24"/>
        </w:rPr>
        <w:lastRenderedPageBreak/>
        <w:t xml:space="preserve">include what Ball (2008) refers to as “little-p policies.” By “little-p policies” Ball means the things that are not formally part of a law or policy, but are discussed, researched, and analyzed as part of a formal regulation. These “little-p policies” influence beliefs and practices just as much, and in some cases more than the ‘official’ laws and policies themselves. This view of policy is a new dynamic understanding of what it means to research educational policy according to Ball (2008).  He reminds us as researchers that </w:t>
      </w:r>
    </w:p>
    <w:p w14:paraId="300D2805" w14:textId="77777777" w:rsidR="00B03557" w:rsidRPr="005D3F76" w:rsidRDefault="00B03557" w:rsidP="00DC6D2F">
      <w:pPr>
        <w:ind w:left="720"/>
        <w:rPr>
          <w:rFonts w:cs="Times New Roman"/>
          <w:szCs w:val="24"/>
        </w:rPr>
      </w:pPr>
      <w:r w:rsidRPr="005D3F76">
        <w:rPr>
          <w:rFonts w:cs="Times New Roman"/>
          <w:szCs w:val="24"/>
        </w:rPr>
        <w:t>…we need to remain aware that policies are made and remade in many sites, and there are many little-p policies that are formed and enacted within localities and institutions…policy that is “announced” through legislation is also reproduced and reworded over time through reports, speeches, “moves,” “agendas” and so on. … Policies are contested, interpreted and enacted in a variety of arenas of practice and the rhetoric’s, texts and meanings of policy makers do not always translate directly and obviously into institutional practices.</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 ExcludeAuth="1" ExcludeYear="1"&gt;&lt;Author&gt;Ball&lt;/Author&gt;&lt;Year&gt;2008&lt;/Year&gt;&lt;RecNum&gt;293&lt;/RecNum&gt;&lt;Pages&gt;7&lt;/Pages&gt;&lt;DisplayText&gt;(p. 7)&lt;/DisplayText&gt;&lt;record&gt;&lt;rec-number&gt;293&lt;/rec-number&gt;&lt;foreign-keys&gt;&lt;key app="EN" db-id="etwareaz8xpxz3et59b50d9vxrata9z2w2zt" timestamp="1465700263"&gt;293&lt;/key&gt;&lt;/foreign-keys&gt;&lt;ref-type name="Book"&gt;6&lt;/ref-type&gt;&lt;contributors&gt;&lt;authors&gt;&lt;author&gt;Stephen J. Ball&lt;/author&gt;&lt;/authors&gt;&lt;/contributors&gt;&lt;titles&gt;&lt;title&gt;The Education Debate&lt;/title&gt;&lt;/titles&gt;&lt;dates&gt;&lt;year&gt;2008&lt;/year&gt;&lt;/dates&gt;&lt;pub-location&gt;UK&lt;/pub-location&gt;&lt;publisher&gt;The Policy Press&lt;/publisher&gt;&lt;urls&gt;&lt;/urls&gt;&lt;/record&gt;&lt;/Cite&gt;&lt;/EndNote&gt;</w:instrText>
      </w:r>
      <w:r w:rsidRPr="005D3F76">
        <w:rPr>
          <w:rFonts w:cs="Times New Roman"/>
          <w:szCs w:val="24"/>
        </w:rPr>
        <w:fldChar w:fldCharType="separate"/>
      </w:r>
      <w:r w:rsidRPr="005D3F76">
        <w:rPr>
          <w:rFonts w:cs="Times New Roman"/>
          <w:noProof/>
          <w:szCs w:val="24"/>
        </w:rPr>
        <w:t>(p. 7)</w:t>
      </w:r>
      <w:r w:rsidRPr="005D3F76">
        <w:rPr>
          <w:rFonts w:cs="Times New Roman"/>
          <w:szCs w:val="24"/>
        </w:rPr>
        <w:fldChar w:fldCharType="end"/>
      </w:r>
      <w:r w:rsidRPr="005D3F76">
        <w:rPr>
          <w:rFonts w:cs="Times New Roman"/>
          <w:szCs w:val="24"/>
        </w:rPr>
        <w:tab/>
      </w:r>
    </w:p>
    <w:p w14:paraId="03C50EED" w14:textId="77777777" w:rsidR="00B03557" w:rsidRPr="005D3F76" w:rsidRDefault="00B03557" w:rsidP="00DC6D2F">
      <w:pPr>
        <w:rPr>
          <w:rFonts w:cs="Times New Roman"/>
          <w:szCs w:val="24"/>
        </w:rPr>
      </w:pPr>
      <w:r w:rsidRPr="005D3F76">
        <w:rPr>
          <w:rFonts w:cs="Times New Roman"/>
          <w:szCs w:val="24"/>
        </w:rPr>
        <w:t xml:space="preserve">Further, policy has become a major research focus within educational academia within the last 20-30 years because of intrigue and desire to study these “little-p policies.” This focus is on how they shape the social context, understanding, and knowledge of the public. In turn. the research on the “little p-policies” create, retract, or further equity and equality within society </w:t>
      </w:r>
      <w:r w:rsidRPr="005D3F76">
        <w:rPr>
          <w:rFonts w:cs="Times New Roman"/>
          <w:szCs w:val="24"/>
        </w:rPr>
        <w:fldChar w:fldCharType="begin"/>
      </w:r>
      <w:r w:rsidRPr="005D3F76">
        <w:rPr>
          <w:rFonts w:cs="Times New Roman"/>
          <w:szCs w:val="24"/>
        </w:rPr>
        <w:instrText xml:space="preserve"> ADDIN EN.CITE &lt;EndNote&gt;&lt;Cite&gt;&lt;Author&gt;Skyrme&lt;/Author&gt;&lt;Year&gt;2014&lt;/Year&gt;&lt;RecNum&gt;297&lt;/RecNum&gt;&lt;DisplayText&gt;(Skyrme, 2014)&lt;/DisplayText&gt;&lt;record&gt;&lt;rec-number&gt;297&lt;/rec-number&gt;&lt;foreign-keys&gt;&lt;key app="EN" db-id="etwareaz8xpxz3et59b50d9vxrata9z2w2zt" timestamp="1465700264"&gt;297&lt;/key&gt;&lt;/foreign-keys&gt;&lt;ref-type name="Thesis"&gt;32&lt;/ref-type&gt;&lt;contributors&gt;&lt;authors&gt;&lt;author&gt;Julian Skyrme&lt;/author&gt;&lt;/authors&gt;&lt;/contributors&gt;&lt;titles&gt;&lt;title&gt;Contextual Admissions and Social Justice in Selective English Higher Edcuation Institutions&lt;/title&gt;&lt;secondary-title&gt;School of Education, Environment and Development in the Faculty of Humanities&lt;/secondary-title&gt;&lt;/titles&gt;&lt;volume&gt;Doctor in Education&lt;/volume&gt;&lt;dates&gt;&lt;year&gt;2014&lt;/year&gt;&lt;/dates&gt;&lt;pub-location&gt;Manchester&lt;/pub-location&gt;&lt;publisher&gt;The University of Manchester&lt;/publisher&gt;&lt;urls&gt;&lt;/urls&gt;&lt;/record&gt;&lt;/Cite&gt;&lt;/EndNote&gt;</w:instrText>
      </w:r>
      <w:r w:rsidRPr="005D3F76">
        <w:rPr>
          <w:rFonts w:cs="Times New Roman"/>
          <w:szCs w:val="24"/>
        </w:rPr>
        <w:fldChar w:fldCharType="separate"/>
      </w:r>
      <w:r w:rsidRPr="005D3F76">
        <w:rPr>
          <w:rFonts w:cs="Times New Roman"/>
          <w:noProof/>
          <w:szCs w:val="24"/>
        </w:rPr>
        <w:t>(Skyrme, 2014)</w:t>
      </w:r>
      <w:r w:rsidRPr="005D3F76">
        <w:rPr>
          <w:rFonts w:cs="Times New Roman"/>
          <w:szCs w:val="24"/>
        </w:rPr>
        <w:fldChar w:fldCharType="end"/>
      </w:r>
      <w:r w:rsidRPr="005D3F76">
        <w:rPr>
          <w:rFonts w:cs="Times New Roman"/>
          <w:szCs w:val="24"/>
        </w:rPr>
        <w:t xml:space="preserve">. These “little-p policies,” and in the case of Wisconsin’s ACT 10 laws, are where my intentions lie for this research study.  I want to examine the mixing of social consciousness of both literal and figurative policy discourse within the media’s presentation to the public in Wisconsin concerning teacher unions. </w:t>
      </w:r>
    </w:p>
    <w:p w14:paraId="39DA5C09" w14:textId="04A625E6" w:rsidR="00B03557" w:rsidRPr="005D3F76" w:rsidRDefault="00B03557" w:rsidP="00DC6D2F">
      <w:pPr>
        <w:ind w:firstLine="720"/>
        <w:rPr>
          <w:rFonts w:cs="Times New Roman"/>
          <w:szCs w:val="24"/>
        </w:rPr>
      </w:pPr>
      <w:r w:rsidRPr="005D3F76">
        <w:rPr>
          <w:rFonts w:cs="Times New Roman"/>
          <w:szCs w:val="24"/>
        </w:rPr>
        <w:t xml:space="preserve">However, within the understanding of the ‘little-p policies,’ much of the emphasis by the media has been on the politics and the political actors behind the policies being introduced and </w:t>
      </w:r>
      <w:r w:rsidRPr="005D3F76">
        <w:rPr>
          <w:rFonts w:cs="Times New Roman"/>
          <w:szCs w:val="24"/>
        </w:rPr>
        <w:lastRenderedPageBreak/>
        <w:t xml:space="preserve">not on the process behind the push for change within public education. This is due in large part to media’s placement within the larger social context of our world. Although the process of idea consideration and implementation of ‘policy’ needs and desires in education should be understood as socially constructed ideology, it is seemingly largely being generated and disseminated by the media without much regard to research in the field. The need to understand that social knowledge is essentially a responsibility of those in powerful positions is important as the powerful entities such as the media are helping to create the building blocks of U.S. society, one block being that of public education. Interpreting and presenting such knowledge is an immensely important part of the fabric of society.  There is a need to study such things to bring both knowledge and awareness to the institutional issues of power and influence. </w:t>
      </w:r>
    </w:p>
    <w:p w14:paraId="0909991E" w14:textId="46518D2C" w:rsidR="00B03557" w:rsidRPr="005D3F76" w:rsidRDefault="00B03557" w:rsidP="00DC6D2F">
      <w:pPr>
        <w:rPr>
          <w:rFonts w:cs="Times New Roman"/>
          <w:szCs w:val="24"/>
        </w:rPr>
      </w:pPr>
      <w:r w:rsidRPr="005D3F76">
        <w:rPr>
          <w:rFonts w:cs="Times New Roman"/>
          <w:szCs w:val="24"/>
        </w:rPr>
        <w:tab/>
        <w:t>Increasingly, the players within the media are taking on a globalized quality.  We live in a world where news is available instantly.  Policies are no longer just about what is taking place in the U.S., but what is happening across the globe. This makes the notion of responsibility even more important. As Arnove (2013) argues, the increased globalization (defined as the “process of interaction and integration among the people, companies, and governments of different nations, a process driven by international trade and investment and aided by information technology”) of events around the world, including those relating to policy issues in education are spurred on in great part by the neoliberal aims of the media, especially in regards t</w:t>
      </w:r>
      <w:r w:rsidR="00D10E02" w:rsidRPr="005D3F76">
        <w:rPr>
          <w:rFonts w:cs="Times New Roman"/>
          <w:szCs w:val="24"/>
        </w:rPr>
        <w:t xml:space="preserve">o the U.S. since the report of </w:t>
      </w:r>
      <w:r w:rsidRPr="005D3F76">
        <w:rPr>
          <w:rFonts w:cs="Times New Roman"/>
          <w:i/>
          <w:szCs w:val="24"/>
        </w:rPr>
        <w:t xml:space="preserve">A Nation at Risk </w:t>
      </w:r>
      <w:r w:rsidRPr="005D3F76">
        <w:rPr>
          <w:rFonts w:cs="Times New Roman"/>
          <w:szCs w:val="24"/>
        </w:rPr>
        <w:t xml:space="preserve">was released in 1981 </w:t>
      </w:r>
      <w:r w:rsidRPr="005D3F76">
        <w:rPr>
          <w:rFonts w:cs="Times New Roman"/>
          <w:szCs w:val="24"/>
        </w:rPr>
        <w:fldChar w:fldCharType="begin"/>
      </w:r>
      <w:r w:rsidRPr="005D3F76">
        <w:rPr>
          <w:rFonts w:cs="Times New Roman"/>
          <w:szCs w:val="24"/>
        </w:rPr>
        <w:instrText xml:space="preserve"> ADDIN EN.CITE &lt;EndNote&gt;&lt;Cite&gt;&lt;Author&gt;Arnove&lt;/Author&gt;&lt;Year&gt;2013&lt;/Year&gt;&lt;RecNum&gt;298&lt;/RecNum&gt;&lt;DisplayText&gt;(Arnove, Torres, &amp;amp; Franz, 2013; Wilfred &amp;amp; Slabbert, 2009, p. 37)&lt;/DisplayText&gt;&lt;record&gt;&lt;rec-number&gt;298&lt;/rec-number&gt;&lt;foreign-keys&gt;&lt;key app="EN" db-id="etwareaz8xpxz3et59b50d9vxrata9z2w2zt" timestamp="1465700264"&gt;298&lt;/key&gt;&lt;/foreign-keys&gt;&lt;ref-type name="Book"&gt;6&lt;/ref-type&gt;&lt;contributors&gt;&lt;authors&gt;&lt;author&gt;Robert F. Arnove&lt;/author&gt;&lt;author&gt;Carolos Alberto Torres&lt;/author&gt;&lt;author&gt;Stephen Franz&lt;/author&gt;&lt;/authors&gt;&lt;/contributors&gt;&lt;titles&gt;&lt;title&gt;Comparative Education: The Dialectic of the Global and Local&lt;/title&gt;&lt;/titles&gt;&lt;edition&gt;Fourth&lt;/edition&gt;&lt;dates&gt;&lt;year&gt;2013&lt;/year&gt;&lt;/dates&gt;&lt;pub-location&gt;Plymouth&lt;/pub-location&gt;&lt;publisher&gt;Rowman &amp;amp; Littlefield Publishers Inc&lt;/publisher&gt;&lt;urls&gt;&lt;/urls&gt;&lt;/record&gt;&lt;/Cite&gt;&lt;Cite&gt;&lt;Author&gt;Wilfred&lt;/Author&gt;&lt;Year&gt;2009&lt;/Year&gt;&lt;RecNum&gt;44&lt;/RecNum&gt;&lt;Pages&gt;37&lt;/Pages&gt;&lt;record&gt;&lt;rec-number&gt;44&lt;/rec-number&gt;&lt;foreign-keys&gt;&lt;key app="EN" db-id="etwareaz8xpxz3et59b50d9vxrata9z2w2zt" timestamp="1453068725"&gt;44&lt;/key&gt;&lt;/foreign-keys&gt;&lt;ref-type name="Journal Article"&gt;17&lt;/ref-type&gt;&lt;contributors&gt;&lt;authors&gt;&lt;author&gt;Ukpere I. Wilfred&lt;/author&gt;&lt;author&gt;Andre D. Slabbert&lt;/author&gt;&lt;/authors&gt;&lt;/contributors&gt;&lt;titles&gt;&lt;title&gt;A Relationship Between Current Globalisation, Unemployment, Inequality and Poverty&lt;/title&gt;&lt;secondary-title&gt;International Journal of Social Economics&lt;/secondary-title&gt;&lt;/titles&gt;&lt;periodical&gt;&lt;full-title&gt;International Journal of Social Economics&lt;/full-title&gt;&lt;/periodical&gt;&lt;pages&gt;37-46&lt;/pages&gt;&lt;volume&gt;36&lt;/volume&gt;&lt;number&gt;1/2&lt;/number&gt;&lt;dates&gt;&lt;year&gt;2009&lt;/year&gt;&lt;/dates&gt;&lt;urls&gt;&lt;/urls&gt;&lt;/record&gt;&lt;/Cite&gt;&lt;/EndNote&gt;</w:instrText>
      </w:r>
      <w:r w:rsidRPr="005D3F76">
        <w:rPr>
          <w:rFonts w:cs="Times New Roman"/>
          <w:szCs w:val="24"/>
        </w:rPr>
        <w:fldChar w:fldCharType="separate"/>
      </w:r>
      <w:r w:rsidRPr="005D3F76">
        <w:rPr>
          <w:rFonts w:cs="Times New Roman"/>
          <w:noProof/>
          <w:szCs w:val="24"/>
        </w:rPr>
        <w:t>(Arnove, Torres, &amp; Franz, 2013; Wilfred &amp; Slabbert, 2009, p. 37)</w:t>
      </w:r>
      <w:r w:rsidRPr="005D3F76">
        <w:rPr>
          <w:rFonts w:cs="Times New Roman"/>
          <w:szCs w:val="24"/>
        </w:rPr>
        <w:fldChar w:fldCharType="end"/>
      </w:r>
      <w:r w:rsidRPr="005D3F76">
        <w:rPr>
          <w:rFonts w:cs="Times New Roman"/>
          <w:szCs w:val="24"/>
        </w:rPr>
        <w:t xml:space="preserve">. The </w:t>
      </w:r>
      <w:r w:rsidRPr="005D3F76">
        <w:rPr>
          <w:rFonts w:cs="Times New Roman"/>
          <w:i/>
          <w:szCs w:val="24"/>
        </w:rPr>
        <w:t>Report</w:t>
      </w:r>
      <w:r w:rsidRPr="005D3F76">
        <w:rPr>
          <w:rFonts w:cs="Times New Roman"/>
          <w:szCs w:val="24"/>
        </w:rPr>
        <w:t xml:space="preserve"> emphasized and exaggerated the problems in the public education system that led to a hysterical response by many in the government. The </w:t>
      </w:r>
      <w:r w:rsidRPr="005D3F76">
        <w:rPr>
          <w:rFonts w:cs="Times New Roman"/>
          <w:i/>
          <w:szCs w:val="24"/>
        </w:rPr>
        <w:t>Report</w:t>
      </w:r>
      <w:r w:rsidRPr="005D3F76">
        <w:rPr>
          <w:rFonts w:cs="Times New Roman"/>
          <w:szCs w:val="24"/>
        </w:rPr>
        <w:t xml:space="preserve"> took liberties, or in other words, strayed from the facts of the overall economic development of the country and the abilities and decisions made for and by the education system. A stress was put onto the fact </w:t>
      </w:r>
      <w:r w:rsidRPr="005D3F76">
        <w:rPr>
          <w:rFonts w:cs="Times New Roman"/>
          <w:szCs w:val="24"/>
        </w:rPr>
        <w:lastRenderedPageBreak/>
        <w:t>that a ‘good education’ equates to economic prosperity; another one of the key principles of neoliberalism in industrialized countries.</w:t>
      </w:r>
      <w:r w:rsidRPr="005D3F76">
        <w:rPr>
          <w:rStyle w:val="CommentReference"/>
          <w:rFonts w:cs="Times New Roman"/>
        </w:rPr>
        <w:t xml:space="preserve"> </w:t>
      </w:r>
      <w:r w:rsidRPr="005D3F76">
        <w:rPr>
          <w:rFonts w:cs="Times New Roman"/>
          <w:szCs w:val="24"/>
        </w:rPr>
        <w:t xml:space="preserve"> As Piazza (2014, p. 5) writes, neoliberalism </w:t>
      </w:r>
    </w:p>
    <w:p w14:paraId="5043D130" w14:textId="0198BA37" w:rsidR="00B03557" w:rsidRPr="005D3F76" w:rsidRDefault="00B03557" w:rsidP="00DC6D2F">
      <w:pPr>
        <w:ind w:left="720"/>
        <w:rPr>
          <w:rFonts w:cs="Times New Roman"/>
          <w:szCs w:val="24"/>
        </w:rPr>
      </w:pPr>
      <w:r w:rsidRPr="005D3F76">
        <w:rPr>
          <w:rFonts w:cs="Times New Roman"/>
          <w:szCs w:val="24"/>
        </w:rPr>
        <w:t>aims to apply market principles, such as competition, choice, [and globalization], to ensure [in the case of] the educational system [that it] more efficiently provide social “goods,” such as high quality teachers, to its “consumers,” America’s public school students.</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&lt;EndNote&gt;&lt;Cite&gt;&lt;Author&gt;Piazza&lt;/Author&gt;&lt;Year&gt;2014&lt;/Year&gt;&lt;RecNum&gt;290&lt;/RecNum&gt;&lt;Pages&gt;5&lt;/Pages&gt;&lt;DisplayText&gt;(Piazza, 2014b, p. 5)&lt;/DisplayText&gt;&lt;record&gt;&lt;rec-number&gt;290&lt;/rec-number&gt;&lt;foreign-keys&gt;&lt;key app="EN" db-id="etwareaz8xpxz3et59b50d9vxrata9z2w2zt" timestamp="1465700263"&gt;290&lt;/key&gt;&lt;/foreign-keys&gt;&lt;ref-type name="Journal Article"&gt;17&lt;/ref-type&gt;&lt;contributors&gt;&lt;authors&gt;&lt;author&gt;Peter Piazza&lt;/author&gt;&lt;/authors&gt;&lt;/contributors&gt;&lt;titles&gt;&lt;title&gt;The Media Got it Wrong! A Critical Discourse Analysis of Changes to the Educational Policy Making Arena&lt;/title&gt;&lt;secondary-title&gt;edcuation policy analysis archives&lt;/secondary-title&gt;&lt;/titles&gt;&lt;periodical&gt;&lt;full-title&gt;edcuation policy analysis archives&lt;/full-title&gt;&lt;/periodical&gt;&lt;volume&gt;22&lt;/volume&gt;&lt;number&gt;36&lt;/number&gt;&lt;dates&gt;&lt;year&gt;2014&lt;/year&gt;&lt;/dates&gt;&lt;urls&gt;&lt;/urls&gt;&lt;/record&gt;&lt;/Cite&gt;&lt;/EndNote&gt;</w:instrText>
      </w:r>
      <w:r w:rsidRPr="005D3F76">
        <w:rPr>
          <w:rFonts w:cs="Times New Roman"/>
          <w:szCs w:val="24"/>
        </w:rPr>
        <w:fldChar w:fldCharType="separate"/>
      </w:r>
      <w:r w:rsidRPr="005D3F76">
        <w:rPr>
          <w:rFonts w:cs="Times New Roman"/>
          <w:noProof/>
          <w:szCs w:val="24"/>
        </w:rPr>
        <w:t>(Piazza, 2014b, p. 5)</w:t>
      </w:r>
      <w:r w:rsidRPr="005D3F76">
        <w:rPr>
          <w:rFonts w:cs="Times New Roman"/>
          <w:szCs w:val="24"/>
        </w:rPr>
        <w:fldChar w:fldCharType="end"/>
      </w:r>
      <w:r w:rsidRPr="005D3F76">
        <w:rPr>
          <w:rFonts w:cs="Times New Roman"/>
          <w:i/>
          <w:szCs w:val="24"/>
        </w:rPr>
        <w:t xml:space="preserve"> </w:t>
      </w:r>
    </w:p>
    <w:p w14:paraId="54BD0E9B" w14:textId="686C0214" w:rsidR="00B03557" w:rsidRPr="005D3F76" w:rsidRDefault="00B03557" w:rsidP="00DC6D2F">
      <w:pPr>
        <w:rPr>
          <w:rFonts w:cs="Times New Roman"/>
          <w:szCs w:val="24"/>
        </w:rPr>
      </w:pPr>
      <w:r w:rsidRPr="005D3F76">
        <w:rPr>
          <w:rFonts w:cs="Times New Roman"/>
          <w:szCs w:val="24"/>
        </w:rPr>
        <w:t>The neoliberal agenda, encouraged by the media’s coverage of both disparaging episodic and thematic coverage of educational issues, calls repeatedly for mass educational reforms. For example, new legislation and policies throughout many states in the U.S. began to occur shortly after the</w:t>
      </w:r>
      <w:r w:rsidRPr="005D3F76">
        <w:rPr>
          <w:rFonts w:cs="Times New Roman"/>
          <w:i/>
          <w:szCs w:val="24"/>
        </w:rPr>
        <w:t xml:space="preserve"> Race to the Top</w:t>
      </w:r>
      <w:r w:rsidRPr="005D3F76">
        <w:rPr>
          <w:rFonts w:cs="Times New Roman"/>
          <w:szCs w:val="24"/>
        </w:rPr>
        <w:t xml:space="preserve"> program was introduced by President Obama and Education Secretary Arne Duncan. With this program, allotment for charter schools and “alternative” education venues were made more readily available, seemingly to help improve “failing” or low performing schools throughout the country. However, the motive in the new laws and policies throughout most states was to win ‘The Race’ and in turn receive a substantial monetary reward from the federal government, money that was much needed in the states to adequately fund their public school systems.</w:t>
      </w:r>
    </w:p>
    <w:p w14:paraId="73E626EC" w14:textId="77777777" w:rsidR="00B03557" w:rsidRPr="005D3F76" w:rsidRDefault="00B03557" w:rsidP="00DC6D2F">
      <w:pPr>
        <w:rPr>
          <w:rFonts w:cs="Times New Roman"/>
          <w:szCs w:val="24"/>
        </w:rPr>
      </w:pPr>
      <w:r w:rsidRPr="005D3F76">
        <w:rPr>
          <w:rFonts w:cs="Times New Roman"/>
          <w:szCs w:val="24"/>
        </w:rPr>
        <w:tab/>
        <w:t xml:space="preserve">Viewing neoliberalism through the example of teacher unions and the media, we can see the same types of neoliberalistic policies being formulated through the issues that largely affect teacher unions. As such, issues such as tenure for teachers play right into the neoliberal agenda, which often calls for creating legislation and policies for removing job protections and seniority rights among teachers </w:t>
      </w:r>
      <w:r w:rsidRPr="005D3F76">
        <w:rPr>
          <w:rFonts w:cs="Times New Roman"/>
          <w:szCs w:val="24"/>
        </w:rPr>
        <w:fldChar w:fldCharType="begin"/>
      </w:r>
      <w:r w:rsidRPr="005D3F76">
        <w:rPr>
          <w:rFonts w:cs="Times New Roman"/>
          <w:szCs w:val="24"/>
        </w:rPr>
        <w:instrText xml:space="preserve"> ADDIN EN.CITE &lt;EndNote&gt;&lt;Cite&gt;&lt;Author&gt;Friedman&lt;/Author&gt;&lt;Year&gt;1995&lt;/Year&gt;&lt;RecNum&gt;299&lt;/RecNum&gt;&lt;DisplayText&gt;(Friedman, 1995)&lt;/DisplayText&gt;&lt;record&gt;&lt;rec-number&gt;299&lt;/rec-number&gt;&lt;foreign-keys&gt;&lt;key app="EN" db-id="etwareaz8xpxz3et59b50d9vxrata9z2w2zt" timestamp="1465700264"&gt;299&lt;/key&gt;&lt;/foreign-keys&gt;&lt;ref-type name="Generic"&gt;13&lt;/ref-type&gt;&lt;contributors&gt;&lt;authors&gt;&lt;author&gt;Benjamen Friedman&lt;/author&gt;&lt;/authors&gt;&lt;/contributors&gt;&lt;titles&gt;&lt;title&gt;Public Schools: Make Them Private&lt;/title&gt;&lt;secondary-title&gt;Cato Briefing Paper No. 23&lt;/secondary-title&gt;&lt;/titles&gt;&lt;dates&gt;&lt;year&gt;1995&lt;/year&gt;&lt;/dates&gt;&lt;urls&gt;&lt;related-urls&gt;&lt;url&gt;www.cato.org&lt;/url&gt;&lt;/related-urls&gt;&lt;/urls&gt;&lt;/record&gt;&lt;/Cite&gt;&lt;/EndNote&gt;</w:instrText>
      </w:r>
      <w:r w:rsidRPr="005D3F76">
        <w:rPr>
          <w:rFonts w:cs="Times New Roman"/>
          <w:szCs w:val="24"/>
        </w:rPr>
        <w:fldChar w:fldCharType="separate"/>
      </w:r>
      <w:r w:rsidRPr="005D3F76">
        <w:rPr>
          <w:rFonts w:cs="Times New Roman"/>
          <w:noProof/>
          <w:szCs w:val="24"/>
        </w:rPr>
        <w:t>(Friedman, 1995)</w:t>
      </w:r>
      <w:r w:rsidRPr="005D3F76">
        <w:rPr>
          <w:rFonts w:cs="Times New Roman"/>
          <w:szCs w:val="24"/>
        </w:rPr>
        <w:fldChar w:fldCharType="end"/>
      </w:r>
      <w:r w:rsidRPr="005D3F76">
        <w:rPr>
          <w:rFonts w:cs="Times New Roman"/>
          <w:szCs w:val="24"/>
        </w:rPr>
        <w:t xml:space="preserve">. </w:t>
      </w:r>
    </w:p>
    <w:p w14:paraId="5F702B09" w14:textId="75F40021" w:rsidR="00B03557" w:rsidRPr="005D3F76" w:rsidRDefault="00B03557" w:rsidP="00DC6D2F">
      <w:pPr>
        <w:ind w:firstLine="720"/>
        <w:rPr>
          <w:rFonts w:cs="Times New Roman"/>
          <w:szCs w:val="24"/>
        </w:rPr>
      </w:pPr>
      <w:r w:rsidRPr="005D3F76">
        <w:rPr>
          <w:rFonts w:cs="Times New Roman"/>
          <w:szCs w:val="24"/>
        </w:rPr>
        <w:t xml:space="preserve">Tenure rights, as interpreted by neoliberalism, are claimed to keep under-performing teachers in the profession with no way to remove them. Since 2010, nearly two-thirds of U.S. </w:t>
      </w:r>
      <w:r w:rsidRPr="005D3F76">
        <w:rPr>
          <w:rFonts w:cs="Times New Roman"/>
          <w:szCs w:val="24"/>
        </w:rPr>
        <w:lastRenderedPageBreak/>
        <w:t xml:space="preserve">states have changed their tenure and dismissal laws and policies to “align with so-called business models for public education, where employees’ job security is linked more closely to job performance” </w:t>
      </w:r>
      <w:r w:rsidRPr="005D3F76">
        <w:rPr>
          <w:rFonts w:cs="Times New Roman"/>
          <w:szCs w:val="24"/>
        </w:rPr>
        <w:fldChar w:fldCharType="begin"/>
      </w:r>
      <w:r w:rsidRPr="005D3F76">
        <w:rPr>
          <w:rFonts w:cs="Times New Roman"/>
          <w:szCs w:val="24"/>
        </w:rPr>
        <w:instrText xml:space="preserve"> ADDIN EN.CITE &lt;EndNote&gt;&lt;Cite&gt;&lt;Author&gt;Piazza&lt;/Author&gt;&lt;Year&gt;2014&lt;/Year&gt;&lt;RecNum&gt;290&lt;/RecNum&gt;&lt;DisplayText&gt;(Piazza, 2014b)&lt;/DisplayText&gt;&lt;record&gt;&lt;rec-number&gt;290&lt;/rec-number&gt;&lt;foreign-keys&gt;&lt;key app="EN" db-id="etwareaz8xpxz3et59b50d9vxrata9z2w2zt" timestamp="1465700263"&gt;290&lt;/key&gt;&lt;/foreign-keys&gt;&lt;ref-type name="Journal Article"&gt;17&lt;/ref-type&gt;&lt;contributors&gt;&lt;authors&gt;&lt;author&gt;Peter Piazza&lt;/author&gt;&lt;/authors&gt;&lt;/contributors&gt;&lt;titles&gt;&lt;title&gt;The Media Got it Wrong! A Critical Discourse Analysis of Changes to the Educational Policy Making Arena&lt;/title&gt;&lt;secondary-title&gt;edcuation policy analysis archives&lt;/secondary-title&gt;&lt;/titles&gt;&lt;periodical&gt;&lt;full-title&gt;edcuation policy analysis archives&lt;/full-title&gt;&lt;/periodical&gt;&lt;volume&gt;22&lt;/volume&gt;&lt;number&gt;36&lt;/number&gt;&lt;dates&gt;&lt;year&gt;2014&lt;/year&gt;&lt;/dates&gt;&lt;urls&gt;&lt;/urls&gt;&lt;/record&gt;&lt;/Cite&gt;&lt;/EndNote&gt;</w:instrText>
      </w:r>
      <w:r w:rsidRPr="005D3F76">
        <w:rPr>
          <w:rFonts w:cs="Times New Roman"/>
          <w:szCs w:val="24"/>
        </w:rPr>
        <w:fldChar w:fldCharType="separate"/>
      </w:r>
      <w:r w:rsidRPr="005D3F76">
        <w:rPr>
          <w:rFonts w:cs="Times New Roman"/>
          <w:noProof/>
          <w:szCs w:val="24"/>
        </w:rPr>
        <w:t>(Piazza, 2014b)</w:t>
      </w:r>
      <w:r w:rsidRPr="005D3F76">
        <w:rPr>
          <w:rFonts w:cs="Times New Roman"/>
          <w:szCs w:val="24"/>
        </w:rPr>
        <w:fldChar w:fldCharType="end"/>
      </w:r>
      <w:r w:rsidRPr="005D3F76">
        <w:rPr>
          <w:rFonts w:cs="Times New Roman"/>
          <w:szCs w:val="24"/>
        </w:rPr>
        <w:t xml:space="preserve">. Tenure allows for the freedom of teaching and inquiry without the fear of reprisal from overhanded authorities. It also minimizes favoritism concerning positionality within school systems and universities. Tenure also allows a “sufficient degree of economic security,” </w:t>
      </w:r>
      <w:r w:rsidRPr="005D3F76">
        <w:rPr>
          <w:rFonts w:cs="Times New Roman"/>
          <w:szCs w:val="24"/>
        </w:rPr>
        <w:fldChar w:fldCharType="begin"/>
      </w:r>
      <w:r w:rsidRPr="005D3F76">
        <w:rPr>
          <w:rFonts w:cs="Times New Roman"/>
          <w:szCs w:val="24"/>
        </w:rPr>
        <w:instrText xml:space="preserve"> ADDIN EN.CITE &lt;EndNote&gt;&lt;Cite&gt;&lt;Author&gt;Tierney&lt;/Author&gt;&lt;Year&gt;1997&lt;/Year&gt;&lt;RecNum&gt;24&lt;/RecNum&gt;&lt;Pages&gt;18&lt;/Pages&gt;&lt;DisplayText&gt;(Tierney, 1997, p. 18)&lt;/DisplayText&gt;&lt;record&gt;&lt;rec-number&gt;24&lt;/rec-number&gt;&lt;foreign-keys&gt;&lt;key app="EN" db-id="etwareaz8xpxz3et59b50d9vxrata9z2w2zt" timestamp="1449523975"&gt;24&lt;/key&gt;&lt;/foreign-keys&gt;&lt;ref-type name="Journal Article"&gt;17&lt;/ref-type&gt;&lt;contributors&gt;&lt;authors&gt;&lt;author&gt;William G. Tierney&lt;/author&gt;&lt;/authors&gt;&lt;/contributors&gt;&lt;titles&gt;&lt;title&gt;Tenure and Community Academe&lt;/title&gt;&lt;secondary-title&gt;Educational Researcher&lt;/secondary-title&gt;&lt;/titles&gt;&lt;periodical&gt;&lt;full-title&gt;Educational Researcher&lt;/full-title&gt;&lt;/periodical&gt;&lt;pages&gt;17-23&lt;/pages&gt;&lt;volume&gt;26&lt;/volume&gt;&lt;number&gt;8&lt;/number&gt;&lt;dates&gt;&lt;year&gt;1997&lt;/year&gt;&lt;/dates&gt;&lt;urls&gt;&lt;/urls&gt;&lt;/record&gt;&lt;/Cite&gt;&lt;/EndNote&gt;</w:instrText>
      </w:r>
      <w:r w:rsidRPr="005D3F76">
        <w:rPr>
          <w:rFonts w:cs="Times New Roman"/>
          <w:szCs w:val="24"/>
        </w:rPr>
        <w:fldChar w:fldCharType="separate"/>
      </w:r>
      <w:r w:rsidRPr="005D3F76">
        <w:rPr>
          <w:rFonts w:cs="Times New Roman"/>
          <w:noProof/>
          <w:szCs w:val="24"/>
        </w:rPr>
        <w:t>(Tierney, 1997, p. 18)</w:t>
      </w:r>
      <w:r w:rsidRPr="005D3F76">
        <w:rPr>
          <w:rFonts w:cs="Times New Roman"/>
          <w:szCs w:val="24"/>
        </w:rPr>
        <w:fldChar w:fldCharType="end"/>
      </w:r>
      <w:r w:rsidRPr="005D3F76">
        <w:rPr>
          <w:rFonts w:cs="Times New Roman"/>
          <w:szCs w:val="24"/>
        </w:rPr>
        <w:t xml:space="preserve"> as well as making the position of teaching more attractive; “hence tenure, [is] indispensable to the success of an institution in fulfilling its obligations to its students and to society” </w:t>
      </w:r>
      <w:r w:rsidRPr="005D3F76">
        <w:rPr>
          <w:rFonts w:cs="Times New Roman"/>
          <w:szCs w:val="24"/>
        </w:rPr>
        <w:fldChar w:fldCharType="begin"/>
      </w:r>
      <w:r w:rsidRPr="005D3F76">
        <w:rPr>
          <w:rFonts w:cs="Times New Roman"/>
          <w:szCs w:val="24"/>
        </w:rPr>
        <w:instrText xml:space="preserve"> ADDIN EN.CITE &lt;EndNote&gt;&lt;Cite&gt;&lt;Author&gt;Finklestein&lt;/Author&gt;&lt;Year&gt;1940&lt;/Year&gt;&lt;RecNum&gt;23&lt;/RecNum&gt;&lt;Pages&gt;143&lt;/Pages&gt;&lt;DisplayText&gt;(Finklestein, 1940, p. 143)&lt;/DisplayText&gt;&lt;record&gt;&lt;rec-number&gt;23&lt;/rec-number&gt;&lt;foreign-keys&gt;&lt;key app="EN" db-id="etwareaz8xpxz3et59b50d9vxrata9z2w2zt" timestamp="1449523918"&gt;23&lt;/key&gt;&lt;/foreign-keys&gt;&lt;ref-type name="Edited Book"&gt;28&lt;/ref-type&gt;&lt;contributors&gt;&lt;authors&gt;&lt;author&gt;M.J. Finklestein&lt;/author&gt;&lt;/authors&gt;&lt;secondary-authors&gt;&lt;author&gt;American Association of University Professors (AAUP)&lt;/author&gt;&lt;/secondary-authors&gt;&lt;/contributors&gt;&lt;titles&gt;&lt;title&gt;Academic Freedom and Tenure: Statement of Principles&lt;/title&gt;&lt;secondary-title&gt;ASHE reader on faculty issues in colleges and universitiies&lt;/secondary-title&gt;&lt;/titles&gt;&lt;dates&gt;&lt;year&gt;1940&lt;/year&gt;&lt;/dates&gt;&lt;pub-location&gt;Lexington, M.A.&lt;/pub-location&gt;&lt;publisher&gt;Ginn Press&lt;/publisher&gt;&lt;urls&gt;&lt;/urls&gt;&lt;/record&gt;&lt;/Cite&gt;&lt;/EndNote&gt;</w:instrText>
      </w:r>
      <w:r w:rsidRPr="005D3F76">
        <w:rPr>
          <w:rFonts w:cs="Times New Roman"/>
          <w:szCs w:val="24"/>
        </w:rPr>
        <w:fldChar w:fldCharType="separate"/>
      </w:r>
      <w:r w:rsidRPr="005D3F76">
        <w:rPr>
          <w:rFonts w:cs="Times New Roman"/>
          <w:noProof/>
          <w:szCs w:val="24"/>
        </w:rPr>
        <w:t>(Finklestein, 1940, p. 143)</w:t>
      </w:r>
      <w:r w:rsidRPr="005D3F76">
        <w:rPr>
          <w:rFonts w:cs="Times New Roman"/>
          <w:szCs w:val="24"/>
        </w:rPr>
        <w:fldChar w:fldCharType="end"/>
      </w:r>
      <w:r w:rsidRPr="005D3F76">
        <w:rPr>
          <w:rFonts w:cs="Times New Roman"/>
          <w:szCs w:val="24"/>
        </w:rPr>
        <w:t xml:space="preserve">. </w:t>
      </w:r>
    </w:p>
    <w:p w14:paraId="6D2FE97C" w14:textId="77777777" w:rsidR="00B03557" w:rsidRPr="005D3F76" w:rsidRDefault="00B03557" w:rsidP="00DC6D2F">
      <w:pPr>
        <w:ind w:firstLine="720"/>
        <w:rPr>
          <w:rFonts w:cs="Times New Roman"/>
          <w:szCs w:val="24"/>
        </w:rPr>
      </w:pPr>
      <w:r w:rsidRPr="005D3F76">
        <w:rPr>
          <w:rFonts w:cs="Times New Roman"/>
          <w:szCs w:val="24"/>
        </w:rPr>
        <w:t xml:space="preserve">Whether or not teacher unions are in the right or wrong concerning the topic of tenure and its reform, the claims of the media against tenure rights can be found in articles all across the U.S., and include titles such as; “Protecting Bad Teachers,” “Is teacher tenure still necessary?,” and “Rotten Apples” </w:t>
      </w:r>
      <w:r w:rsidRPr="005D3F76">
        <w:rPr>
          <w:rFonts w:cs="Times New Roman"/>
          <w:szCs w:val="24"/>
        </w:rPr>
        <w:fldChar w:fldCharType="begin"/>
      </w:r>
      <w:r w:rsidRPr="005D3F76">
        <w:rPr>
          <w:rFonts w:cs="Times New Roman"/>
          <w:szCs w:val="24"/>
        </w:rPr>
        <w:instrText xml:space="preserve"> ADDIN EN.CITE &lt;EndNote&gt;&lt;Cite&gt;&lt;Author&gt;Sweetland&lt;/Author&gt;&lt;Year&gt;2014&lt;/Year&gt;&lt;RecNum&gt;300&lt;/RecNum&gt;&lt;DisplayText&gt;(Center for Union Facts, 2015; Greenblatt, 2010; Sweetland, 2014)&lt;/DisplayText&gt;&lt;record&gt;&lt;rec-number&gt;300&lt;/rec-number&gt;&lt;foreign-keys&gt;&lt;key app="EN" db-id="etwareaz8xpxz3et59b50d9vxrata9z2w2zt" timestamp="1465700264"&gt;300&lt;/key&gt;&lt;/foreign-keys&gt;&lt;ref-type name="Magazine Article"&gt;19&lt;/ref-type&gt;&lt;contributors&gt;&lt;authors&gt;&lt;author&gt;Haley Sweetland&lt;/author&gt;&lt;/authors&gt;&lt;/contributors&gt;&lt;titles&gt;&lt;title&gt;Rotten Apples Its Nearly Impossible to Fire a Bad Teacher Some Tech Millionaires May Have Found a Way to Change That&lt;/title&gt;&lt;secondary-title&gt;Time Magazine&lt;/secondary-title&gt;&lt;/titles&gt;&lt;num-vols&gt;Weekly&lt;/num-vols&gt;&lt;dates&gt;&lt;year&gt;2014&lt;/year&gt;&lt;/dates&gt;&lt;urls&gt;&lt;/urls&gt;&lt;/record&gt;&lt;/Cite&gt;&lt;Cite&gt;&lt;Author&gt;Center for Union Facts&lt;/Author&gt;&lt;Year&gt;2015&lt;/Year&gt;&lt;RecNum&gt;301&lt;/RecNum&gt;&lt;record&gt;&lt;rec-number&gt;301&lt;/rec-number&gt;&lt;foreign-keys&gt;&lt;key app="EN" db-id="etwareaz8xpxz3et59b50d9vxrata9z2w2zt" timestamp="1465700264"&gt;301&lt;/key&gt;&lt;/foreign-keys&gt;&lt;ref-type name="Online Multimedia"&gt;48&lt;/ref-type&gt;&lt;contributors&gt;&lt;authors&gt;&lt;author&gt;Center for Union Facts,&lt;/author&gt;&lt;/authors&gt;&lt;/contributors&gt;&lt;titles&gt;&lt;title&gt;Protecting Bad Teachers&lt;/title&gt;&lt;secondary-title&gt;Teachers Union Exposed&lt;/secondary-title&gt;&lt;/titles&gt;&lt;dates&gt;&lt;year&gt;2015&lt;/year&gt;&lt;/dates&gt;&lt;urls&gt;&lt;related-urls&gt;&lt;url&gt;http://teachersunionexposed.com/protecting.php&lt;/url&gt;&lt;/related-urls&gt;&lt;/urls&gt;&lt;/record&gt;&lt;/Cite&gt;&lt;Cite&gt;&lt;Author&gt;Greenblatt&lt;/Author&gt;&lt;Year&gt;2010&lt;/Year&gt;&lt;RecNum&gt;302&lt;/RecNum&gt;&lt;record&gt;&lt;rec-number&gt;302&lt;/rec-number&gt;&lt;foreign-keys&gt;&lt;key app="EN" db-id="etwareaz8xpxz3et59b50d9vxrata9z2w2zt" timestamp="1465700264"&gt;302&lt;/key&gt;&lt;/foreign-keys&gt;&lt;ref-type name="Newspaper Article"&gt;23&lt;/ref-type&gt;&lt;contributors&gt;&lt;authors&gt;&lt;author&gt;Alan Greenblatt&lt;/author&gt;&lt;/authors&gt;&lt;/contributors&gt;&lt;titles&gt;&lt;title&gt;Is Teacher Tenure Still Necessary&lt;/title&gt;&lt;secondary-title&gt;NPR&lt;/secondary-title&gt;&lt;/titles&gt;&lt;dates&gt;&lt;year&gt;2010&lt;/year&gt;&lt;/dates&gt;&lt;publisher&gt;NPR&lt;/publisher&gt;&lt;urls&gt;&lt;/urls&gt;&lt;/record&gt;&lt;/Cite&gt;&lt;/EndNote&gt;</w:instrText>
      </w:r>
      <w:r w:rsidRPr="005D3F76">
        <w:rPr>
          <w:rFonts w:cs="Times New Roman"/>
          <w:szCs w:val="24"/>
        </w:rPr>
        <w:fldChar w:fldCharType="separate"/>
      </w:r>
      <w:r w:rsidRPr="005D3F76">
        <w:rPr>
          <w:rFonts w:cs="Times New Roman"/>
          <w:noProof/>
          <w:szCs w:val="24"/>
        </w:rPr>
        <w:t>(Center for Union Facts, 2015; Greenblatt, 2010; Sweetland, 2014)</w:t>
      </w:r>
      <w:r w:rsidRPr="005D3F76">
        <w:rPr>
          <w:rFonts w:cs="Times New Roman"/>
          <w:szCs w:val="24"/>
        </w:rPr>
        <w:fldChar w:fldCharType="end"/>
      </w:r>
      <w:r w:rsidRPr="005D3F76">
        <w:rPr>
          <w:rFonts w:cs="Times New Roman"/>
          <w:szCs w:val="24"/>
        </w:rPr>
        <w:t xml:space="preserve">. According to Michael Parenti (2009) in </w:t>
      </w:r>
      <w:r w:rsidRPr="005D3F76">
        <w:rPr>
          <w:rFonts w:cs="Times New Roman"/>
          <w:i/>
          <w:szCs w:val="24"/>
        </w:rPr>
        <w:t>Inventing Reality: The Politics of News Media</w:t>
      </w:r>
      <w:r w:rsidRPr="005D3F76">
        <w:rPr>
          <w:rFonts w:cs="Times New Roman"/>
          <w:szCs w:val="24"/>
        </w:rPr>
        <w:t xml:space="preserve">, most media outlets </w:t>
      </w:r>
    </w:p>
    <w:p w14:paraId="621D257E" w14:textId="77777777" w:rsidR="00B03557" w:rsidRPr="005D3F76" w:rsidRDefault="00B03557" w:rsidP="00DC6D2F">
      <w:pPr>
        <w:ind w:left="720"/>
        <w:rPr>
          <w:rFonts w:cs="Times New Roman"/>
          <w:szCs w:val="24"/>
        </w:rPr>
      </w:pPr>
      <w:r w:rsidRPr="005D3F76">
        <w:rPr>
          <w:rFonts w:cs="Times New Roman"/>
          <w:szCs w:val="24"/>
        </w:rPr>
        <w:t>lack contact with working-class people, have a low opinion of labor unions, and know very little about people outside their own social class. … In regard to economic and class issues, most [individuals] are educated into a world view that supports rather than opposes the existing corporate or [neoliberal] system</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 ExcludeAuth="1" ExcludeYear="1"&gt;&lt;Author&gt;Parenti&lt;/Author&gt;&lt;Year&gt;2009&lt;/Year&gt;&lt;RecNum&gt;303&lt;/RecNum&gt;&lt;Pages&gt;170&lt;/Pages&gt;&lt;DisplayText&gt;(p. 170)&lt;/DisplayText&gt;&lt;record&gt;&lt;rec-number&gt;303&lt;/rec-number&gt;&lt;foreign-keys&gt;&lt;key app="EN" db-id="etwareaz8xpxz3et59b50d9vxrata9z2w2zt" timestamp="1465700264"&gt;303&lt;/key&gt;&lt;/foreign-keys&gt;&lt;ref-type name="Book Section"&gt;5&lt;/ref-type&gt;&lt;contributors&gt;&lt;authors&gt;&lt;author&gt;Michael Parenti&lt;/author&gt;&lt;/authors&gt;&lt;secondary-authors&gt;&lt;author&gt;Lewis Ringel&lt;/author&gt;&lt;/secondary-authors&gt;&lt;/contributors&gt;&lt;titles&gt;&lt;title&gt;Inventing Reality: The Politics of News Media&lt;/title&gt;&lt;secondary-title&gt;Media and Politics&lt;/secondary-title&gt;&lt;/titles&gt;&lt;dates&gt;&lt;year&gt;2009&lt;/year&gt;&lt;/dates&gt;&lt;pub-location&gt;Baltimore&lt;/pub-location&gt;&lt;publisher&gt;Lanahan Publishers Inc&lt;/publisher&gt;&lt;urls&gt;&lt;/urls&gt;&lt;/record&gt;&lt;/Cite&gt;&lt;/EndNote&gt;</w:instrText>
      </w:r>
      <w:r w:rsidRPr="005D3F76">
        <w:rPr>
          <w:rFonts w:cs="Times New Roman"/>
          <w:szCs w:val="24"/>
        </w:rPr>
        <w:fldChar w:fldCharType="separate"/>
      </w:r>
      <w:r w:rsidRPr="005D3F76">
        <w:rPr>
          <w:rFonts w:cs="Times New Roman"/>
          <w:noProof/>
          <w:szCs w:val="24"/>
        </w:rPr>
        <w:t>(p. 170)</w:t>
      </w:r>
      <w:r w:rsidRPr="005D3F76">
        <w:rPr>
          <w:rFonts w:cs="Times New Roman"/>
          <w:szCs w:val="24"/>
        </w:rPr>
        <w:fldChar w:fldCharType="end"/>
      </w:r>
      <w:r w:rsidRPr="005D3F76">
        <w:rPr>
          <w:rFonts w:cs="Times New Roman"/>
          <w:szCs w:val="24"/>
        </w:rPr>
        <w:t xml:space="preserve"> </w:t>
      </w:r>
    </w:p>
    <w:p w14:paraId="13343EE6" w14:textId="6783186A" w:rsidR="00B03557" w:rsidRPr="005D3F76" w:rsidRDefault="00F85BD0" w:rsidP="004C0D6A">
      <w:pPr>
        <w:rPr>
          <w:rFonts w:cs="Times New Roman"/>
          <w:szCs w:val="24"/>
        </w:rPr>
      </w:pPr>
      <w:r w:rsidRPr="005D3F76">
        <w:rPr>
          <w:rFonts w:cs="Times New Roman"/>
          <w:szCs w:val="24"/>
        </w:rPr>
        <w:t>Parenti (2009) contends</w:t>
      </w:r>
      <w:r w:rsidR="00B03557" w:rsidRPr="005D3F76">
        <w:rPr>
          <w:rFonts w:cs="Times New Roman"/>
          <w:szCs w:val="24"/>
        </w:rPr>
        <w:t xml:space="preserve"> that the neoliberal ideology has a significant impact on how and what the media does with particular stories, in particular contexts, and in particular with those dealing with policy making. </w:t>
      </w:r>
    </w:p>
    <w:p w14:paraId="565DB527" w14:textId="548C6ED9" w:rsidR="00B03557" w:rsidRPr="005D3F76" w:rsidRDefault="00B03557" w:rsidP="00DC6D2F">
      <w:pPr>
        <w:rPr>
          <w:rFonts w:cs="Times New Roman"/>
          <w:szCs w:val="24"/>
        </w:rPr>
      </w:pPr>
      <w:r w:rsidRPr="005D3F76">
        <w:rPr>
          <w:rFonts w:cs="Times New Roman"/>
          <w:szCs w:val="24"/>
        </w:rPr>
        <w:tab/>
        <w:t xml:space="preserve">In this capacity, the media outlets frame stories that are presented to the mass public, but “framing” is particularly important to stories concerning politics, legislation, and education.  The </w:t>
      </w:r>
      <w:r w:rsidRPr="005D3F76">
        <w:rPr>
          <w:rFonts w:cs="Times New Roman"/>
          <w:szCs w:val="24"/>
        </w:rPr>
        <w:lastRenderedPageBreak/>
        <w:t xml:space="preserve">concept of framing “refers to the effects of presentation on judgment and choice” </w:t>
      </w:r>
      <w:r w:rsidRPr="005D3F76">
        <w:rPr>
          <w:rFonts w:cs="Times New Roman"/>
          <w:szCs w:val="24"/>
        </w:rPr>
        <w:fldChar w:fldCharType="begin"/>
      </w:r>
      <w:r w:rsidRPr="005D3F76">
        <w:rPr>
          <w:rFonts w:cs="Times New Roman"/>
          <w:szCs w:val="24"/>
        </w:rPr>
        <w:instrText xml:space="preserve"> ADDIN EN.CITE &lt;EndNote&gt;&lt;Cite&gt;&lt;Author&gt;Ivengar&lt;/Author&gt;&lt;Year&gt;1996&lt;/Year&gt;&lt;RecNum&gt;286&lt;/RecNum&gt;&lt;Pages&gt;61&lt;/Pages&gt;&lt;DisplayText&gt;(Shanto Ivengar, 1996, p. 61)&lt;/DisplayText&gt;&lt;record&gt;&lt;rec-number&gt;286&lt;/rec-number&gt;&lt;foreign-keys&gt;&lt;key app="EN" db-id="etwareaz8xpxz3et59b50d9vxrata9z2w2zt" timestamp="1465700262"&gt;286&lt;/key&gt;&lt;/foreign-keys&gt;&lt;ref-type name="Journal Article"&gt;17&lt;/ref-type&gt;&lt;contributors&gt;&lt;authors&gt;&lt;author&gt;Shanto Ivengar&lt;/author&gt;&lt;/authors&gt;&lt;/contributors&gt;&lt;titles&gt;&lt;title&gt;Framing Responsibility for Political Issues&lt;/title&gt;&lt;secondary-title&gt;American Academy of Political and Social Science&lt;/secondary-title&gt;&lt;/titles&gt;&lt;periodical&gt;&lt;full-title&gt;American Academy of Political and Social Science&lt;/full-title&gt;&lt;/periodical&gt;&lt;pages&gt;59-70&lt;/pages&gt;&lt;volume&gt;546&lt;/volume&gt;&lt;number&gt;The Media and Politics&lt;/number&gt;&lt;dates&gt;&lt;year&gt;1996&lt;/year&gt;&lt;/dates&gt;&lt;urls&gt;&lt;/urls&gt;&lt;/record&gt;&lt;/Cite&gt;&lt;/EndNote&gt;</w:instrText>
      </w:r>
      <w:r w:rsidRPr="005D3F76">
        <w:rPr>
          <w:rFonts w:cs="Times New Roman"/>
          <w:szCs w:val="24"/>
        </w:rPr>
        <w:fldChar w:fldCharType="separate"/>
      </w:r>
      <w:r w:rsidRPr="005D3F76">
        <w:rPr>
          <w:rFonts w:cs="Times New Roman"/>
          <w:noProof/>
          <w:szCs w:val="24"/>
        </w:rPr>
        <w:t>(Shanto Ivengar, 1996, p. 61)</w:t>
      </w:r>
      <w:r w:rsidRPr="005D3F76">
        <w:rPr>
          <w:rFonts w:cs="Times New Roman"/>
          <w:szCs w:val="24"/>
        </w:rPr>
        <w:fldChar w:fldCharType="end"/>
      </w:r>
      <w:r w:rsidRPr="005D3F76">
        <w:rPr>
          <w:rFonts w:cs="Times New Roman"/>
          <w:szCs w:val="24"/>
        </w:rPr>
        <w:t xml:space="preserve">. Frames form ideas and the language to fit those ideas. However, it is more than just a language; it quite literally becomes the idea itself. In psychological research on media framing, it was found that “individuals’ choices vary dramatically depending upon whether the options are presented as potential gains or losses” </w:t>
      </w:r>
      <w:r w:rsidRPr="005D3F76">
        <w:rPr>
          <w:rFonts w:cs="Times New Roman"/>
          <w:szCs w:val="24"/>
        </w:rPr>
        <w:fldChar w:fldCharType="begin"/>
      </w:r>
      <w:r w:rsidRPr="005D3F76">
        <w:rPr>
          <w:rFonts w:cs="Times New Roman"/>
          <w:szCs w:val="24"/>
        </w:rPr>
        <w:instrText xml:space="preserve"> ADDIN EN.CITE &lt;EndNote&gt;&lt;Cite ExcludeAuth="1" ExcludeYear="1"&gt;&lt;Author&gt;Ivengar&lt;/Author&gt;&lt;Year&gt;1996&lt;/Year&gt;&lt;RecNum&gt;286&lt;/RecNum&gt;&lt;Pages&gt;61&lt;/Pages&gt;&lt;DisplayText&gt;(p. 61)&lt;/DisplayText&gt;&lt;record&gt;&lt;rec-number&gt;286&lt;/rec-number&gt;&lt;foreign-keys&gt;&lt;key app="EN" db-id="etwareaz8xpxz3et59b50d9vxrata9z2w2zt" timestamp="1465700262"&gt;286&lt;/key&gt;&lt;/foreign-keys&gt;&lt;ref-type name="Journal Article"&gt;17&lt;/ref-type&gt;&lt;contributors&gt;&lt;authors&gt;&lt;author&gt;Shanto Ivengar&lt;/author&gt;&lt;/authors&gt;&lt;/contributors&gt;&lt;titles&gt;&lt;title&gt;Framing Responsibility for Political Issues&lt;/title&gt;&lt;secondary-title&gt;American Academy of Political and Social Science&lt;/secondary-title&gt;&lt;/titles&gt;&lt;periodical&gt;&lt;full-title&gt;American Academy of Political and Social Science&lt;/full-title&gt;&lt;/periodical&gt;&lt;pages&gt;59-70&lt;/pages&gt;&lt;volume&gt;546&lt;/volume&gt;&lt;number&gt;The Media and Politics&lt;/number&gt;&lt;dates&gt;&lt;year&gt;1996&lt;/year&gt;&lt;/dates&gt;&lt;urls&gt;&lt;/urls&gt;&lt;/record&gt;&lt;/Cite&gt;&lt;/EndNote&gt;</w:instrText>
      </w:r>
      <w:r w:rsidRPr="005D3F76">
        <w:rPr>
          <w:rFonts w:cs="Times New Roman"/>
          <w:szCs w:val="24"/>
        </w:rPr>
        <w:fldChar w:fldCharType="separate"/>
      </w:r>
      <w:r w:rsidRPr="005D3F76">
        <w:rPr>
          <w:rFonts w:cs="Times New Roman"/>
          <w:noProof/>
          <w:szCs w:val="24"/>
        </w:rPr>
        <w:t>(p. 61)</w:t>
      </w:r>
      <w:r w:rsidRPr="005D3F76">
        <w:rPr>
          <w:rFonts w:cs="Times New Roman"/>
          <w:szCs w:val="24"/>
        </w:rPr>
        <w:fldChar w:fldCharType="end"/>
      </w:r>
      <w:r w:rsidRPr="005D3F76">
        <w:rPr>
          <w:rFonts w:cs="Times New Roman"/>
          <w:szCs w:val="24"/>
        </w:rPr>
        <w:t>. Thus, if teacher unions are shown in the media as losing the battle for tenure in the newest policies being introduced into legislation, and the media outlets frame their loss as a gain for students, then the mass public will more times than not consider tenure from then on out as an outdated part of the teaching field. The reverse of this would also be true.</w:t>
      </w:r>
    </w:p>
    <w:p w14:paraId="63FB6A77" w14:textId="3904C19D" w:rsidR="00B03557" w:rsidRPr="005D3F76" w:rsidRDefault="00B03557" w:rsidP="00DC6D2F">
      <w:pPr>
        <w:rPr>
          <w:rFonts w:cs="Times New Roman"/>
          <w:szCs w:val="24"/>
        </w:rPr>
      </w:pPr>
      <w:r w:rsidRPr="005D3F76">
        <w:rPr>
          <w:rFonts w:cs="Times New Roman"/>
          <w:szCs w:val="24"/>
        </w:rPr>
        <w:tab/>
        <w:t xml:space="preserve">Since most individuals in U.S. society confront and approach the world around them, specifically their political understandings, through the language of news either in textual format, such as newspapers or magazines, and more increasingly television and internet news programs, the frames that are being produced and introduced to the mass public need to be examined for their validity.  The literature suggests that what the media promulgates is what significantly contributes to the “socially constructed discourses” in specific regards to “teachers, teaching, and public education” </w:t>
      </w:r>
      <w:r w:rsidRPr="005D3F76">
        <w:rPr>
          <w:rFonts w:cs="Times New Roman"/>
          <w:szCs w:val="24"/>
        </w:rPr>
        <w:fldChar w:fldCharType="begin"/>
      </w:r>
      <w:r w:rsidRPr="005D3F76">
        <w:rPr>
          <w:rFonts w:cs="Times New Roman"/>
          <w:szCs w:val="24"/>
        </w:rPr>
        <w:instrText xml:space="preserve"> ADDIN EN.CITE &lt;EndNote&gt;&lt;Cite&gt;&lt;Author&gt;Goldstein&lt;/Author&gt;&lt;Year&gt;2010&lt;/Year&gt;&lt;RecNum&gt;292&lt;/RecNum&gt;&lt;Pages&gt;7&lt;/Pages&gt;&lt;DisplayText&gt;(Goldstein, 2010, p. 7)&lt;/DisplayText&gt;&lt;record&gt;&lt;rec-number&gt;292&lt;/rec-number&gt;&lt;foreign-keys&gt;&lt;key app="EN" db-id="etwareaz8xpxz3et59b50d9vxrata9z2w2zt" timestamp="1465700263"&gt;292&lt;/key&gt;&lt;/foreign-keys&gt;&lt;ref-type name="Journal Article"&gt;17&lt;/ref-type&gt;&lt;contributors&gt;&lt;authors&gt;&lt;author&gt;Rebecca A Goldstein&lt;/author&gt;&lt;/authors&gt;&lt;/contributors&gt;&lt;titles&gt;&lt;title&gt;Imaging the Frame: Media Representations of Teachers, Their Unions, NCLB, and Education Reform&lt;/title&gt;&lt;secondary-title&gt;Educational Policy OnlineFirst&lt;/secondary-title&gt;&lt;/titles&gt;&lt;periodical&gt;&lt;full-title&gt;Educational Policy OnlineFirst&lt;/full-title&gt;&lt;/periodical&gt;&lt;pages&gt;1-34&lt;/pages&gt;&lt;edition&gt;April 14, 2010&lt;/edition&gt;&lt;dates&gt;&lt;year&gt;2010&lt;/year&gt;&lt;/dates&gt;&lt;urls&gt;&lt;/urls&gt;&lt;/record&gt;&lt;/Cite&gt;&lt;/EndNote&gt;</w:instrText>
      </w:r>
      <w:r w:rsidRPr="005D3F76">
        <w:rPr>
          <w:rFonts w:cs="Times New Roman"/>
          <w:szCs w:val="24"/>
        </w:rPr>
        <w:fldChar w:fldCharType="separate"/>
      </w:r>
      <w:r w:rsidRPr="005D3F76">
        <w:rPr>
          <w:rFonts w:cs="Times New Roman"/>
          <w:noProof/>
          <w:szCs w:val="24"/>
        </w:rPr>
        <w:t>(Goldstein, 2010, p. 7)</w:t>
      </w:r>
      <w:r w:rsidRPr="005D3F76">
        <w:rPr>
          <w:rFonts w:cs="Times New Roman"/>
          <w:szCs w:val="24"/>
        </w:rPr>
        <w:fldChar w:fldCharType="end"/>
      </w:r>
      <w:r w:rsidRPr="005D3F76">
        <w:rPr>
          <w:rFonts w:cs="Times New Roman"/>
          <w:szCs w:val="24"/>
        </w:rPr>
        <w:t xml:space="preserve">. Because the public’s perception about responsibility is prone to the effects of framing as previously suggested, , it is hard to overlook the resources that framing creates for those in power within society </w:t>
      </w:r>
      <w:r w:rsidRPr="005D3F76">
        <w:rPr>
          <w:rFonts w:cs="Times New Roman"/>
          <w:szCs w:val="24"/>
        </w:rPr>
        <w:fldChar w:fldCharType="begin"/>
      </w:r>
      <w:r w:rsidRPr="005D3F76">
        <w:rPr>
          <w:rFonts w:cs="Times New Roman"/>
          <w:szCs w:val="24"/>
        </w:rPr>
        <w:instrText xml:space="preserve"> ADDIN EN.CITE &lt;EndNote&gt;&lt;Cite&gt;&lt;Author&gt;Ivengar&lt;/Author&gt;&lt;Year&gt;1996&lt;/Year&gt;&lt;RecNum&gt;286&lt;/RecNum&gt;&lt;DisplayText&gt;(Shanto Ivengar, 1996)&lt;/DisplayText&gt;&lt;record&gt;&lt;rec-number&gt;286&lt;/rec-number&gt;&lt;foreign-keys&gt;&lt;key app="EN" db-id="etwareaz8xpxz3et59b50d9vxrata9z2w2zt" timestamp="1465700262"&gt;286&lt;/key&gt;&lt;/foreign-keys&gt;&lt;ref-type name="Journal Article"&gt;17&lt;/ref-type&gt;&lt;contributors&gt;&lt;authors&gt;&lt;author&gt;Shanto Ivengar&lt;/author&gt;&lt;/authors&gt;&lt;/contributors&gt;&lt;titles&gt;&lt;title&gt;Framing Responsibility for Political Issues&lt;/title&gt;&lt;secondary-title&gt;American Academy of Political and Social Science&lt;/secondary-title&gt;&lt;/titles&gt;&lt;periodical&gt;&lt;full-title&gt;American Academy of Political and Social Science&lt;/full-title&gt;&lt;/periodical&gt;&lt;pages&gt;59-70&lt;/pages&gt;&lt;volume&gt;546&lt;/volume&gt;&lt;number&gt;The Media and Politics&lt;/number&gt;&lt;dates&gt;&lt;year&gt;1996&lt;/year&gt;&lt;/dates&gt;&lt;urls&gt;&lt;/urls&gt;&lt;/record&gt;&lt;/Cite&gt;&lt;/EndNote&gt;</w:instrText>
      </w:r>
      <w:r w:rsidRPr="005D3F76">
        <w:rPr>
          <w:rFonts w:cs="Times New Roman"/>
          <w:szCs w:val="24"/>
        </w:rPr>
        <w:fldChar w:fldCharType="separate"/>
      </w:r>
      <w:r w:rsidRPr="005D3F76">
        <w:rPr>
          <w:rFonts w:cs="Times New Roman"/>
          <w:noProof/>
          <w:szCs w:val="24"/>
        </w:rPr>
        <w:t>(Shanto Ivengar, 1996)</w:t>
      </w:r>
      <w:r w:rsidRPr="005D3F76">
        <w:rPr>
          <w:rFonts w:cs="Times New Roman"/>
          <w:szCs w:val="24"/>
        </w:rPr>
        <w:fldChar w:fldCharType="end"/>
      </w:r>
      <w:r w:rsidRPr="005D3F76">
        <w:rPr>
          <w:rFonts w:cs="Times New Roman"/>
          <w:szCs w:val="24"/>
        </w:rPr>
        <w:t xml:space="preserve">. </w:t>
      </w:r>
    </w:p>
    <w:p w14:paraId="3F303424" w14:textId="77777777" w:rsidR="00B03557" w:rsidRPr="005D3F76" w:rsidRDefault="00B03557" w:rsidP="00DC6D2F">
      <w:pPr>
        <w:ind w:firstLine="720"/>
        <w:rPr>
          <w:rFonts w:cs="Times New Roman"/>
          <w:szCs w:val="24"/>
        </w:rPr>
      </w:pPr>
      <w:r w:rsidRPr="005D3F76">
        <w:rPr>
          <w:rFonts w:cs="Times New Roman"/>
          <w:szCs w:val="24"/>
        </w:rPr>
        <w:t xml:space="preserve">It is often difficult to understand when something in the media is based on real research and facts, and when it is not.  Andrew Rotherman </w:t>
      </w:r>
      <w:r w:rsidRPr="005D3F76">
        <w:rPr>
          <w:rFonts w:cs="Times New Roman"/>
          <w:szCs w:val="24"/>
        </w:rPr>
        <w:fldChar w:fldCharType="begin"/>
      </w:r>
      <w:r w:rsidRPr="005D3F76">
        <w:rPr>
          <w:rFonts w:cs="Times New Roman"/>
          <w:szCs w:val="24"/>
        </w:rPr>
        <w:instrText xml:space="preserve"> ADDIN EN.CITE &lt;EndNote&gt;&lt;Cite ExcludeAuth="1"&gt;&lt;Author&gt;Rotherman&lt;/Author&gt;&lt;Year&gt;2008&lt;/Year&gt;&lt;RecNum&gt;304&lt;/RecNum&gt;&lt;DisplayText&gt;(2008)&lt;/DisplayText&gt;&lt;record&gt;&lt;rec-number&gt;304&lt;/rec-number&gt;&lt;foreign-keys&gt;&lt;key app="EN" db-id="etwareaz8xpxz3et59b50d9vxrata9z2w2zt" timestamp="1465700265"&gt;304&lt;/key&gt;&lt;/foreign-keys&gt;&lt;ref-type name="Journal Article"&gt;17&lt;/ref-type&gt;&lt;contributors&gt;&lt;authors&gt;&lt;author&gt;Andrew Rotherman&lt;/author&gt;&lt;/authors&gt;&lt;/contributors&gt;&lt;titles&gt;&lt;title&gt;The Translators: The Media and School Choice Research&lt;/title&gt;&lt;secondary-title&gt;Phi Delta Kappan&lt;/secondary-title&gt;&lt;/titles&gt;&lt;periodical&gt;&lt;full-title&gt;Phi Delta Kappan&lt;/full-title&gt;&lt;/periodical&gt;&lt;pages&gt;376-379&lt;/pages&gt;&lt;volume&gt;89&lt;/volume&gt;&lt;dates&gt;&lt;year&gt;2008&lt;/year&gt;&lt;/dates&gt;&lt;urls&gt;&lt;/urls&gt;&lt;/record&gt;&lt;/Cite&gt;&lt;/EndNote&gt;</w:instrText>
      </w:r>
      <w:r w:rsidRPr="005D3F76">
        <w:rPr>
          <w:rFonts w:cs="Times New Roman"/>
          <w:szCs w:val="24"/>
        </w:rPr>
        <w:fldChar w:fldCharType="separate"/>
      </w:r>
      <w:r w:rsidRPr="005D3F76">
        <w:rPr>
          <w:rFonts w:cs="Times New Roman"/>
          <w:noProof/>
          <w:szCs w:val="24"/>
        </w:rPr>
        <w:t>(2008)</w:t>
      </w:r>
      <w:r w:rsidRPr="005D3F76">
        <w:rPr>
          <w:rFonts w:cs="Times New Roman"/>
          <w:szCs w:val="24"/>
        </w:rPr>
        <w:fldChar w:fldCharType="end"/>
      </w:r>
      <w:r w:rsidRPr="005D3F76">
        <w:rPr>
          <w:rFonts w:cs="Times New Roman"/>
          <w:szCs w:val="24"/>
        </w:rPr>
        <w:t xml:space="preserve"> explains it well by acknowledging that the </w:t>
      </w:r>
    </w:p>
    <w:p w14:paraId="374D2BE9" w14:textId="77777777" w:rsidR="00B03557" w:rsidRPr="005D3F76" w:rsidRDefault="00B03557" w:rsidP="00DC6D2F">
      <w:pPr>
        <w:ind w:left="720"/>
        <w:rPr>
          <w:rFonts w:cs="Times New Roman"/>
          <w:i/>
          <w:szCs w:val="24"/>
        </w:rPr>
      </w:pPr>
      <w:r w:rsidRPr="005D3F76">
        <w:rPr>
          <w:rFonts w:cs="Times New Roman"/>
          <w:szCs w:val="24"/>
        </w:rPr>
        <w:t xml:space="preserve">public gathers much of its knowledge about education policy and research from the media, journalists in fact have little experience in knowing how to judge the validity of </w:t>
      </w:r>
      <w:r w:rsidRPr="005D3F76">
        <w:rPr>
          <w:rFonts w:cs="Times New Roman"/>
          <w:szCs w:val="24"/>
        </w:rPr>
        <w:lastRenderedPageBreak/>
        <w:t>the policies and research about which they report. In addition, media outlets often fail to critically engage with the sources of their information so that the partisan research groups [et. al] are considered as credible as research guided by a blind peer-review and professional research standards.</w:t>
      </w:r>
      <w:r w:rsidRPr="005D3F76">
        <w:rPr>
          <w:rFonts w:cs="Times New Roman"/>
          <w:i/>
          <w:szCs w:val="24"/>
        </w:rPr>
        <w:t xml:space="preserve"> </w:t>
      </w:r>
      <w:r w:rsidRPr="005D3F76">
        <w:rPr>
          <w:rFonts w:cs="Times New Roman"/>
          <w:i/>
          <w:szCs w:val="24"/>
        </w:rPr>
        <w:fldChar w:fldCharType="begin"/>
      </w:r>
      <w:r w:rsidRPr="005D3F76">
        <w:rPr>
          <w:rFonts w:cs="Times New Roman"/>
          <w:i/>
          <w:szCs w:val="24"/>
        </w:rPr>
        <w:instrText xml:space="preserve"> ADDIN EN.CITE &lt;EndNote&gt;&lt;Cite&gt;&lt;Author&gt;Goldstein&lt;/Author&gt;&lt;Year&gt;2010&lt;/Year&gt;&lt;RecNum&gt;292&lt;/RecNum&gt;&lt;Pages&gt;7&lt;/Pages&gt;&lt;DisplayText&gt;(Goldstein, 2010, p. 7)&lt;/DisplayText&gt;&lt;record&gt;&lt;rec-number&gt;292&lt;/rec-number&gt;&lt;foreign-keys&gt;&lt;key app="EN" db-id="etwareaz8xpxz3et59b50d9vxrata9z2w2zt" timestamp="1465700263"&gt;292&lt;/key&gt;&lt;/foreign-keys&gt;&lt;ref-type name="Journal Article"&gt;17&lt;/ref-type&gt;&lt;contributors&gt;&lt;authors&gt;&lt;author&gt;Rebecca A Goldstein&lt;/author&gt;&lt;/authors&gt;&lt;/contributors&gt;&lt;titles&gt;&lt;title&gt;Imaging the Frame: Media Representations of Teachers, Their Unions, NCLB, and Education Reform&lt;/title&gt;&lt;secondary-title&gt;Educational Policy OnlineFirst&lt;/secondary-title&gt;&lt;/titles&gt;&lt;periodical&gt;&lt;full-title&gt;Educational Policy OnlineFirst&lt;/full-title&gt;&lt;/periodical&gt;&lt;pages&gt;1-34&lt;/pages&gt;&lt;edition&gt;April 14, 2010&lt;/edition&gt;&lt;dates&gt;&lt;year&gt;2010&lt;/year&gt;&lt;/dates&gt;&lt;urls&gt;&lt;/urls&gt;&lt;/record&gt;&lt;/Cite&gt;&lt;/EndNote&gt;</w:instrText>
      </w:r>
      <w:r w:rsidRPr="005D3F76">
        <w:rPr>
          <w:rFonts w:cs="Times New Roman"/>
          <w:i/>
          <w:szCs w:val="24"/>
        </w:rPr>
        <w:fldChar w:fldCharType="separate"/>
      </w:r>
      <w:r w:rsidRPr="005D3F76">
        <w:rPr>
          <w:rFonts w:cs="Times New Roman"/>
          <w:i/>
          <w:noProof/>
          <w:szCs w:val="24"/>
        </w:rPr>
        <w:t xml:space="preserve">(Goldstein, </w:t>
      </w:r>
      <w:r w:rsidRPr="005D3F76">
        <w:rPr>
          <w:rFonts w:cs="Times New Roman"/>
          <w:noProof/>
          <w:szCs w:val="24"/>
        </w:rPr>
        <w:t>2010</w:t>
      </w:r>
      <w:r w:rsidRPr="005D3F76">
        <w:rPr>
          <w:rFonts w:cs="Times New Roman"/>
          <w:i/>
          <w:noProof/>
          <w:szCs w:val="24"/>
        </w:rPr>
        <w:t>, p. 7)</w:t>
      </w:r>
      <w:r w:rsidRPr="005D3F76">
        <w:rPr>
          <w:rFonts w:cs="Times New Roman"/>
          <w:i/>
          <w:szCs w:val="24"/>
        </w:rPr>
        <w:fldChar w:fldCharType="end"/>
      </w:r>
      <w:r w:rsidRPr="005D3F76" w:rsidDel="004B2C09">
        <w:rPr>
          <w:rFonts w:cs="Times New Roman"/>
          <w:i/>
          <w:szCs w:val="24"/>
        </w:rPr>
        <w:t xml:space="preserve"> </w:t>
      </w:r>
    </w:p>
    <w:p w14:paraId="269A5387" w14:textId="77777777" w:rsidR="00B03557" w:rsidRPr="005D3F76" w:rsidRDefault="00B03557" w:rsidP="00DC6D2F">
      <w:pPr>
        <w:rPr>
          <w:rFonts w:cs="Times New Roman"/>
          <w:szCs w:val="24"/>
        </w:rPr>
      </w:pPr>
      <w:r w:rsidRPr="005D3F76">
        <w:rPr>
          <w:rFonts w:cs="Times New Roman"/>
          <w:szCs w:val="24"/>
        </w:rPr>
        <w:t xml:space="preserve"> It is because individuals are confronted with the understandings of the world around them by the media, that it is important that a critical engagement with what is being reported take place, especially in regards to issues pertaining to education.</w:t>
      </w:r>
    </w:p>
    <w:p w14:paraId="09831945" w14:textId="77777777" w:rsidR="00B03557" w:rsidRPr="005D3F76" w:rsidRDefault="00B03557" w:rsidP="00DC6D2F">
      <w:pPr>
        <w:pStyle w:val="Heading2"/>
        <w:rPr>
          <w:rFonts w:cs="Times New Roman"/>
        </w:rPr>
      </w:pPr>
      <w:bookmarkStart w:id="3" w:name="_Toc462843623"/>
      <w:r w:rsidRPr="005D3F76">
        <w:rPr>
          <w:rFonts w:cs="Times New Roman"/>
        </w:rPr>
        <w:t>Equality, Equity, and Social Justice: Examining Issues of Power</w:t>
      </w:r>
      <w:bookmarkEnd w:id="3"/>
    </w:p>
    <w:p w14:paraId="056D1A87" w14:textId="77777777" w:rsidR="00B03557" w:rsidRPr="005D3F76" w:rsidRDefault="00B03557" w:rsidP="00DC6D2F">
      <w:pPr>
        <w:ind w:firstLine="720"/>
        <w:rPr>
          <w:rFonts w:cs="Times New Roman"/>
          <w:szCs w:val="24"/>
        </w:rPr>
      </w:pPr>
      <w:r w:rsidRPr="005D3F76">
        <w:rPr>
          <w:rFonts w:cs="Times New Roman"/>
          <w:szCs w:val="24"/>
        </w:rPr>
        <w:t xml:space="preserve">The knowledge of issues surrounding the use and abuse of power, must be examined, particularly when dealing with an institution such as the media, where oversight is largely self-regulated and democratic ideals may be completely dismissed as unnecessary. Comprehending the ideas surrounding power help individuals critique and develop ideas about what is going on in the world around them. Power can be regarded as “pervading every level of social relationships. It is not simply the glue that holds the social together, or the coercive force which subordinates one set of people to another,” but is something that must be understood as a necessary component of everyday life whilst living within a particular society at a particular time within history </w:t>
      </w:r>
      <w:r w:rsidRPr="005D3F76">
        <w:rPr>
          <w:rFonts w:cs="Times New Roman"/>
          <w:szCs w:val="24"/>
        </w:rPr>
        <w:fldChar w:fldCharType="begin"/>
      </w:r>
      <w:r w:rsidRPr="005D3F76">
        <w:rPr>
          <w:rFonts w:cs="Times New Roman"/>
          <w:szCs w:val="24"/>
        </w:rPr>
        <w:instrText xml:space="preserve"> ADDIN EN.CITE &lt;EndNote&gt;&lt;Cite&gt;&lt;Author&gt;Barker&lt;/Author&gt;&lt;Year&gt;2012&lt;/Year&gt;&lt;RecNum&gt;1&lt;/RecNum&gt;&lt;Pages&gt;10&lt;/Pages&gt;&lt;DisplayText&gt;(Barker, 2012, p. 10)&lt;/DisplayText&gt;&lt;record&gt;&lt;rec-number&gt;1&lt;/rec-number&gt;&lt;foreign-keys&gt;&lt;key app="EN" db-id="etwareaz8xpxz3et59b50d9vxrata9z2w2zt" timestamp="1444330622"&gt;1&lt;/key&gt;&lt;/foreign-keys&gt;&lt;ref-type name="Book"&gt;6&lt;/ref-type&gt;&lt;contributors&gt;&lt;authors&gt;&lt;author&gt;Chris Barker&lt;/author&gt;&lt;/authors&gt;&lt;/contributors&gt;&lt;titles&gt;&lt;title&gt;Cultural Studies: Theory and Practice&lt;/title&gt;&lt;/titles&gt;&lt;dates&gt;&lt;year&gt;2012&lt;/year&gt;&lt;/dates&gt;&lt;pub-location&gt;London&lt;/pub-location&gt;&lt;publisher&gt;Sage Publications Ltd&lt;/publisher&gt;&lt;urls&gt;&lt;/urls&gt;&lt;/record&gt;&lt;/Cite&gt;&lt;/EndNote&gt;</w:instrText>
      </w:r>
      <w:r w:rsidRPr="005D3F76">
        <w:rPr>
          <w:rFonts w:cs="Times New Roman"/>
          <w:szCs w:val="24"/>
        </w:rPr>
        <w:fldChar w:fldCharType="separate"/>
      </w:r>
      <w:r w:rsidRPr="005D3F76">
        <w:rPr>
          <w:rFonts w:cs="Times New Roman"/>
          <w:noProof/>
          <w:szCs w:val="24"/>
        </w:rPr>
        <w:t>(Barker, 2012, p. 10)</w:t>
      </w:r>
      <w:r w:rsidRPr="005D3F76">
        <w:rPr>
          <w:rFonts w:cs="Times New Roman"/>
          <w:szCs w:val="24"/>
        </w:rPr>
        <w:fldChar w:fldCharType="end"/>
      </w:r>
      <w:r w:rsidRPr="005D3F76">
        <w:rPr>
          <w:rFonts w:cs="Times New Roman"/>
          <w:szCs w:val="24"/>
        </w:rPr>
        <w:t xml:space="preserve">. </w:t>
      </w:r>
    </w:p>
    <w:p w14:paraId="459F51D5" w14:textId="4368137C" w:rsidR="00B03557" w:rsidRPr="005D3F76" w:rsidRDefault="00B03557" w:rsidP="00DC6D2F">
      <w:pPr>
        <w:ind w:firstLine="720"/>
        <w:rPr>
          <w:rFonts w:cs="Times New Roman"/>
          <w:szCs w:val="24"/>
        </w:rPr>
      </w:pPr>
      <w:r w:rsidRPr="005D3F76">
        <w:rPr>
          <w:rFonts w:cs="Times New Roman"/>
          <w:szCs w:val="24"/>
        </w:rPr>
        <w:t xml:space="preserve"> As such, hegemony, a term cre</w:t>
      </w:r>
      <w:r w:rsidR="00000280" w:rsidRPr="005D3F76">
        <w:rPr>
          <w:rFonts w:cs="Times New Roman"/>
          <w:szCs w:val="24"/>
        </w:rPr>
        <w:t>dited to Antonio Gramsci (1971)</w:t>
      </w:r>
      <w:r w:rsidRPr="005D3F76">
        <w:rPr>
          <w:rFonts w:cs="Times New Roman"/>
          <w:szCs w:val="24"/>
        </w:rPr>
        <w:t>, which deals with issues of power on a mass cultural and societal scale, can be defined as a situation which is characterized</w:t>
      </w:r>
    </w:p>
    <w:p w14:paraId="0C133957" w14:textId="77777777" w:rsidR="00B03557" w:rsidRPr="005D3F76" w:rsidRDefault="00B03557" w:rsidP="00DC6D2F">
      <w:pPr>
        <w:ind w:left="720"/>
        <w:rPr>
          <w:rFonts w:cs="Times New Roman"/>
          <w:szCs w:val="24"/>
        </w:rPr>
      </w:pPr>
      <w:r w:rsidRPr="005D3F76">
        <w:rPr>
          <w:rFonts w:cs="Times New Roman"/>
          <w:szCs w:val="24"/>
        </w:rPr>
        <w:t xml:space="preserve">by the combination of force and consent, which balance each other reciprocally without force predominating excessively over consent. Indeed, the attempt is always to ensure </w:t>
      </w:r>
      <w:r w:rsidRPr="005D3F76">
        <w:rPr>
          <w:rFonts w:cs="Times New Roman"/>
          <w:szCs w:val="24"/>
        </w:rPr>
        <w:lastRenderedPageBreak/>
        <w:t xml:space="preserve">that force would appear to be based on the consent of the majority expressed by the so-called organs of public opinion—newspapers and association. </w:t>
      </w:r>
      <w:r w:rsidRPr="005D3F76">
        <w:rPr>
          <w:rFonts w:cs="Times New Roman"/>
          <w:szCs w:val="24"/>
        </w:rPr>
        <w:fldChar w:fldCharType="begin"/>
      </w:r>
      <w:r w:rsidRPr="005D3F76">
        <w:rPr>
          <w:rFonts w:cs="Times New Roman"/>
          <w:szCs w:val="24"/>
        </w:rPr>
        <w:instrText xml:space="preserve"> ADDIN EN.CITE &lt;EndNote&gt;&lt;Cite&gt;&lt;Author&gt;Gramsci&lt;/Author&gt;&lt;Year&gt;1971&lt;/Year&gt;&lt;RecNum&gt;3&lt;/RecNum&gt;&lt;Pages&gt;80&lt;/Pages&gt;&lt;DisplayText&gt;(Gramsci, 1971, p. 80)&lt;/DisplayText&gt;&lt;record&gt;&lt;rec-number&gt;3&lt;/rec-number&gt;&lt;foreign-keys&gt;&lt;key app="EN" db-id="etwareaz8xpxz3et59b50d9vxrata9z2w2zt" timestamp="1444522353"&gt;3&lt;/key&gt;&lt;/foreign-keys&gt;&lt;ref-type name="Book"&gt;6&lt;/ref-type&gt;&lt;contributors&gt;&lt;authors&gt;&lt;author&gt;Antonio Gramsci&lt;/author&gt;&lt;/authors&gt;&lt;/contributors&gt;&lt;titles&gt;&lt;title&gt;Selections from the Prison Notebooks&lt;/title&gt;&lt;/titles&gt;&lt;dates&gt;&lt;year&gt;1971&lt;/year&gt;&lt;/dates&gt;&lt;pub-location&gt;London&lt;/pub-location&gt;&lt;publisher&gt;Lawrence and Wishart&lt;/publisher&gt;&lt;urls&gt;&lt;/urls&gt;&lt;/record&gt;&lt;/Cite&gt;&lt;/EndNote&gt;</w:instrText>
      </w:r>
      <w:r w:rsidRPr="005D3F76">
        <w:rPr>
          <w:rFonts w:cs="Times New Roman"/>
          <w:szCs w:val="24"/>
        </w:rPr>
        <w:fldChar w:fldCharType="separate"/>
      </w:r>
      <w:r w:rsidRPr="005D3F76">
        <w:rPr>
          <w:rFonts w:cs="Times New Roman"/>
          <w:noProof/>
          <w:szCs w:val="24"/>
        </w:rPr>
        <w:t>(Gramsci, 1971, p. 80)</w:t>
      </w:r>
      <w:r w:rsidRPr="005D3F76">
        <w:rPr>
          <w:rFonts w:cs="Times New Roman"/>
          <w:szCs w:val="24"/>
        </w:rPr>
        <w:fldChar w:fldCharType="end"/>
      </w:r>
    </w:p>
    <w:p w14:paraId="588B73BA" w14:textId="77777777" w:rsidR="00B03557" w:rsidRPr="005D3F76" w:rsidRDefault="00B03557" w:rsidP="00DC6D2F">
      <w:pPr>
        <w:ind w:left="720"/>
        <w:rPr>
          <w:rFonts w:cs="Times New Roman"/>
          <w:szCs w:val="24"/>
        </w:rPr>
      </w:pPr>
    </w:p>
    <w:p w14:paraId="78E39E74" w14:textId="0816ED6A" w:rsidR="00B03557" w:rsidRPr="005D3F76" w:rsidRDefault="00B03557" w:rsidP="00DC6D2F">
      <w:pPr>
        <w:rPr>
          <w:rFonts w:cs="Times New Roman"/>
          <w:szCs w:val="24"/>
        </w:rPr>
      </w:pPr>
      <w:r w:rsidRPr="005D3F76">
        <w:rPr>
          <w:rFonts w:cs="Times New Roman"/>
          <w:szCs w:val="24"/>
        </w:rPr>
        <w:t xml:space="preserve">However, it is Michael Foucault (1980) </w:t>
      </w:r>
      <w:r w:rsidR="00F85BD0" w:rsidRPr="005D3F76">
        <w:rPr>
          <w:rFonts w:cs="Times New Roman"/>
          <w:szCs w:val="24"/>
        </w:rPr>
        <w:t>who</w:t>
      </w:r>
      <w:r w:rsidRPr="005D3F76">
        <w:rPr>
          <w:rFonts w:cs="Times New Roman"/>
          <w:szCs w:val="24"/>
        </w:rPr>
        <w:t xml:space="preserve"> claims that through social institutions, such as the media, society can be controlled through powerful structures, almost like a form of governmentality, essentially used to create docile citizens, which is done regularly through the education system. To Foucault (1980), ‘power’ such that can be found within the media “reaches into the very grain of individuals, touches their bodies and inserts itself into their actions and attitudes, their discourses, learning processes and everyday lives”  </w:t>
      </w:r>
      <w:r w:rsidRPr="005D3F76">
        <w:rPr>
          <w:rFonts w:cs="Times New Roman"/>
          <w:szCs w:val="24"/>
        </w:rPr>
        <w:fldChar w:fldCharType="begin"/>
      </w:r>
      <w:r w:rsidRPr="005D3F76">
        <w:rPr>
          <w:rFonts w:cs="Times New Roman"/>
          <w:szCs w:val="24"/>
        </w:rPr>
        <w:instrText xml:space="preserve"> ADDIN EN.CITE &lt;EndNote&gt;&lt;Cite ExcludeAuth="1" ExcludeYear="1"&gt;&lt;Author&gt;Foucault&lt;/Author&gt;&lt;Year&gt;1980&lt;/Year&gt;&lt;RecNum&gt;2&lt;/RecNum&gt;&lt;Pages&gt;30&lt;/Pages&gt;&lt;DisplayText&gt;(p. 30)&lt;/DisplayText&gt;&lt;record&gt;&lt;rec-number&gt;2&lt;/rec-number&gt;&lt;foreign-keys&gt;&lt;key app="EN" db-id="etwareaz8xpxz3et59b50d9vxrata9z2w2zt" timestamp="1444510956"&gt;2&lt;/key&gt;&lt;/foreign-keys&gt;&lt;ref-type name="Book"&gt;6&lt;/ref-type&gt;&lt;contributors&gt;&lt;authors&gt;&lt;author&gt;Michael Foucault&lt;/author&gt;&lt;/authors&gt;&lt;/contributors&gt;&lt;titles&gt;&lt;title&gt;Power/Knowledge&lt;/title&gt;&lt;/titles&gt;&lt;dates&gt;&lt;year&gt;1980&lt;/year&gt;&lt;/dates&gt;&lt;pub-location&gt;New York&lt;/pub-location&gt;&lt;publisher&gt;Pantheon&lt;/publisher&gt;&lt;urls&gt;&lt;/urls&gt;&lt;/record&gt;&lt;/Cite&gt;&lt;/EndNote&gt;</w:instrText>
      </w:r>
      <w:r w:rsidRPr="005D3F76">
        <w:rPr>
          <w:rFonts w:cs="Times New Roman"/>
          <w:szCs w:val="24"/>
        </w:rPr>
        <w:fldChar w:fldCharType="separate"/>
      </w:r>
      <w:r w:rsidRPr="005D3F76">
        <w:rPr>
          <w:rFonts w:cs="Times New Roman"/>
          <w:noProof/>
          <w:szCs w:val="24"/>
        </w:rPr>
        <w:t>(p. 30)</w:t>
      </w:r>
      <w:r w:rsidRPr="005D3F76">
        <w:rPr>
          <w:rFonts w:cs="Times New Roman"/>
          <w:szCs w:val="24"/>
        </w:rPr>
        <w:fldChar w:fldCharType="end"/>
      </w:r>
      <w:r w:rsidR="00F85BD0" w:rsidRPr="005D3F76">
        <w:rPr>
          <w:rFonts w:cs="Times New Roman"/>
          <w:szCs w:val="24"/>
        </w:rPr>
        <w:t>. Additionally, Michael Apple and</w:t>
      </w:r>
      <w:r w:rsidRPr="005D3F76">
        <w:rPr>
          <w:rFonts w:cs="Times New Roman"/>
          <w:szCs w:val="24"/>
        </w:rPr>
        <w:t xml:space="preserve"> Antonio Gramsci, </w:t>
      </w:r>
      <w:r w:rsidR="00F85BD0" w:rsidRPr="005D3F76">
        <w:rPr>
          <w:rFonts w:cs="Times New Roman"/>
          <w:szCs w:val="24"/>
        </w:rPr>
        <w:t xml:space="preserve">both help to further </w:t>
      </w:r>
      <w:r w:rsidRPr="005D3F76">
        <w:rPr>
          <w:rFonts w:cs="Times New Roman"/>
          <w:szCs w:val="24"/>
        </w:rPr>
        <w:t xml:space="preserve">the discussion of power by contending that it is so engrained and so embedded in society, and the individuals within that society, that the ability to see beyond it is almost impossible; the ability to see it becomes neutralized, an ‘ideological hegemony’ </w:t>
      </w:r>
      <w:r w:rsidRPr="005D3F76">
        <w:rPr>
          <w:rFonts w:cs="Times New Roman"/>
          <w:szCs w:val="24"/>
        </w:rPr>
        <w:fldChar w:fldCharType="begin"/>
      </w:r>
      <w:r w:rsidRPr="005D3F76">
        <w:rPr>
          <w:rFonts w:cs="Times New Roman"/>
          <w:szCs w:val="24"/>
        </w:rPr>
        <w:instrText xml:space="preserve"> ADDIN EN.CITE &lt;EndNote&gt;&lt;Cite&gt;&lt;Author&gt;Apple&lt;/Author&gt;&lt;Year&gt;1995&lt;/Year&gt;&lt;RecNum&gt;4&lt;/RecNum&gt;&lt;Pages&gt;14-15&lt;/Pages&gt;&lt;DisplayText&gt;(Apple, 1995, pp. 14-15; Gramsci, 1971)&lt;/DisplayText&gt;&lt;record&gt;&lt;rec-number&gt;4&lt;/rec-number&gt;&lt;foreign-keys&gt;&lt;key app="EN" db-id="etwareaz8xpxz3et59b50d9vxrata9z2w2zt" timestamp="1444522980"&gt;4&lt;/key&gt;&lt;/foreign-keys&gt;&lt;ref-type name="Book"&gt;6&lt;/ref-type&gt;&lt;contributors&gt;&lt;authors&gt;&lt;author&gt;Michael Apple&lt;/author&gt;&lt;/authors&gt;&lt;/contributors&gt;&lt;titles&gt;&lt;title&gt;Education and Power&lt;/title&gt;&lt;/titles&gt;&lt;dates&gt;&lt;year&gt;1995&lt;/year&gt;&lt;/dates&gt;&lt;pub-location&gt;New York and London&lt;/pub-location&gt;&lt;publisher&gt;Routledge&lt;/publisher&gt;&lt;urls&gt;&lt;/urls&gt;&lt;/record&gt;&lt;/Cite&gt;&lt;Cite&gt;&lt;Author&gt;Gramsci&lt;/Author&gt;&lt;Year&gt;1971&lt;/Year&gt;&lt;RecNum&gt;3&lt;/RecNum&gt;&lt;record&gt;&lt;rec-number&gt;3&lt;/rec-number&gt;&lt;foreign-keys&gt;&lt;key app="EN" db-id="etwareaz8xpxz3et59b50d9vxrata9z2w2zt" timestamp="1444522353"&gt;3&lt;/key&gt;&lt;/foreign-keys&gt;&lt;ref-type name="Book"&gt;6&lt;/ref-type&gt;&lt;contributors&gt;&lt;authors&gt;&lt;author&gt;Antonio Gramsci&lt;/author&gt;&lt;/authors&gt;&lt;/contributors&gt;&lt;titles&gt;&lt;title&gt;Selections from the Prison Notebooks&lt;/title&gt;&lt;/titles&gt;&lt;dates&gt;&lt;year&gt;1971&lt;/year&gt;&lt;/dates&gt;&lt;pub-location&gt;London&lt;/pub-location&gt;&lt;publisher&gt;Lawrence and Wishart&lt;/publisher&gt;&lt;urls&gt;&lt;/urls&gt;&lt;/record&gt;&lt;/Cite&gt;&lt;/EndNote&gt;</w:instrText>
      </w:r>
      <w:r w:rsidRPr="005D3F76">
        <w:rPr>
          <w:rFonts w:cs="Times New Roman"/>
          <w:szCs w:val="24"/>
        </w:rPr>
        <w:fldChar w:fldCharType="separate"/>
      </w:r>
      <w:r w:rsidRPr="005D3F76">
        <w:rPr>
          <w:rFonts w:cs="Times New Roman"/>
          <w:noProof/>
          <w:szCs w:val="24"/>
        </w:rPr>
        <w:t>(Apple, 1995, pp. 14-15; Gramsci, 1971)</w:t>
      </w:r>
      <w:r w:rsidRPr="005D3F76">
        <w:rPr>
          <w:rFonts w:cs="Times New Roman"/>
          <w:szCs w:val="24"/>
        </w:rPr>
        <w:fldChar w:fldCharType="end"/>
      </w:r>
      <w:r w:rsidRPr="005D3F76">
        <w:rPr>
          <w:rFonts w:cs="Times New Roman"/>
          <w:szCs w:val="24"/>
        </w:rPr>
        <w:t xml:space="preserve">. The media is remarkably good at producing news that becomes part of the ‘ideological hegemony’ of our society, especially in regards to education. For example, the media may represent tenure as a means for ‘bad teachers’ to keep their jobs instead of a means of protection for their employment. This attitude and understanding of tenure, then becomes the ideology that is created for it and consequently when the teacher unions try to fight for tenure rights for teachers they in turn appear to be the [bad guys] problem in the situation. </w:t>
      </w:r>
    </w:p>
    <w:p w14:paraId="4F42B9F5" w14:textId="0CEA7F10" w:rsidR="00B03557" w:rsidRPr="005D3F76" w:rsidRDefault="00B03557" w:rsidP="00DC6D2F">
      <w:pPr>
        <w:ind w:right="720" w:firstLine="720"/>
        <w:rPr>
          <w:rFonts w:cs="Times New Roman"/>
          <w:szCs w:val="24"/>
        </w:rPr>
      </w:pPr>
      <w:r w:rsidRPr="005D3F76">
        <w:rPr>
          <w:rFonts w:cs="Times New Roman"/>
          <w:szCs w:val="24"/>
        </w:rPr>
        <w:t xml:space="preserve">As such, critical discourse analysis (CDA), will be employed as a means in this project to analyze and critique the issues of power concerning the media and their reporting of educational issues surrounding teacher unions. Further, critical discourse analysis utilizes the stance of critical theory in examining how instances of discourse </w:t>
      </w:r>
      <w:r w:rsidRPr="005D3F76">
        <w:rPr>
          <w:rFonts w:cs="Times New Roman"/>
          <w:szCs w:val="24"/>
        </w:rPr>
        <w:lastRenderedPageBreak/>
        <w:t xml:space="preserve">reflect power dynamics in society </w:t>
      </w:r>
      <w:r w:rsidRPr="005D3F76">
        <w:rPr>
          <w:rFonts w:cs="Times New Roman"/>
          <w:szCs w:val="24"/>
        </w:rPr>
        <w:fldChar w:fldCharType="begin"/>
      </w:r>
      <w:r w:rsidRPr="005D3F76">
        <w:rPr>
          <w:rFonts w:cs="Times New Roman"/>
          <w:szCs w:val="24"/>
        </w:rPr>
        <w:instrText xml:space="preserve"> ADDIN EN.CITE &lt;EndNote&gt;&lt;Cite&gt;&lt;Author&gt;Wodak&lt;/Author&gt;&lt;Year&gt;2009&lt;/Year&gt;&lt;RecNum&gt;6&lt;/RecNum&gt;&lt;DisplayText&gt;(R. Wodak &amp;amp; M. Meyer, 2009)&lt;/DisplayText&gt;&lt;record&gt;&lt;rec-number&gt;6&lt;/rec-number&gt;&lt;foreign-keys&gt;&lt;key app="EN" db-id="etwareaz8xpxz3et59b50d9vxrata9z2w2zt" timestamp="1444526857"&gt;6&lt;/key&gt;&lt;/foreign-keys&gt;&lt;ref-type name="Book Section"&gt;5&lt;/ref-type&gt;&lt;contributors&gt;&lt;authors&gt;&lt;author&gt;R. Wodak&lt;/author&gt;&lt;author&gt;M. Meyer&lt;/author&gt;&lt;/authors&gt;&lt;secondary-authors&gt;&lt;author&gt;R. Wodak&lt;/author&gt;&lt;author&gt;M. Meyer&lt;/author&gt;&lt;/secondary-authors&gt;&lt;/contributors&gt;&lt;titles&gt;&lt;title&gt;Critical Discourse Analysis: History, Agenda, Theory and Methodology&lt;/title&gt;&lt;secondary-title&gt;Methods of Critical Discourse Analysis&lt;/secondary-title&gt;&lt;/titles&gt;&lt;pages&gt;1-33&lt;/pages&gt;&lt;edition&gt;2nd&lt;/edition&gt;&lt;dates&gt;&lt;year&gt;2009&lt;/year&gt;&lt;/dates&gt;&lt;pub-location&gt;Thousand Oaks, CA&lt;/pub-location&gt;&lt;publisher&gt;Sage&lt;/publisher&gt;&lt;urls&gt;&lt;/urls&gt;&lt;/record&gt;&lt;/Cite&gt;&lt;/EndNote&gt;</w:instrText>
      </w:r>
      <w:r w:rsidRPr="005D3F76">
        <w:rPr>
          <w:rFonts w:cs="Times New Roman"/>
          <w:szCs w:val="24"/>
        </w:rPr>
        <w:fldChar w:fldCharType="separate"/>
      </w:r>
      <w:r w:rsidRPr="005D3F76">
        <w:rPr>
          <w:rFonts w:cs="Times New Roman"/>
          <w:noProof/>
          <w:szCs w:val="24"/>
        </w:rPr>
        <w:t>(R. Wodak &amp; M. Meyer, 2009)</w:t>
      </w:r>
      <w:r w:rsidRPr="005D3F76">
        <w:rPr>
          <w:rFonts w:cs="Times New Roman"/>
          <w:szCs w:val="24"/>
        </w:rPr>
        <w:fldChar w:fldCharType="end"/>
      </w:r>
      <w:r w:rsidRPr="005D3F76">
        <w:rPr>
          <w:rFonts w:cs="Times New Roman"/>
          <w:szCs w:val="24"/>
        </w:rPr>
        <w:t xml:space="preserve">. </w:t>
      </w:r>
      <w:r w:rsidRPr="005D3F76">
        <w:rPr>
          <w:rFonts w:cs="Times New Roman"/>
        </w:rPr>
        <w:t xml:space="preserve">Critical theory is a philosophical approach to culture in which social theory is created and oriented toward critiquing and changing society for the better.  This is in contrast to other philosophical theories that seek to just explain or understand phenomenon that are occurring. Critical theories also generally “have in common an overriding concern with oppression and domination in modern advanced societies and a commitment to radically participatory nonhierarchical forms of political, economic, and social interaction” </w:t>
      </w:r>
      <w:r w:rsidRPr="005D3F76">
        <w:rPr>
          <w:rFonts w:cs="Times New Roman"/>
        </w:rPr>
        <w:fldChar w:fldCharType="begin"/>
      </w:r>
      <w:r w:rsidRPr="005D3F76">
        <w:rPr>
          <w:rFonts w:cs="Times New Roman"/>
        </w:rPr>
        <w:instrText xml:space="preserve"> ADDIN EN.CITE &lt;EndNote&gt;&lt;Cite&gt;&lt;Author&gt;Scneider&lt;/Author&gt;&lt;Year&gt;1997&lt;/Year&gt;&lt;RecNum&gt;5&lt;/RecNum&gt;&lt;Pages&gt;57&lt;/Pages&gt;&lt;DisplayText&gt;(Scneider &amp;amp; Ingram, 1997, p. 57)&lt;/DisplayText&gt;&lt;record&gt;&lt;rec-number&gt;5&lt;/rec-number&gt;&lt;foreign-keys&gt;&lt;key app="EN" db-id="etwareaz8xpxz3et59b50d9vxrata9z2w2zt" timestamp="1444525889"&gt;5&lt;/key&gt;&lt;/foreign-keys&gt;&lt;ref-type name="Book"&gt;6&lt;/ref-type&gt;&lt;contributors&gt;&lt;authors&gt;&lt;author&gt;A.L. Scneider&lt;/author&gt;&lt;author&gt;H. Ingram&lt;/author&gt;&lt;/authors&gt;&lt;/contributors&gt;&lt;titles&gt;&lt;title&gt;Policy Design for Democracy&lt;/title&gt;&lt;/titles&gt;&lt;dates&gt;&lt;year&gt;1997&lt;/year&gt;&lt;/dates&gt;&lt;pub-location&gt;Kansas&lt;/pub-location&gt;&lt;publisher&gt;University of Kansas&lt;/publisher&gt;&lt;urls&gt;&lt;/urls&gt;&lt;/record&gt;&lt;/Cite&gt;&lt;/EndNote&gt;</w:instrText>
      </w:r>
      <w:r w:rsidRPr="005D3F76">
        <w:rPr>
          <w:rFonts w:cs="Times New Roman"/>
        </w:rPr>
        <w:fldChar w:fldCharType="separate"/>
      </w:r>
      <w:r w:rsidRPr="005D3F76">
        <w:rPr>
          <w:rFonts w:cs="Times New Roman"/>
          <w:noProof/>
        </w:rPr>
        <w:t>(Scneider &amp; Ingram, 1997, p. 57)</w:t>
      </w:r>
      <w:r w:rsidRPr="005D3F76">
        <w:rPr>
          <w:rFonts w:cs="Times New Roman"/>
        </w:rPr>
        <w:fldChar w:fldCharType="end"/>
      </w:r>
      <w:r w:rsidRPr="005D3F76">
        <w:rPr>
          <w:rFonts w:cs="Times New Roman"/>
        </w:rPr>
        <w:t xml:space="preserve">.   Critical theory helps the researcher and reader dig beneath the surface of issues in society and uncover unquestioned assumptions and long standing institutional affordances that keep individuals from full and true understanding of how the world around us really works; it is essentially wanting to produce social change that “will empower, enlighten, and emancipate all people” (p. 51).  As such, </w:t>
      </w:r>
      <w:r w:rsidRPr="005D3F76">
        <w:rPr>
          <w:rFonts w:cs="Times New Roman"/>
          <w:szCs w:val="24"/>
        </w:rPr>
        <w:t>the heuristic understanding of the media’s perspectives about teacher unions using CDA will become apparent in examining their discourses.</w:t>
      </w:r>
    </w:p>
    <w:p w14:paraId="4DE4C28C" w14:textId="54190366" w:rsidR="00B03557" w:rsidRPr="005D3F76" w:rsidRDefault="00B03557" w:rsidP="00DC6D2F">
      <w:pPr>
        <w:ind w:right="720" w:firstLine="720"/>
        <w:rPr>
          <w:rFonts w:cs="Times New Roman"/>
          <w:szCs w:val="24"/>
        </w:rPr>
      </w:pPr>
      <w:r w:rsidRPr="005D3F76">
        <w:rPr>
          <w:rFonts w:cs="Times New Roman"/>
          <w:szCs w:val="24"/>
        </w:rPr>
        <w:t xml:space="preserve">Further, the concept ‘discourse’ can be defined using various terms. One of the main ways that this project will be defining ‘discourse’ is by the theoretical perspectives given by Norman </w:t>
      </w:r>
      <w:r w:rsidR="00E341FA" w:rsidRPr="005D3F76">
        <w:rPr>
          <w:rFonts w:cs="Times New Roman"/>
          <w:szCs w:val="24"/>
        </w:rPr>
        <w:t>Fairclough.</w:t>
      </w:r>
      <w:r w:rsidRPr="005D3F76">
        <w:rPr>
          <w:rFonts w:cs="Times New Roman"/>
          <w:szCs w:val="24"/>
        </w:rPr>
        <w:t xml:space="preserve"> Fairclough’s use of CDA reflects an emphasis on the role of language in shaping social practices, perpetuating particular ideologies, and establishing power relations </w:t>
      </w:r>
      <w:r w:rsidRPr="005D3F76">
        <w:rPr>
          <w:rFonts w:cs="Times New Roman"/>
          <w:szCs w:val="24"/>
        </w:rPr>
        <w:fldChar w:fldCharType="begin"/>
      </w:r>
      <w:r w:rsidRPr="005D3F76">
        <w:rPr>
          <w:rFonts w:cs="Times New Roman"/>
          <w:szCs w:val="24"/>
        </w:rPr>
        <w:instrText xml:space="preserve"> ADDIN EN.CITE &lt;EndNote&gt;&lt;Cite&gt;&lt;Author&gt;Fairclough&lt;/Author&gt;&lt;Year&gt;1992&lt;/Year&gt;&lt;RecNum&gt;7&lt;/RecNum&gt;&lt;DisplayText&gt;(Norman Fairclough, 1992)&lt;/DisplayText&gt;&lt;record&gt;&lt;rec-number&gt;7&lt;/rec-number&gt;&lt;foreign-keys&gt;&lt;key app="EN" db-id="etwareaz8xpxz3et59b50d9vxrata9z2w2zt" timestamp="1444572256"&gt;7&lt;/key&gt;&lt;/foreign-keys&gt;&lt;ref-type name="Book"&gt;6&lt;/ref-type&gt;&lt;contributors&gt;&lt;authors&gt;&lt;author&gt;Norman Fairclough&lt;/author&gt;&lt;/authors&gt;&lt;/contributors&gt;&lt;titles&gt;&lt;title&gt;Discourse and Social Change&lt;/title&gt;&lt;/titles&gt;&lt;dates&gt;&lt;year&gt;1992&lt;/year&gt;&lt;/dates&gt;&lt;pub-location&gt;Cambridge, MA&lt;/pub-location&gt;&lt;publisher&gt;Polity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(Norman Fairclough, 1992)</w:t>
      </w:r>
      <w:r w:rsidRPr="005D3F76">
        <w:rPr>
          <w:rFonts w:cs="Times New Roman"/>
          <w:szCs w:val="24"/>
        </w:rPr>
        <w:fldChar w:fldCharType="end"/>
      </w:r>
      <w:r w:rsidRPr="005D3F76">
        <w:rPr>
          <w:rFonts w:cs="Times New Roman"/>
          <w:szCs w:val="24"/>
        </w:rPr>
        <w:t xml:space="preserve">. </w:t>
      </w:r>
    </w:p>
    <w:p w14:paraId="5C0846D4" w14:textId="3D94A8D3" w:rsidR="00B03557" w:rsidRPr="005D3F76" w:rsidRDefault="00B03557" w:rsidP="00DC6D2F">
      <w:pPr>
        <w:ind w:right="720" w:firstLine="720"/>
        <w:rPr>
          <w:rFonts w:cs="Times New Roman"/>
          <w:szCs w:val="24"/>
        </w:rPr>
      </w:pPr>
      <w:r w:rsidRPr="005D3F76">
        <w:rPr>
          <w:rFonts w:cs="Times New Roman"/>
          <w:szCs w:val="24"/>
        </w:rPr>
        <w:t xml:space="preserve">Unlike other strands of discourse analysis, CDA does not just focus on the linguistics of textual or visual representation aspects of the researched material, but also on broader structural features of society. Wodak and Meyer </w:t>
      </w:r>
      <w:r w:rsidRPr="005D3F76">
        <w:rPr>
          <w:rFonts w:cs="Times New Roman"/>
          <w:szCs w:val="24"/>
        </w:rPr>
        <w:fldChar w:fldCharType="begin"/>
      </w:r>
      <w:r w:rsidRPr="005D3F76">
        <w:rPr>
          <w:rFonts w:cs="Times New Roman"/>
          <w:szCs w:val="24"/>
        </w:rPr>
        <w:instrText xml:space="preserve"> ADDIN EN.CITE &lt;EndNote&gt;&lt;Cite&gt;&lt;Author&gt;Wodak&lt;/Author&gt;&lt;Year&gt;2009&lt;/Year&gt;&lt;RecNum&gt;6&lt;/RecNum&gt;&lt;DisplayText&gt;(R. Wodak &amp;amp; M. Meyer, 2009)&lt;/DisplayText&gt;&lt;record&gt;&lt;rec-number&gt;6&lt;/rec-number&gt;&lt;foreign-keys&gt;&lt;key app="EN" db-id="etwareaz8xpxz3et59b50d9vxrata9z2w2zt" timestamp="1444526857"&gt;6&lt;/key&gt;&lt;/foreign-keys&gt;&lt;ref-type name="Book Section"&gt;5&lt;/ref-type&gt;&lt;contributors&gt;&lt;authors&gt;&lt;author&gt;R. Wodak&lt;/author&gt;&lt;author&gt;M. Meyer&lt;/author&gt;&lt;/authors&gt;&lt;secondary-authors&gt;&lt;author&gt;R. Wodak&lt;/author&gt;&lt;author&gt;M. Meyer&lt;/author&gt;&lt;/secondary-authors&gt;&lt;/contributors&gt;&lt;titles&gt;&lt;title&gt;Critical Discourse Analysis: History, Agenda, Theory and Methodology&lt;/title&gt;&lt;secondary-title&gt;Methods of Critical Discourse Analysis&lt;/secondary-title&gt;&lt;/titles&gt;&lt;pages&gt;1-33&lt;/pages&gt;&lt;edition&gt;2nd&lt;/edition&gt;&lt;dates&gt;&lt;year&gt;2009&lt;/year&gt;&lt;/dates&gt;&lt;pub-location&gt;Thousand Oaks, CA&lt;/pub-location&gt;&lt;publisher&gt;Sage&lt;/publisher&gt;&lt;urls&gt;&lt;/urls&gt;&lt;/record&gt;&lt;/Cite&gt;&lt;/EndNote&gt;</w:instrText>
      </w:r>
      <w:r w:rsidRPr="005D3F76">
        <w:rPr>
          <w:rFonts w:cs="Times New Roman"/>
          <w:szCs w:val="24"/>
        </w:rPr>
        <w:fldChar w:fldCharType="separate"/>
      </w:r>
      <w:r w:rsidRPr="005D3F76">
        <w:rPr>
          <w:rFonts w:cs="Times New Roman"/>
          <w:noProof/>
          <w:szCs w:val="24"/>
        </w:rPr>
        <w:t>(R. Wodak &amp; M. Meyer, 2009)</w:t>
      </w:r>
      <w:r w:rsidRPr="005D3F76">
        <w:rPr>
          <w:rFonts w:cs="Times New Roman"/>
          <w:szCs w:val="24"/>
        </w:rPr>
        <w:fldChar w:fldCharType="end"/>
      </w:r>
      <w:r w:rsidRPr="005D3F76">
        <w:rPr>
          <w:rFonts w:cs="Times New Roman"/>
          <w:szCs w:val="24"/>
        </w:rPr>
        <w:t xml:space="preserve"> describe CDA as a methodology that has many approaches, all of which can be </w:t>
      </w:r>
      <w:r w:rsidRPr="005D3F76">
        <w:rPr>
          <w:rFonts w:cs="Times New Roman"/>
          <w:szCs w:val="24"/>
        </w:rPr>
        <w:lastRenderedPageBreak/>
        <w:t xml:space="preserve">characterized as applying a critique to discourse, examining the role of ideology, and scrutinizing power relationships. </w:t>
      </w:r>
      <w:r w:rsidR="000717E0" w:rsidRPr="005D3F76">
        <w:rPr>
          <w:rFonts w:cs="Times New Roman"/>
          <w:szCs w:val="24"/>
        </w:rPr>
        <w:t>T</w:t>
      </w:r>
      <w:r w:rsidRPr="005D3F76">
        <w:rPr>
          <w:rFonts w:cs="Times New Roman"/>
          <w:szCs w:val="24"/>
        </w:rPr>
        <w:t xml:space="preserve">he critique that Foucault calls for can be produced by CDA as it unveils how texts reproduce ideologies, or shared social representations of a group and its members </w:t>
      </w:r>
      <w:r w:rsidRPr="005D3F76">
        <w:rPr>
          <w:rFonts w:cs="Times New Roman"/>
          <w:szCs w:val="24"/>
        </w:rPr>
        <w:fldChar w:fldCharType="begin"/>
      </w:r>
      <w:r w:rsidRPr="005D3F76">
        <w:rPr>
          <w:rFonts w:cs="Times New Roman"/>
          <w:szCs w:val="24"/>
        </w:rPr>
        <w:instrText xml:space="preserve"> ADDIN EN.CITE &lt;EndNote&gt;&lt;Cite&gt;&lt;Author&gt;Dijk&lt;/Author&gt;&lt;Year&gt;1998&lt;/Year&gt;&lt;RecNum&gt;8&lt;/RecNum&gt;&lt;DisplayText&gt;(van Dijk, 1998)&lt;/DisplayText&gt;&lt;record&gt;&lt;rec-number&gt;8&lt;/rec-number&gt;&lt;foreign-keys&gt;&lt;key app="EN" db-id="etwareaz8xpxz3et59b50d9vxrata9z2w2zt" timestamp="1444572617"&gt;8&lt;/key&gt;&lt;/foreign-keys&gt;&lt;ref-type name="Book"&gt;6&lt;/ref-type&gt;&lt;contributors&gt;&lt;authors&gt;&lt;author&gt;van Dijk, Teun&lt;/author&gt;&lt;/authors&gt;&lt;/contributors&gt;&lt;titles&gt;&lt;title&gt;Ideology: A Multidisciplinary Approach&lt;/title&gt;&lt;/titles&gt;&lt;dates&gt;&lt;year&gt;1998&lt;/year&gt;&lt;/dates&gt;&lt;pub-location&gt;London&lt;/pub-location&gt;&lt;publisher&gt;Sage&lt;/publisher&gt;&lt;urls&gt;&lt;/urls&gt;&lt;/record&gt;&lt;/Cite&gt;&lt;/EndNote&gt;</w:instrText>
      </w:r>
      <w:r w:rsidRPr="005D3F76">
        <w:rPr>
          <w:rFonts w:cs="Times New Roman"/>
          <w:szCs w:val="24"/>
        </w:rPr>
        <w:fldChar w:fldCharType="separate"/>
      </w:r>
      <w:r w:rsidRPr="005D3F76">
        <w:rPr>
          <w:rFonts w:cs="Times New Roman"/>
          <w:noProof/>
          <w:szCs w:val="24"/>
        </w:rPr>
        <w:t>(van Dijk, 1998)</w:t>
      </w:r>
      <w:r w:rsidRPr="005D3F76">
        <w:rPr>
          <w:rFonts w:cs="Times New Roman"/>
          <w:szCs w:val="24"/>
        </w:rPr>
        <w:fldChar w:fldCharType="end"/>
      </w:r>
      <w:r w:rsidRPr="005D3F76">
        <w:rPr>
          <w:rFonts w:cs="Times New Roman"/>
          <w:szCs w:val="24"/>
        </w:rPr>
        <w:t>. It is believed that various ideologies are ‘hidden’ in texts and that the role of analyzing brings them forth to expose them. According to Wodak and Meyer (2009) “texts are often sites of struggle in that they show traces of differing discourses and ideologies contending and struggling for dominance” (p. 10).</w:t>
      </w:r>
    </w:p>
    <w:p w14:paraId="44922847" w14:textId="00C321E1" w:rsidR="00B03557" w:rsidRPr="005D3F76" w:rsidRDefault="00B03557" w:rsidP="00DC6D2F">
      <w:pPr>
        <w:ind w:right="720" w:firstLine="720"/>
        <w:rPr>
          <w:rFonts w:cs="Times New Roman"/>
          <w:szCs w:val="24"/>
        </w:rPr>
      </w:pPr>
      <w:r w:rsidRPr="005D3F76">
        <w:rPr>
          <w:rFonts w:cs="Times New Roman"/>
          <w:szCs w:val="24"/>
        </w:rPr>
        <w:t xml:space="preserve">One of the most important concepts in CDA is the ability to identify the different discourses that are in the text by problematizing existing power relationships in society that are reflected in those discourses, or arguments, like those seen within the media’s presentation of news, and provide information for those that may be oppressed by what is being presented, as could be the case concerning teacher unions </w:t>
      </w:r>
      <w:r w:rsidRPr="005D3F76">
        <w:rPr>
          <w:rFonts w:cs="Times New Roman"/>
          <w:szCs w:val="24"/>
        </w:rPr>
        <w:fldChar w:fldCharType="begin"/>
      </w:r>
      <w:r w:rsidRPr="005D3F76">
        <w:rPr>
          <w:rFonts w:cs="Times New Roman"/>
          <w:szCs w:val="24"/>
        </w:rPr>
        <w:instrText xml:space="preserve"> ADDIN EN.CITE &lt;EndNote&gt;&lt;Cite&gt;&lt;Author&gt;Fairclough&lt;/Author&gt;&lt;Year&gt;1992&lt;/Year&gt;&lt;RecNum&gt;7&lt;/RecNum&gt;&lt;DisplayText&gt;(Norman Fairclough, 1992)&lt;/DisplayText&gt;&lt;record&gt;&lt;rec-number&gt;7&lt;/rec-number&gt;&lt;foreign-keys&gt;&lt;key app="EN" db-id="etwareaz8xpxz3et59b50d9vxrata9z2w2zt" timestamp="1444572256"&gt;7&lt;/key&gt;&lt;/foreign-keys&gt;&lt;ref-type name="Book"&gt;6&lt;/ref-type&gt;&lt;contributors&gt;&lt;authors&gt;&lt;author&gt;Norman Fairclough&lt;/author&gt;&lt;/authors&gt;&lt;/contributors&gt;&lt;titles&gt;&lt;title&gt;Discourse and Social Change&lt;/title&gt;&lt;/titles&gt;&lt;dates&gt;&lt;year&gt;1992&lt;/year&gt;&lt;/dates&gt;&lt;pub-location&gt;Cambridge, MA&lt;/pub-location&gt;&lt;publisher&gt;Polity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(Norman Fairclough, 1992)</w:t>
      </w:r>
      <w:r w:rsidRPr="005D3F76">
        <w:rPr>
          <w:rFonts w:cs="Times New Roman"/>
          <w:szCs w:val="24"/>
        </w:rPr>
        <w:fldChar w:fldCharType="end"/>
      </w:r>
      <w:r w:rsidRPr="005D3F76">
        <w:rPr>
          <w:rFonts w:cs="Times New Roman"/>
          <w:szCs w:val="24"/>
        </w:rPr>
        <w:t xml:space="preserve">.  In the case of this project and teacher unions, the justification for the use of CDA as a methodology lies in the ability to demonstrate that the discourse being offered by the media seems to be creating an issue in which U.S. society is receiving a misconstrued picture of the current status and role of teacher unions in educational systems. </w:t>
      </w:r>
    </w:p>
    <w:p w14:paraId="36200FE6" w14:textId="6E593E6F" w:rsidR="00B03557" w:rsidRPr="005D3F76" w:rsidRDefault="00B03557" w:rsidP="00DC6D2F">
      <w:pPr>
        <w:ind w:right="720" w:firstLine="720"/>
        <w:rPr>
          <w:rFonts w:cs="Times New Roman"/>
          <w:szCs w:val="24"/>
        </w:rPr>
      </w:pPr>
      <w:r w:rsidRPr="005D3F76">
        <w:rPr>
          <w:rFonts w:cs="Times New Roman"/>
          <w:szCs w:val="24"/>
        </w:rPr>
        <w:t xml:space="preserve">Guided by </w:t>
      </w:r>
      <w:r w:rsidR="00F85BD0" w:rsidRPr="005D3F76">
        <w:rPr>
          <w:rFonts w:cs="Times New Roman"/>
          <w:szCs w:val="24"/>
        </w:rPr>
        <w:t>CDA and analyzed philosophically, I offer this project as a way to demonstrate how the media coverage legitimizes certain perspectives about teacher unions</w:t>
      </w:r>
      <w:r w:rsidRPr="005D3F76">
        <w:rPr>
          <w:rFonts w:cs="Times New Roman"/>
          <w:szCs w:val="24"/>
        </w:rPr>
        <w:t xml:space="preserve"> and influences educational policies and laws, while marginalizing other perspectives. My argument will be that the media is creating an inequitable situation in which the voices of teachers and professional educators through teacher union barraging are being stifled in order to progress a hidden political agenda and ideology.  I will use </w:t>
      </w:r>
      <w:r w:rsidRPr="005D3F76">
        <w:rPr>
          <w:rFonts w:cs="Times New Roman"/>
          <w:szCs w:val="24"/>
        </w:rPr>
        <w:lastRenderedPageBreak/>
        <w:t>their portrayal of teacher unions and the union’s role in the U.S. public education system as my case to explore.</w:t>
      </w:r>
    </w:p>
    <w:p w14:paraId="070EB7CF" w14:textId="53E0D054" w:rsidR="00B03557" w:rsidRPr="005D3F76" w:rsidRDefault="00B03557" w:rsidP="00DC6D2F">
      <w:pPr>
        <w:ind w:firstLine="720"/>
        <w:rPr>
          <w:rFonts w:cs="Times New Roman"/>
          <w:szCs w:val="24"/>
        </w:rPr>
      </w:pPr>
      <w:r w:rsidRPr="005D3F76">
        <w:rPr>
          <w:rFonts w:cs="Times New Roman"/>
          <w:szCs w:val="24"/>
        </w:rPr>
        <w:t xml:space="preserve"> Further, it is well known both in and out of academic research that these media outlets have political agendas that foster and promote their own desired outcomes, much of the time in-line with more neoliberalistic policies discussed previously </w:t>
      </w:r>
      <w:r w:rsidRPr="005D3F76">
        <w:rPr>
          <w:rFonts w:cs="Times New Roman"/>
          <w:szCs w:val="24"/>
        </w:rPr>
        <w:fldChar w:fldCharType="begin">
          <w:fldData xml:space="preserve">PEVuZE5vdGU+PENpdGU+PEF1dGhvcj5BbmRlcnNvbjwvQXV0aG9yPjxZZWFyPjIwMDc8L1llYXI+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</w:fldData>
        </w:fldChar>
      </w:r>
      <w:r w:rsidRPr="005D3F76">
        <w:rPr>
          <w:rFonts w:cs="Times New Roman"/>
          <w:szCs w:val="24"/>
        </w:rPr>
        <w:instrText xml:space="preserve"> ADDIN EN.CITE </w:instrText>
      </w:r>
      <w:r w:rsidRPr="005D3F76">
        <w:rPr>
          <w:rFonts w:cs="Times New Roman"/>
          <w:szCs w:val="24"/>
        </w:rPr>
        <w:fldChar w:fldCharType="begin">
          <w:fldData xml:space="preserve">PEVuZE5vdGU+PENpdGU+PEF1dGhvcj5BbmRlcnNvbjwvQXV0aG9yPjxZZWFyPjIwMDc8L1llYXI+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</w:fldData>
        </w:fldChar>
      </w:r>
      <w:r w:rsidRPr="005D3F76">
        <w:rPr>
          <w:rFonts w:cs="Times New Roman"/>
          <w:szCs w:val="24"/>
        </w:rPr>
        <w:instrText xml:space="preserve"> ADDIN EN.CITE.DATA </w:instrText>
      </w:r>
      <w:r w:rsidRPr="005D3F76">
        <w:rPr>
          <w:rFonts w:cs="Times New Roman"/>
          <w:szCs w:val="24"/>
        </w:rPr>
      </w:r>
      <w:r w:rsidRPr="005D3F76">
        <w:rPr>
          <w:rFonts w:cs="Times New Roman"/>
          <w:szCs w:val="24"/>
        </w:rPr>
        <w:fldChar w:fldCharType="end"/>
      </w:r>
      <w:r w:rsidRPr="005D3F76">
        <w:rPr>
          <w:rFonts w:cs="Times New Roman"/>
          <w:szCs w:val="24"/>
        </w:rPr>
      </w:r>
      <w:r w:rsidRPr="005D3F76">
        <w:rPr>
          <w:rFonts w:cs="Times New Roman"/>
          <w:szCs w:val="24"/>
        </w:rPr>
        <w:fldChar w:fldCharType="separate"/>
      </w:r>
      <w:r w:rsidRPr="005D3F76">
        <w:rPr>
          <w:rFonts w:cs="Times New Roman"/>
          <w:noProof/>
          <w:szCs w:val="24"/>
        </w:rPr>
        <w:t>(Anderson, 2007; Goldstein, 2010; Leighley, 2004a; Ringel, 2009)</w:t>
      </w:r>
      <w:r w:rsidRPr="005D3F76">
        <w:rPr>
          <w:rFonts w:cs="Times New Roman"/>
          <w:szCs w:val="24"/>
        </w:rPr>
        <w:fldChar w:fldCharType="end"/>
      </w:r>
      <w:r w:rsidRPr="005D3F76">
        <w:rPr>
          <w:rFonts w:cs="Times New Roman"/>
          <w:szCs w:val="24"/>
        </w:rPr>
        <w:t xml:space="preserve">. The media outlets are businesses. Business is power within U.S. society. Because of their resources and resulting influence; they are not always fair or just. Thus, what the public is often exposed to in regards to policy within the media is based on the “interests of those who have the power to control the message and its interpretation;” such as, anti-labor union advocates and political </w:t>
      </w:r>
      <w:r w:rsidR="00FB6952" w:rsidRPr="005D3F76">
        <w:rPr>
          <w:rFonts w:cs="Times New Roman"/>
          <w:szCs w:val="24"/>
        </w:rPr>
        <w:t>pendants</w:t>
      </w:r>
      <w:r w:rsidRPr="005D3F76">
        <w:rPr>
          <w:rFonts w:cs="Times New Roman"/>
          <w:szCs w:val="24"/>
        </w:rPr>
        <w:t xml:space="preserve">. Those that hold the power within the media outlets are the ones able to control the messages and interpretation being presented and represented, even within the “little p-policies” </w:t>
      </w:r>
      <w:r w:rsidRPr="005D3F76">
        <w:rPr>
          <w:rFonts w:cs="Times New Roman"/>
          <w:szCs w:val="24"/>
        </w:rPr>
        <w:fldChar w:fldCharType="begin">
          <w:fldData xml:space="preserve">PEVuZE5vdGU+PENpdGU+PEF1dGhvcj5Hb2xkc3RlaW48L0F1dGhvcj48WWVhcj4yMDEwPC9ZZWFy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=
</w:fldData>
        </w:fldChar>
      </w:r>
      <w:r w:rsidRPr="005D3F76">
        <w:rPr>
          <w:rFonts w:cs="Times New Roman"/>
          <w:szCs w:val="24"/>
        </w:rPr>
        <w:instrText xml:space="preserve"> ADDIN EN.CITE </w:instrText>
      </w:r>
      <w:r w:rsidRPr="005D3F76">
        <w:rPr>
          <w:rFonts w:cs="Times New Roman"/>
          <w:szCs w:val="24"/>
        </w:rPr>
        <w:fldChar w:fldCharType="begin">
          <w:fldData xml:space="preserve">PEVuZE5vdGU+PENpdGU+PEF1dGhvcj5Hb2xkc3RlaW48L0F1dGhvcj48WWVhcj4yMDEwPC9ZZWFy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=
</w:fldData>
        </w:fldChar>
      </w:r>
      <w:r w:rsidRPr="005D3F76">
        <w:rPr>
          <w:rFonts w:cs="Times New Roman"/>
          <w:szCs w:val="24"/>
        </w:rPr>
        <w:instrText xml:space="preserve"> ADDIN EN.CITE.DATA </w:instrText>
      </w:r>
      <w:r w:rsidRPr="005D3F76">
        <w:rPr>
          <w:rFonts w:cs="Times New Roman"/>
          <w:szCs w:val="24"/>
        </w:rPr>
      </w:r>
      <w:r w:rsidRPr="005D3F76">
        <w:rPr>
          <w:rFonts w:cs="Times New Roman"/>
          <w:szCs w:val="24"/>
        </w:rPr>
        <w:fldChar w:fldCharType="end"/>
      </w:r>
      <w:r w:rsidRPr="005D3F76">
        <w:rPr>
          <w:rFonts w:cs="Times New Roman"/>
          <w:szCs w:val="24"/>
        </w:rPr>
      </w:r>
      <w:r w:rsidRPr="005D3F76">
        <w:rPr>
          <w:rFonts w:cs="Times New Roman"/>
          <w:szCs w:val="24"/>
        </w:rPr>
        <w:fldChar w:fldCharType="separate"/>
      </w:r>
      <w:r w:rsidRPr="005D3F76">
        <w:rPr>
          <w:rFonts w:cs="Times New Roman"/>
          <w:noProof/>
          <w:szCs w:val="24"/>
        </w:rPr>
        <w:t>(Gamson &amp; Wolfsfeld, 1993; Garret &amp; Bell, 1998; Goldstein, 2010, p. 3; Wallace, 1997)</w:t>
      </w:r>
      <w:r w:rsidRPr="005D3F76">
        <w:rPr>
          <w:rFonts w:cs="Times New Roman"/>
          <w:szCs w:val="24"/>
        </w:rPr>
        <w:fldChar w:fldCharType="end"/>
      </w:r>
      <w:r w:rsidRPr="005D3F76">
        <w:rPr>
          <w:rFonts w:cs="Times New Roman"/>
          <w:szCs w:val="24"/>
        </w:rPr>
        <w:t>. Edward Herman and Noam Chomsky (1988) write about issues of power in this context:</w:t>
      </w:r>
    </w:p>
    <w:p w14:paraId="5AAE3E17" w14:textId="0A3A2835" w:rsidR="00B03557" w:rsidRPr="005D3F76" w:rsidRDefault="00B03557" w:rsidP="00DC6D2F">
      <w:pPr>
        <w:ind w:left="720"/>
        <w:rPr>
          <w:rFonts w:cs="Times New Roman"/>
          <w:szCs w:val="24"/>
        </w:rPr>
      </w:pPr>
      <w:r w:rsidRPr="005D3F76">
        <w:rPr>
          <w:rFonts w:cs="Times New Roman"/>
          <w:szCs w:val="24"/>
        </w:rPr>
        <w:t>In countries where the levers of power are in the hands of a state bureaucracy, the monopolistic control over the media, often supplemented by official censorship, makes it clear that the media serve the ends of a dominant elite. It is much more difficult to see a propaganda system at work where the media are private and formal censorship is absent. This is especially true where the media actively compete, periodically attack and expose corporate and governmental malfeasance, and aggressively portray themselves as spokesmen for free speech and the general community interest.</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&lt;EndNote&gt;&lt;Cite&gt;&lt;Author&gt;Herman&lt;/Author&gt;&lt;Year&gt;1988&lt;/Year&gt;&lt;RecNum&gt;309&lt;/RecNum&gt;&lt;Pages&gt;2&lt;/Pages&gt;&lt;DisplayText&gt;(Edward S. Herman &amp;amp; Noam Chomsky, 1988, p. 2)&lt;/DisplayText&gt;&lt;record&gt;&lt;rec-number&gt;309&lt;/rec-number&gt;&lt;foreign-keys&gt;&lt;key app="EN" db-id="etwareaz8xpxz3et59b50d9vxrata9z2w2zt" timestamp="1465700266"&gt;309&lt;/key&gt;&lt;/foreign-keys&gt;&lt;ref-type name="Book"&gt;6&lt;/ref-type&gt;&lt;contributors&gt;&lt;authors&gt;&lt;author&gt;Edward S. Herman&lt;/author&gt;&lt;author&gt;Noam Chomsky&lt;/author&gt;&lt;/authors&gt;&lt;/contributors&gt;&lt;titles&gt;&lt;title&gt;Manufactured Consent: The Political Economy of the Mass Media&lt;/title&gt;&lt;/titles&gt;&lt;dates&gt;&lt;year&gt;1988&lt;/year&gt;&lt;/dates&gt;&lt;pub-location&gt;NY&lt;/pub-location&gt;&lt;publisher&gt;Pantheon Books&lt;/publisher&gt;&lt;urls&gt;&lt;/urls&gt;&lt;/record&gt;&lt;/Cite&gt;&lt;/EndNote&gt;</w:instrText>
      </w:r>
      <w:r w:rsidRPr="005D3F76">
        <w:rPr>
          <w:rFonts w:cs="Times New Roman"/>
          <w:szCs w:val="24"/>
        </w:rPr>
        <w:fldChar w:fldCharType="separate"/>
      </w:r>
      <w:r w:rsidRPr="005D3F76">
        <w:rPr>
          <w:rFonts w:cs="Times New Roman"/>
          <w:noProof/>
          <w:szCs w:val="24"/>
        </w:rPr>
        <w:t>(Edward S. Herman &amp; Noam Chomsky, 1988, p. 2)</w:t>
      </w:r>
      <w:r w:rsidRPr="005D3F76">
        <w:rPr>
          <w:rFonts w:cs="Times New Roman"/>
          <w:szCs w:val="24"/>
        </w:rPr>
        <w:fldChar w:fldCharType="end"/>
      </w:r>
      <w:r w:rsidRPr="005D3F76">
        <w:rPr>
          <w:rFonts w:cs="Times New Roman"/>
          <w:szCs w:val="24"/>
        </w:rPr>
        <w:t xml:space="preserve"> </w:t>
      </w:r>
    </w:p>
    <w:p w14:paraId="6990D38A" w14:textId="77777777" w:rsidR="00B03557" w:rsidRPr="005D3F76" w:rsidRDefault="00B03557" w:rsidP="00DC6D2F">
      <w:pPr>
        <w:rPr>
          <w:rFonts w:cs="Times New Roman"/>
          <w:szCs w:val="24"/>
        </w:rPr>
      </w:pPr>
      <w:r w:rsidRPr="005D3F76">
        <w:rPr>
          <w:rFonts w:cs="Times New Roman"/>
          <w:szCs w:val="24"/>
        </w:rPr>
        <w:lastRenderedPageBreak/>
        <w:t xml:space="preserve">Herman and Chomsky (1988) build on to what they refer to as the “manufacture of consent;” referring to how the media serves to not only entertain and inform the mass population, but also to manipulate and shape them to the values and beliefs of the ‘invisible’ elites. </w:t>
      </w:r>
    </w:p>
    <w:p w14:paraId="74105781" w14:textId="77777777" w:rsidR="00B03557" w:rsidRPr="005D3F76" w:rsidRDefault="00B03557" w:rsidP="00DC6D2F">
      <w:pPr>
        <w:ind w:firstLine="720"/>
        <w:rPr>
          <w:rFonts w:cs="Times New Roman"/>
          <w:szCs w:val="24"/>
        </w:rPr>
      </w:pPr>
      <w:r w:rsidRPr="005D3F76">
        <w:rPr>
          <w:rFonts w:cs="Times New Roman"/>
          <w:szCs w:val="24"/>
        </w:rPr>
        <w:t xml:space="preserve">Rebecca Goldstein (2010) explains that “all media stories elicit socially constructed meanings between text and reader/viewer,” and as such understanding how the process is happening within contexts that are surrounding us every day is crucial for both educational researchers and the public if we are to understand the power issues that are at play </w:t>
      </w:r>
      <w:r w:rsidRPr="005D3F76">
        <w:rPr>
          <w:rFonts w:cs="Times New Roman"/>
          <w:szCs w:val="24"/>
        </w:rPr>
        <w:fldChar w:fldCharType="begin"/>
      </w:r>
      <w:r w:rsidRPr="005D3F76">
        <w:rPr>
          <w:rFonts w:cs="Times New Roman"/>
          <w:szCs w:val="24"/>
        </w:rPr>
        <w:instrText xml:space="preserve"> ADDIN EN.CITE &lt;EndNote&gt;&lt;Cite ExcludeAuth="1" ExcludeYear="1"&gt;&lt;Author&gt;Goldstein&lt;/Author&gt;&lt;Year&gt;2010&lt;/Year&gt;&lt;RecNum&gt;292&lt;/RecNum&gt;&lt;Pages&gt;3-4&lt;/Pages&gt;&lt;DisplayText&gt;(pp. 3-4)&lt;/DisplayText&gt;&lt;record&gt;&lt;rec-number&gt;292&lt;/rec-number&gt;&lt;foreign-keys&gt;&lt;key app="EN" db-id="etwareaz8xpxz3et59b50d9vxrata9z2w2zt" timestamp="1465700263"&gt;292&lt;/key&gt;&lt;/foreign-keys&gt;&lt;ref-type name="Journal Article"&gt;17&lt;/ref-type&gt;&lt;contributors&gt;&lt;authors&gt;&lt;author&gt;Rebecca A Goldstein&lt;/author&gt;&lt;/authors&gt;&lt;/contributors&gt;&lt;titles&gt;&lt;title&gt;Imaging the Frame: Media Representations of Teachers, Their Unions, NCLB, and Education Reform&lt;/title&gt;&lt;secondary-title&gt;Educational Policy OnlineFirst&lt;/secondary-title&gt;&lt;/titles&gt;&lt;periodical&gt;&lt;full-title&gt;Educational Policy OnlineFirst&lt;/full-title&gt;&lt;/periodical&gt;&lt;pages&gt;1-34&lt;/pages&gt;&lt;edition&gt;April 14, 2010&lt;/edition&gt;&lt;dates&gt;&lt;year&gt;2010&lt;/year&gt;&lt;/dates&gt;&lt;urls&gt;&lt;/urls&gt;&lt;/record&gt;&lt;/Cite&gt;&lt;/EndNote&gt;</w:instrText>
      </w:r>
      <w:r w:rsidRPr="005D3F76">
        <w:rPr>
          <w:rFonts w:cs="Times New Roman"/>
          <w:szCs w:val="24"/>
        </w:rPr>
        <w:fldChar w:fldCharType="separate"/>
      </w:r>
      <w:r w:rsidRPr="005D3F76">
        <w:rPr>
          <w:rFonts w:cs="Times New Roman"/>
          <w:noProof/>
          <w:szCs w:val="24"/>
        </w:rPr>
        <w:t>(pp. 3-4)</w:t>
      </w:r>
      <w:r w:rsidRPr="005D3F76">
        <w:rPr>
          <w:rFonts w:cs="Times New Roman"/>
          <w:szCs w:val="24"/>
        </w:rPr>
        <w:fldChar w:fldCharType="end"/>
      </w:r>
      <w:r w:rsidRPr="005D3F76">
        <w:rPr>
          <w:rFonts w:cs="Times New Roman"/>
          <w:szCs w:val="24"/>
        </w:rPr>
        <w:t xml:space="preserve">. To further the need to examine power issues pertaining to mass media and education such as teacher unions, Gary Anderson (2007), who has written extensively on these issues, writes that </w:t>
      </w:r>
    </w:p>
    <w:p w14:paraId="31F9F22A" w14:textId="77777777" w:rsidR="00B03557" w:rsidRPr="005D3F76" w:rsidRDefault="00B03557" w:rsidP="00DC6D2F">
      <w:pPr>
        <w:ind w:left="720"/>
        <w:rPr>
          <w:rFonts w:cs="Times New Roman"/>
          <w:i/>
          <w:szCs w:val="24"/>
        </w:rPr>
      </w:pPr>
      <w:r w:rsidRPr="005D3F76">
        <w:rPr>
          <w:rFonts w:cs="Times New Roman"/>
          <w:szCs w:val="24"/>
        </w:rPr>
        <w:t>Educators and the general public need to better understand not only the extent to which the “reality” of educational reform and policy decisions is constructed with the help of the media but also the sophisticated and subtle mechanisms that make it possible.</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 ExcludeAuth="1" ExcludeYear="1"&gt;&lt;Author&gt;Anderson&lt;/Author&gt;&lt;Year&gt;2007&lt;/Year&gt;&lt;RecNum&gt;305&lt;/RecNum&gt;&lt;Pages&gt;106&lt;/Pages&gt;&lt;DisplayText&gt;(p. 106)&lt;/DisplayText&gt;&lt;record&gt;&lt;rec-number&gt;305&lt;/rec-number&gt;&lt;foreign-keys&gt;&lt;key app="EN" db-id="etwareaz8xpxz3et59b50d9vxrata9z2w2zt" timestamp="1465700265"&gt;305&lt;/key&gt;&lt;/foreign-keys&gt;&lt;ref-type name="Journal Article"&gt;17&lt;/ref-type&gt;&lt;contributors&gt;&lt;authors&gt;&lt;author&gt;Gary Anderson&lt;/author&gt;&lt;/authors&gt;&lt;/contributors&gt;&lt;titles&gt;&lt;title&gt;Media&amp;apos;s Impact on Educational Polices and Practices: Political Spectacle and Social Control&lt;/title&gt;&lt;secondary-title&gt;Peabody Journal of Education&lt;/secondary-title&gt;&lt;/titles&gt;&lt;periodical&gt;&lt;full-title&gt;Peabody Journal of Education&lt;/full-title&gt;&lt;/periodical&gt;&lt;pages&gt;102-120&lt;/pages&gt;&lt;volume&gt;82&lt;/volume&gt;&lt;number&gt;1&lt;/number&gt;&lt;dates&gt;&lt;year&gt;2007&lt;/year&gt;&lt;/dates&gt;&lt;urls&gt;&lt;/urls&gt;&lt;/record&gt;&lt;/Cite&gt;&lt;/EndNote&gt;</w:instrText>
      </w:r>
      <w:r w:rsidRPr="005D3F76">
        <w:rPr>
          <w:rFonts w:cs="Times New Roman"/>
          <w:szCs w:val="24"/>
        </w:rPr>
        <w:fldChar w:fldCharType="separate"/>
      </w:r>
      <w:r w:rsidRPr="005D3F76">
        <w:rPr>
          <w:rFonts w:cs="Times New Roman"/>
          <w:noProof/>
          <w:szCs w:val="24"/>
        </w:rPr>
        <w:t>(p. 106)</w:t>
      </w:r>
      <w:r w:rsidRPr="005D3F76">
        <w:rPr>
          <w:rFonts w:cs="Times New Roman"/>
          <w:szCs w:val="24"/>
        </w:rPr>
        <w:fldChar w:fldCharType="end"/>
      </w:r>
      <w:r w:rsidRPr="005D3F76">
        <w:rPr>
          <w:rFonts w:cs="Times New Roman"/>
          <w:szCs w:val="24"/>
        </w:rPr>
        <w:t xml:space="preserve"> </w:t>
      </w:r>
      <w:r w:rsidRPr="005D3F76">
        <w:rPr>
          <w:rFonts w:cs="Times New Roman"/>
          <w:i/>
          <w:szCs w:val="24"/>
        </w:rPr>
        <w:t xml:space="preserve"> </w:t>
      </w:r>
    </w:p>
    <w:p w14:paraId="5CCC0A4D" w14:textId="77777777" w:rsidR="00B03557" w:rsidRPr="005D3F76" w:rsidRDefault="00B03557" w:rsidP="00DC6D2F">
      <w:pPr>
        <w:rPr>
          <w:rFonts w:cs="Times New Roman"/>
          <w:szCs w:val="24"/>
        </w:rPr>
      </w:pPr>
      <w:r w:rsidRPr="005D3F76">
        <w:rPr>
          <w:rFonts w:cs="Times New Roman"/>
          <w:szCs w:val="24"/>
        </w:rPr>
        <w:t>Simply put, if researchers are unwilling or unmotivated to examine and critique beyond what we see at the surface pertaining to issues in public education, then we are missing very important parts of understanding of the world around us.</w:t>
      </w:r>
    </w:p>
    <w:p w14:paraId="1AB40C09" w14:textId="77777777" w:rsidR="00B03557" w:rsidRPr="005D3F76" w:rsidRDefault="00B03557" w:rsidP="00DC6D2F">
      <w:pPr>
        <w:pStyle w:val="Heading2"/>
        <w:rPr>
          <w:rFonts w:cs="Times New Roman"/>
        </w:rPr>
      </w:pPr>
      <w:bookmarkStart w:id="4" w:name="_Toc462843624"/>
      <w:r w:rsidRPr="005D3F76">
        <w:rPr>
          <w:rFonts w:cs="Times New Roman"/>
        </w:rPr>
        <w:t>In the End. . .</w:t>
      </w:r>
      <w:bookmarkEnd w:id="4"/>
      <w:r w:rsidRPr="005D3F76">
        <w:rPr>
          <w:rFonts w:cs="Times New Roman"/>
        </w:rPr>
        <w:t xml:space="preserve">  </w:t>
      </w:r>
    </w:p>
    <w:p w14:paraId="083E6381" w14:textId="4E6D8B5D" w:rsidR="00B03557" w:rsidRPr="005D3F76" w:rsidRDefault="00B03557" w:rsidP="00DC6D2F">
      <w:pPr>
        <w:ind w:firstLine="720"/>
        <w:rPr>
          <w:rFonts w:cs="Times New Roman"/>
          <w:szCs w:val="24"/>
        </w:rPr>
      </w:pPr>
      <w:r w:rsidRPr="005D3F76">
        <w:rPr>
          <w:rFonts w:cs="Times New Roman"/>
          <w:szCs w:val="24"/>
        </w:rPr>
        <w:t xml:space="preserve">In as much as we would like to believe that society is always progressing forward in a trajectory that tends to imagine the history and future of both education and policy as a series of incremental strides toward “improved attainments and ever greater degrees of equity and social inclusion,” the fact of the matter is that policies and laws that are put into place are often times a huge step backwards, especially when confronting issues around education and teacher unions in the last decade </w:t>
      </w:r>
      <w:r w:rsidRPr="005D3F76">
        <w:rPr>
          <w:rFonts w:cs="Times New Roman"/>
          <w:szCs w:val="24"/>
        </w:rPr>
        <w:fldChar w:fldCharType="begin"/>
      </w:r>
      <w:r w:rsidRPr="005D3F76">
        <w:rPr>
          <w:rFonts w:cs="Times New Roman"/>
          <w:szCs w:val="24"/>
        </w:rPr>
        <w:instrText xml:space="preserve"> ADDIN EN.CITE &lt;EndNote&gt;&lt;Cite&gt;&lt;Author&gt;Gillborn&lt;/Author&gt;&lt;Year&gt;2014&lt;/Year&gt;&lt;RecNum&gt;295&lt;/RecNum&gt;&lt;Pages&gt;28&lt;/Pages&gt;&lt;DisplayText&gt;(Gillborn, 2014, p. 28)&lt;/DisplayText&gt;&lt;record&gt;&lt;rec-number&gt;295&lt;/rec-number&gt;&lt;foreign-keys&gt;&lt;key app="EN" db-id="etwareaz8xpxz3et59b50d9vxrata9z2w2zt" timestamp="1465700263"&gt;295&lt;/key&gt;&lt;/foreign-keys&gt;&lt;ref-type name="Journal Article"&gt;17&lt;/ref-type&gt;&lt;contributors&gt;&lt;authors&gt;&lt;author&gt;David Gillborn&lt;/author&gt;&lt;/authors&gt;&lt;/contributors&gt;&lt;titles&gt;&lt;title&gt;Racism as Policy: A Critical Race Analysis of Education Reforms in the United States and England&lt;/title&gt;&lt;secondary-title&gt;The Educational Forum&lt;/secondary-title&gt;&lt;/titles&gt;&lt;periodical&gt;&lt;full-title&gt;The Educational Forum&lt;/full-title&gt;&lt;/periodical&gt;&lt;pages&gt;26-41&lt;/pages&gt;&lt;volume&gt;78&lt;/volume&gt;&lt;number&gt;1&lt;/number&gt;&lt;dates&gt;&lt;year&gt;2014&lt;/year&gt;&lt;/dates&gt;&lt;urls&gt;&lt;/urls&gt;&lt;/record&gt;&lt;/Cite&gt;&lt;/EndNote&gt;</w:instrText>
      </w:r>
      <w:r w:rsidRPr="005D3F76">
        <w:rPr>
          <w:rFonts w:cs="Times New Roman"/>
          <w:szCs w:val="24"/>
        </w:rPr>
        <w:fldChar w:fldCharType="separate"/>
      </w:r>
      <w:r w:rsidRPr="005D3F76">
        <w:rPr>
          <w:rFonts w:cs="Times New Roman"/>
          <w:noProof/>
          <w:szCs w:val="24"/>
        </w:rPr>
        <w:t>(Gillborn, 2014, p. 28)</w:t>
      </w:r>
      <w:r w:rsidRPr="005D3F76">
        <w:rPr>
          <w:rFonts w:cs="Times New Roman"/>
          <w:szCs w:val="24"/>
        </w:rPr>
        <w:fldChar w:fldCharType="end"/>
      </w:r>
      <w:r w:rsidRPr="005D3F76">
        <w:rPr>
          <w:rFonts w:cs="Times New Roman"/>
          <w:szCs w:val="24"/>
        </w:rPr>
        <w:t xml:space="preserve">. Using the example of teacher unions in the media through </w:t>
      </w:r>
      <w:r w:rsidR="008065E3" w:rsidRPr="005D3F76">
        <w:rPr>
          <w:rFonts w:cs="Times New Roman"/>
          <w:szCs w:val="24"/>
        </w:rPr>
        <w:lastRenderedPageBreak/>
        <w:t>the use of philosophy</w:t>
      </w:r>
      <w:r w:rsidRPr="005D3F76">
        <w:rPr>
          <w:rFonts w:cs="Times New Roman"/>
          <w:szCs w:val="24"/>
        </w:rPr>
        <w:t xml:space="preserve"> and CDA will be a perfect lens to exemplify the entangled complexities that occur within the media arena. </w:t>
      </w:r>
    </w:p>
    <w:p w14:paraId="5C7C021C" w14:textId="175F67E7" w:rsidR="00B03557" w:rsidRPr="005D3F76" w:rsidRDefault="00B03557" w:rsidP="00DC6D2F">
      <w:pPr>
        <w:ind w:firstLine="720"/>
        <w:rPr>
          <w:rFonts w:cs="Times New Roman"/>
          <w:szCs w:val="24"/>
        </w:rPr>
      </w:pPr>
      <w:r w:rsidRPr="005D3F76">
        <w:rPr>
          <w:rFonts w:cs="Times New Roman"/>
          <w:szCs w:val="24"/>
        </w:rPr>
        <w:t xml:space="preserve">Thus, to explore this topic and perform the research that is needed for teacher unions within Wisconsin, the following chapters are included in this work. To help set a background and to begin to understand some of the issues that are being discussed within the state of Wisconsin concerning teacher unions, chapter two relays the history of the two major teacher unions in the U.S. (NEA and the AFT), and some direct history relating to the state of Wisconsin, which includes the state’s history with public sector unions. Chapter three introduces and develops the methodologies that are employed for researching the newspaper articles that have been chosen. Then, in chapter four, the analysis of the research is presented. Concluding this work is chapter five, where implications and recommendations for the work that has been completed are given. </w:t>
      </w:r>
    </w:p>
    <w:p w14:paraId="1C69D97F" w14:textId="61D37BDE" w:rsidR="00B03557" w:rsidRPr="005D3F76" w:rsidRDefault="00B03557" w:rsidP="00DC6D2F">
      <w:pPr>
        <w:ind w:firstLine="720"/>
        <w:rPr>
          <w:rFonts w:cs="Times New Roman"/>
          <w:szCs w:val="24"/>
        </w:rPr>
      </w:pPr>
      <w:r w:rsidRPr="005D3F76">
        <w:rPr>
          <w:rFonts w:cs="Times New Roman"/>
          <w:szCs w:val="24"/>
        </w:rPr>
        <w:t xml:space="preserve">As will be witnessed in the research that will follow in these subsequent chapters, many of the historical wins pertaining to issues such as tenure, seniority rights, collective bargaining and employee benefits (health and retirement) over the last century within the U.S. have been largely sliced by new laws and policies enacted by powerful anti-union labor organizers, such as the example of Wisconsin that will be used. Many of these anti-labor union organizations have been aided in their desired outcomes, funneled through various media outlets as discussed previously </w:t>
      </w:r>
      <w:r w:rsidRPr="005D3F76">
        <w:rPr>
          <w:rFonts w:cs="Times New Roman"/>
          <w:szCs w:val="24"/>
        </w:rPr>
        <w:fldChar w:fldCharType="begin"/>
      </w:r>
      <w:r w:rsidRPr="005D3F76">
        <w:rPr>
          <w:rFonts w:cs="Times New Roman"/>
          <w:szCs w:val="24"/>
        </w:rPr>
        <w:instrText xml:space="preserve"> ADDIN EN.CITE &lt;EndNote&gt;&lt;Cite&gt;&lt;Author&gt;Leighley&lt;/Author&gt;&lt;Year&gt;2004&lt;/Year&gt;&lt;RecNum&gt;285&lt;/RecNum&gt;&lt;DisplayText&gt;(Leighley, 2004a)&lt;/DisplayText&gt;&lt;record&gt;&lt;rec-number&gt;285&lt;/rec-number&gt;&lt;foreign-keys&gt;&lt;key app="EN" db-id="etwareaz8xpxz3et59b50d9vxrata9z2w2zt" timestamp="1465700262"&gt;285&lt;/key&gt;&lt;/foreign-keys&gt;&lt;ref-type name="Book"&gt;6&lt;/ref-type&gt;&lt;contributors&gt;&lt;authors&gt;&lt;author&gt;Jan E. Leighley&lt;/author&gt;&lt;/authors&gt;&lt;/contributors&gt;&lt;titles&gt;&lt;title&gt;Mass Media and Politics&lt;/title&gt;&lt;/titles&gt;&lt;dates&gt;&lt;year&gt;2004&lt;/year&gt;&lt;/dates&gt;&lt;pub-location&gt;New York&lt;/pub-location&gt;&lt;publisher&gt;Houghton Miffin Company&lt;/publisher&gt;&lt;urls&gt;&lt;/urls&gt;&lt;/record&gt;&lt;/Cite&gt;&lt;/EndNote&gt;</w:instrText>
      </w:r>
      <w:r w:rsidRPr="005D3F76">
        <w:rPr>
          <w:rFonts w:cs="Times New Roman"/>
          <w:szCs w:val="24"/>
        </w:rPr>
        <w:fldChar w:fldCharType="separate"/>
      </w:r>
      <w:r w:rsidRPr="005D3F76">
        <w:rPr>
          <w:rFonts w:cs="Times New Roman"/>
          <w:noProof/>
          <w:szCs w:val="24"/>
        </w:rPr>
        <w:t>(Leighley, 2004a)</w:t>
      </w:r>
      <w:r w:rsidRPr="005D3F76">
        <w:rPr>
          <w:rFonts w:cs="Times New Roman"/>
          <w:szCs w:val="24"/>
        </w:rPr>
        <w:fldChar w:fldCharType="end"/>
      </w:r>
      <w:r w:rsidRPr="005D3F76">
        <w:rPr>
          <w:rFonts w:cs="Times New Roman"/>
          <w:szCs w:val="24"/>
        </w:rPr>
        <w:t>.</w:t>
      </w:r>
    </w:p>
    <w:p w14:paraId="23C99124" w14:textId="77777777" w:rsidR="00B03557" w:rsidRPr="005D3F76" w:rsidRDefault="00B03557" w:rsidP="00DC6D2F">
      <w:pPr>
        <w:ind w:firstLine="720"/>
        <w:rPr>
          <w:rFonts w:cs="Times New Roman"/>
          <w:szCs w:val="24"/>
        </w:rPr>
        <w:sectPr w:rsidR="00B03557" w:rsidRPr="005D3F76" w:rsidSect="009A00EB">
          <w:headerReference w:type="default" r:id="rId12"/>
          <w:endnotePr>
            <w:numRestart w:val="eachSect"/>
          </w:endnotePr>
          <w:pgSz w:w="12240" w:h="15840"/>
          <w:pgMar w:top="1440" w:right="1440" w:bottom="1440" w:left="1440" w:header="720" w:footer="720" w:gutter="0"/>
          <w:pgNumType w:start="1"/>
          <w:cols w:space="720"/>
          <w:docGrid w:linePitch="360"/>
        </w:sectPr>
      </w:pPr>
      <w:r w:rsidRPr="005D3F76">
        <w:rPr>
          <w:rFonts w:cs="Times New Roman"/>
          <w:szCs w:val="24"/>
        </w:rPr>
        <w:t>In conclusion, this research is important in understanding the media’s power over public perception concerning teacher unions, and how they are helping to shape the “little p-policies” being introduced to U.S. society, and the consequences of these actions. My intention in what follows is to try and analyze the very messy world that we live in, in regards to teacher unions and the media.</w:t>
      </w:r>
    </w:p>
    <w:p w14:paraId="06D1C7CE" w14:textId="5F30AE8F" w:rsidR="00B03557" w:rsidRPr="005D3F76" w:rsidRDefault="00A3521D" w:rsidP="006F28A3">
      <w:pPr>
        <w:pStyle w:val="Heading1"/>
        <w:rPr>
          <w:rFonts w:cs="Times New Roman"/>
        </w:rPr>
      </w:pPr>
      <w:bookmarkStart w:id="5" w:name="_Toc462843625"/>
      <w:r w:rsidRPr="005D3F76">
        <w:rPr>
          <w:rFonts w:cs="Times New Roman"/>
        </w:rPr>
        <w:lastRenderedPageBreak/>
        <w:t>CHAPTER TWO:</w:t>
      </w:r>
      <w:r w:rsidRPr="005D3F76">
        <w:rPr>
          <w:rFonts w:cs="Times New Roman"/>
        </w:rPr>
        <w:br/>
        <w:t>A HISTORY OF PUBLIC SECTOR AND TEACHER UNIONS</w:t>
      </w:r>
      <w:bookmarkEnd w:id="5"/>
    </w:p>
    <w:p w14:paraId="4FEC300C" w14:textId="656645A8" w:rsidR="001B1E2A" w:rsidRPr="005D3F76" w:rsidRDefault="00B03557" w:rsidP="001B1E2A">
      <w:pPr>
        <w:spacing w:before="480" w:after="480" w:line="240" w:lineRule="auto"/>
        <w:ind w:left="720"/>
        <w:rPr>
          <w:rFonts w:cs="Times New Roman"/>
          <w:b/>
          <w:szCs w:val="24"/>
        </w:rPr>
      </w:pPr>
      <w:r w:rsidRPr="005D3F76">
        <w:rPr>
          <w:rFonts w:cs="Times New Roman"/>
          <w:b/>
          <w:szCs w:val="24"/>
        </w:rPr>
        <w:t>Solidarity is what we want. We do not want to find fault with each other, but to solidify our forces and say to each other: We must be together; our masters are joined together and we must do the same. ~</w:t>
      </w:r>
      <w:r w:rsidRPr="005D3F76">
        <w:rPr>
          <w:rFonts w:cs="Times New Roman"/>
          <w:b/>
          <w:i/>
          <w:szCs w:val="24"/>
        </w:rPr>
        <w:t>Mary Harris “Mother” Jones, Irish-American schoolteacher, labor and community organizer (Early 20</w:t>
      </w:r>
      <w:r w:rsidRPr="005D3F76">
        <w:rPr>
          <w:rFonts w:cs="Times New Roman"/>
          <w:b/>
          <w:i/>
          <w:szCs w:val="24"/>
          <w:vertAlign w:val="superscript"/>
        </w:rPr>
        <w:t>th</w:t>
      </w:r>
      <w:r w:rsidRPr="005D3F76">
        <w:rPr>
          <w:rFonts w:cs="Times New Roman"/>
          <w:b/>
          <w:i/>
          <w:szCs w:val="24"/>
        </w:rPr>
        <w:t xml:space="preserve"> century)</w:t>
      </w:r>
    </w:p>
    <w:p w14:paraId="27ABF6B3" w14:textId="15A66E2C" w:rsidR="00B03557" w:rsidRPr="005D3F76" w:rsidRDefault="00B03557" w:rsidP="00DA365C">
      <w:pPr>
        <w:rPr>
          <w:rFonts w:cs="Times New Roman"/>
          <w:szCs w:val="24"/>
        </w:rPr>
      </w:pPr>
      <w:r w:rsidRPr="005D3F76">
        <w:rPr>
          <w:rFonts w:cs="Times New Roman"/>
          <w:b/>
          <w:szCs w:val="24"/>
        </w:rPr>
        <w:tab/>
      </w:r>
      <w:r w:rsidRPr="005D3F76">
        <w:rPr>
          <w:rFonts w:cs="Times New Roman"/>
          <w:szCs w:val="24"/>
        </w:rPr>
        <w:t xml:space="preserve">Throughout the history of the United States, public sector employees, which includes police, fire fighters, postal workers and public school teachers, have had a long, hard struggle to gain the rights to bargain and organize collectively. It took nearly 200 years for those rights to be won within the U.S.  Union organizers throughout this period often times met with brutal oppression and neighborhood conflict from both police and those within their own communities, leading to both the verbal and physical bloodiness over the embattlement for unionization </w:t>
      </w:r>
      <w:r w:rsidRPr="005D3F76">
        <w:rPr>
          <w:rFonts w:cs="Times New Roman"/>
          <w:szCs w:val="24"/>
        </w:rPr>
        <w:fldChar w:fldCharType="begin"/>
      </w:r>
      <w:r w:rsidRPr="005D3F76">
        <w:rPr>
          <w:rFonts w:cs="Times New Roman"/>
          <w:szCs w:val="24"/>
        </w:rPr>
        <w:instrText xml:space="preserve"> ADDIN EN.CITE &lt;EndNote&gt;&lt;Cite&gt;&lt;Author&gt;Kearney&lt;/Author&gt;&lt;Year&gt;2014&lt;/Year&gt;&lt;RecNum&gt;25&lt;/RecNum&gt;&lt;DisplayText&gt;(Kearney &amp;amp; Mareschal, 2014)&lt;/DisplayText&gt;&lt;record&gt;&lt;rec-number&gt;25&lt;/rec-number&gt;&lt;foreign-keys&gt;&lt;key app="EN" db-id="etwareaz8xpxz3et59b50d9vxrata9z2w2zt" timestamp="1452614145"&gt;25&lt;/key&gt;&lt;/foreign-keys&gt;&lt;ref-type name="Book"&gt;6&lt;/ref-type&gt;&lt;contributors&gt;&lt;authors&gt;&lt;author&gt;Richard C Kearney&lt;/author&gt;&lt;author&gt;Patrice M Mareschal&lt;/author&gt;&lt;/authors&gt;&lt;/contributors&gt;&lt;titles&gt;&lt;title&gt;Labor Relations in the Public Sector&lt;/title&gt;&lt;/titles&gt;&lt;edition&gt;5th&lt;/edition&gt;&lt;dates&gt;&lt;year&gt;2014&lt;/year&gt;&lt;/dates&gt;&lt;pub-location&gt;Boca Raton, FL&lt;/pub-location&gt;&lt;publisher&gt;Taylor &amp;amp; Francis Group&lt;/publisher&gt;&lt;urls&gt;&lt;/urls&gt;&lt;/record&gt;&lt;/Cite&gt;&lt;/EndNote&gt;</w:instrText>
      </w:r>
      <w:r w:rsidRPr="005D3F76">
        <w:rPr>
          <w:rFonts w:cs="Times New Roman"/>
          <w:szCs w:val="24"/>
        </w:rPr>
        <w:fldChar w:fldCharType="separate"/>
      </w:r>
      <w:r w:rsidRPr="005D3F76">
        <w:rPr>
          <w:rFonts w:cs="Times New Roman"/>
          <w:noProof/>
          <w:szCs w:val="24"/>
        </w:rPr>
        <w:t>(Kearney &amp; Mareschal, 2014)</w:t>
      </w:r>
      <w:r w:rsidRPr="005D3F76">
        <w:rPr>
          <w:rFonts w:cs="Times New Roman"/>
          <w:szCs w:val="24"/>
        </w:rPr>
        <w:fldChar w:fldCharType="end"/>
      </w:r>
      <w:r w:rsidRPr="005D3F76">
        <w:rPr>
          <w:rFonts w:cs="Times New Roman"/>
          <w:szCs w:val="24"/>
        </w:rPr>
        <w:t>.  Public sector unions did eventually succeed making them triumphant for a large part within the 20</w:t>
      </w:r>
      <w:r w:rsidRPr="005D3F76">
        <w:rPr>
          <w:rFonts w:cs="Times New Roman"/>
          <w:szCs w:val="24"/>
          <w:vertAlign w:val="superscript"/>
        </w:rPr>
        <w:t>th</w:t>
      </w:r>
      <w:r w:rsidRPr="005D3F76">
        <w:rPr>
          <w:rFonts w:cs="Times New Roman"/>
          <w:szCs w:val="24"/>
        </w:rPr>
        <w:t xml:space="preserve"> century, garnering for their union members both occupational rights, such as higher salaries and better working conditions, as well as larger society’s acceptance.  However, within the U.S. today, a new set of trials and growing problems against public sector unions have been challenging their very existence.  </w:t>
      </w:r>
    </w:p>
    <w:p w14:paraId="0B23F8AA" w14:textId="77777777" w:rsidR="00B03557" w:rsidRPr="005D3F76" w:rsidRDefault="00B03557" w:rsidP="00DA365C">
      <w:pPr>
        <w:rPr>
          <w:rFonts w:cs="Times New Roman"/>
          <w:szCs w:val="24"/>
        </w:rPr>
      </w:pPr>
      <w:r w:rsidRPr="005D3F76">
        <w:rPr>
          <w:rFonts w:cs="Times New Roman"/>
          <w:szCs w:val="24"/>
        </w:rPr>
        <w:tab/>
        <w:t xml:space="preserve">In this chapter, the history and development of public school teacher unions within the context of public sector unions will be discussed and examined.  Today, every state and most larger cities have various forms of teacher unions, for example PAGE (Professional Association of Georgia Educators) in Atlanta, Georgia. This chapter will largely focus on the development and histories of the two oldest, largest, and most influential unions: the </w:t>
      </w:r>
      <w:r w:rsidRPr="005D3F76">
        <w:rPr>
          <w:rFonts w:cs="Times New Roman"/>
          <w:i/>
          <w:szCs w:val="24"/>
        </w:rPr>
        <w:t xml:space="preserve">National Education Association </w:t>
      </w:r>
      <w:r w:rsidRPr="005D3F76">
        <w:rPr>
          <w:rFonts w:cs="Times New Roman"/>
          <w:szCs w:val="24"/>
        </w:rPr>
        <w:t xml:space="preserve">(NEA) and the </w:t>
      </w:r>
      <w:r w:rsidRPr="005D3F76">
        <w:rPr>
          <w:rFonts w:cs="Times New Roman"/>
          <w:i/>
          <w:szCs w:val="24"/>
        </w:rPr>
        <w:t xml:space="preserve">American Federation of Teachers </w:t>
      </w:r>
      <w:r w:rsidRPr="005D3F76">
        <w:rPr>
          <w:rFonts w:cs="Times New Roman"/>
          <w:szCs w:val="24"/>
        </w:rPr>
        <w:t xml:space="preserve">(AFT) </w:t>
      </w:r>
      <w:r w:rsidRPr="005D3F76">
        <w:rPr>
          <w:rFonts w:cs="Times New Roman"/>
          <w:szCs w:val="24"/>
        </w:rPr>
        <w:fldChar w:fldCharType="begin"/>
      </w:r>
      <w:r w:rsidRPr="005D3F76">
        <w:rPr>
          <w:rFonts w:cs="Times New Roman"/>
          <w:szCs w:val="24"/>
        </w:rPr>
        <w:instrText xml:space="preserve"> ADDIN EN.CITE &lt;EndNote&gt;&lt;Cite&gt;&lt;Author&gt;American Federation of Teachers&lt;/Author&gt;&lt;Year&gt;2015&lt;/Year&gt;&lt;RecNum&gt;310&lt;/RecNum&gt;&lt;DisplayText&gt;(American Federation of Teachers, 2015b; National Education Association, 2014)&lt;/DisplayText&gt;&lt;record&gt;&lt;rec-number&gt;310&lt;/rec-number&gt;&lt;foreign-keys&gt;&lt;key app="EN" db-id="etwareaz8xpxz3et59b50d9vxrata9z2w2zt" timestamp="1465702212"&gt;310&lt;/key&gt;&lt;/foreign-keys&gt;&lt;ref-type name="Web Page"&gt;12&lt;/ref-type&gt;&lt;contributors&gt;&lt;authors&gt;&lt;author&gt;American Federation of Teachers,&lt;/author&gt;&lt;/authors&gt;&lt;/contributors&gt;&lt;titles&gt;&lt;title&gt;A Union of Professionals&lt;/title&gt;&lt;/titles&gt;&lt;volume&gt;2015&lt;/volume&gt;&lt;number&gt;Feburary 22&lt;/number&gt;&lt;dates&gt;&lt;year&gt;2015&lt;/year&gt;&lt;/dates&gt;&lt;publisher&gt;American Federation of Teachers&lt;/publisher&gt;&lt;urls&gt;&lt;related-urls&gt;&lt;url&gt;www.aft.org&lt;/url&gt;&lt;/related-urls&gt;&lt;/urls&gt;&lt;/record&gt;&lt;/Cite&gt;&lt;Cite&gt;&lt;Author&gt;National Education Association&lt;/Author&gt;&lt;Year&gt;2014&lt;/Year&gt;&lt;RecNum&gt;311&lt;/RecNum&gt;&lt;record&gt;&lt;rec-number&gt;311&lt;/rec-number&gt;&lt;foreign-keys&gt;&lt;key app="EN" db-id="etwareaz8xpxz3et59b50d9vxrata9z2w2zt" timestamp="1465702212"&gt;311&lt;/key&gt;&lt;/foreign-keys&gt;&lt;ref-type name="Web Page"&gt;12&lt;/ref-type&gt;&lt;contributors&gt;&lt;authors&gt;&lt;author&gt;National Education Association,&lt;/author&gt;&lt;/authors&gt;&lt;/contributors&gt;&lt;titles&gt;&lt;title&gt;Great Public Schools for Every Student&lt;/title&gt;&lt;/titles&gt;&lt;volume&gt;2015&lt;/volume&gt;&lt;number&gt;February 22&lt;/number&gt;&lt;dates&gt;&lt;year&gt;2014&lt;/year&gt;&lt;/dates&gt;&lt;urls&gt;&lt;related-urls&gt;&lt;url&gt;www.nea.org&lt;/url&gt;&lt;/related-urls&gt;&lt;/urls&gt;&lt;/record&gt;&lt;/Cite&gt;&lt;/EndNote&gt;</w:instrText>
      </w:r>
      <w:r w:rsidRPr="005D3F76">
        <w:rPr>
          <w:rFonts w:cs="Times New Roman"/>
          <w:szCs w:val="24"/>
        </w:rPr>
        <w:fldChar w:fldCharType="separate"/>
      </w:r>
      <w:r w:rsidRPr="005D3F76">
        <w:rPr>
          <w:rFonts w:cs="Times New Roman"/>
          <w:noProof/>
          <w:szCs w:val="24"/>
        </w:rPr>
        <w:t>(American Federation of Teachers, 2015b; National Education Association, 2014)</w:t>
      </w:r>
      <w:r w:rsidRPr="005D3F76">
        <w:rPr>
          <w:rFonts w:cs="Times New Roman"/>
          <w:szCs w:val="24"/>
        </w:rPr>
        <w:fldChar w:fldCharType="end"/>
      </w:r>
      <w:r w:rsidRPr="005D3F76">
        <w:rPr>
          <w:rFonts w:cs="Times New Roman"/>
          <w:szCs w:val="24"/>
        </w:rPr>
        <w:t xml:space="preserve">. These two unions comprise more than </w:t>
      </w:r>
      <w:r w:rsidRPr="005D3F76">
        <w:rPr>
          <w:rFonts w:cs="Times New Roman"/>
          <w:szCs w:val="24"/>
        </w:rPr>
        <w:lastRenderedPageBreak/>
        <w:t xml:space="preserve">90% of all teacher union memberships and account for more than 4 million members currently </w:t>
      </w:r>
      <w:r w:rsidRPr="005D3F76">
        <w:rPr>
          <w:rFonts w:cs="Times New Roman"/>
          <w:szCs w:val="24"/>
        </w:rPr>
        <w:fldChar w:fldCharType="begin"/>
      </w:r>
      <w:r w:rsidRPr="005D3F76">
        <w:rPr>
          <w:rFonts w:cs="Times New Roman"/>
          <w:szCs w:val="24"/>
        </w:rPr>
        <w:instrText xml:space="preserve"> ADDIN EN.CITE &lt;EndNote&gt;&lt;Cite&gt;&lt;Author&gt;National Education Association&lt;/Author&gt;&lt;Year&gt;2014&lt;/Year&gt;&lt;RecNum&gt;311&lt;/RecNum&gt;&lt;DisplayText&gt;(American Federation of Teachers, 2015b; National Education Association, 2014)&lt;/DisplayText&gt;&lt;record&gt;&lt;rec-number&gt;311&lt;/rec-number&gt;&lt;foreign-keys&gt;&lt;key app="EN" db-id="etwareaz8xpxz3et59b50d9vxrata9z2w2zt" timestamp="1465702212"&gt;311&lt;/key&gt;&lt;/foreign-keys&gt;&lt;ref-type name="Web Page"&gt;12&lt;/ref-type&gt;&lt;contributors&gt;&lt;authors&gt;&lt;author&gt;National Education Association,&lt;/author&gt;&lt;/authors&gt;&lt;/contributors&gt;&lt;titles&gt;&lt;title&gt;Great Public Schools for Every Student&lt;/title&gt;&lt;/titles&gt;&lt;volume&gt;2015&lt;/volume&gt;&lt;number&gt;February 22&lt;/number&gt;&lt;dates&gt;&lt;year&gt;2014&lt;/year&gt;&lt;/dates&gt;&lt;urls&gt;&lt;related-urls&gt;&lt;url&gt;www.nea.org&lt;/url&gt;&lt;/related-urls&gt;&lt;/urls&gt;&lt;/record&gt;&lt;/Cite&gt;&lt;Cite&gt;&lt;Author&gt;American Federation of Teachers&lt;/Author&gt;&lt;Year&gt;2015&lt;/Year&gt;&lt;RecNum&gt;310&lt;/RecNum&gt;&lt;record&gt;&lt;rec-number&gt;310&lt;/rec-number&gt;&lt;foreign-keys&gt;&lt;key app="EN" db-id="etwareaz8xpxz3et59b50d9vxrata9z2w2zt" timestamp="1465702212"&gt;310&lt;/key&gt;&lt;/foreign-keys&gt;&lt;ref-type name="Web Page"&gt;12&lt;/ref-type&gt;&lt;contributors&gt;&lt;authors&gt;&lt;author&gt;American Federation of Teachers,&lt;/author&gt;&lt;/authors&gt;&lt;/contributors&gt;&lt;titles&gt;&lt;title&gt;A Union of Professionals&lt;/title&gt;&lt;/titles&gt;&lt;volume&gt;2015&lt;/volume&gt;&lt;number&gt;Feburary 22&lt;/number&gt;&lt;dates&gt;&lt;year&gt;2015&lt;/year&gt;&lt;/dates&gt;&lt;publisher&gt;American Federation of Teachers&lt;/publisher&gt;&lt;urls&gt;&lt;related-urls&gt;&lt;url&gt;www.aft.org&lt;/url&gt;&lt;/related-urls&gt;&lt;/urls&gt;&lt;/record&gt;&lt;/Cite&gt;&lt;/EndNote&gt;</w:instrText>
      </w:r>
      <w:r w:rsidRPr="005D3F76">
        <w:rPr>
          <w:rFonts w:cs="Times New Roman"/>
          <w:szCs w:val="24"/>
        </w:rPr>
        <w:fldChar w:fldCharType="separate"/>
      </w:r>
      <w:r w:rsidRPr="005D3F76">
        <w:rPr>
          <w:rFonts w:cs="Times New Roman"/>
          <w:noProof/>
          <w:szCs w:val="24"/>
        </w:rPr>
        <w:t>(American Federation of Teachers, 2015b; National Education Association, 2014)</w:t>
      </w:r>
      <w:r w:rsidRPr="005D3F76">
        <w:rPr>
          <w:rFonts w:cs="Times New Roman"/>
          <w:szCs w:val="24"/>
        </w:rPr>
        <w:fldChar w:fldCharType="end"/>
      </w:r>
      <w:r w:rsidRPr="005D3F76">
        <w:rPr>
          <w:rFonts w:cs="Times New Roman"/>
          <w:szCs w:val="24"/>
        </w:rPr>
        <w:t>. As stated previously, teacher unions were not developed in isolation within American society, but as part of a larger labor public sector movement that took place. The following details those events beginning in the late 19</w:t>
      </w:r>
      <w:r w:rsidRPr="005D3F76">
        <w:rPr>
          <w:rFonts w:cs="Times New Roman"/>
          <w:szCs w:val="24"/>
          <w:vertAlign w:val="superscript"/>
        </w:rPr>
        <w:t>th</w:t>
      </w:r>
      <w:r w:rsidRPr="005D3F76">
        <w:rPr>
          <w:rFonts w:cs="Times New Roman"/>
          <w:szCs w:val="24"/>
        </w:rPr>
        <w:t xml:space="preserve"> and early 20</w:t>
      </w:r>
      <w:r w:rsidRPr="005D3F76">
        <w:rPr>
          <w:rFonts w:cs="Times New Roman"/>
          <w:szCs w:val="24"/>
          <w:vertAlign w:val="superscript"/>
        </w:rPr>
        <w:t>th</w:t>
      </w:r>
      <w:r w:rsidRPr="005D3F76">
        <w:rPr>
          <w:rFonts w:cs="Times New Roman"/>
          <w:szCs w:val="24"/>
        </w:rPr>
        <w:t xml:space="preserve"> centuries.</w:t>
      </w:r>
    </w:p>
    <w:p w14:paraId="7E0737BE" w14:textId="77777777" w:rsidR="00B03557" w:rsidRPr="005D3F76" w:rsidRDefault="00B03557" w:rsidP="0012433F">
      <w:pPr>
        <w:pStyle w:val="Heading2"/>
        <w:rPr>
          <w:rFonts w:cs="Times New Roman"/>
        </w:rPr>
      </w:pPr>
      <w:bookmarkStart w:id="6" w:name="_Toc462843626"/>
      <w:r w:rsidRPr="005D3F76">
        <w:rPr>
          <w:rFonts w:cs="Times New Roman"/>
        </w:rPr>
        <w:t>Give Us Something Worthy to Stand Upon</w:t>
      </w:r>
      <w:bookmarkEnd w:id="6"/>
    </w:p>
    <w:p w14:paraId="75F277BF" w14:textId="6F12A8D4" w:rsidR="00B03557" w:rsidRPr="005D3F76" w:rsidRDefault="00B03557" w:rsidP="00DA365C">
      <w:pPr>
        <w:rPr>
          <w:rFonts w:cs="Times New Roman"/>
          <w:szCs w:val="24"/>
        </w:rPr>
      </w:pPr>
      <w:r w:rsidRPr="005D3F76">
        <w:rPr>
          <w:rFonts w:cs="Times New Roman"/>
          <w:szCs w:val="24"/>
        </w:rPr>
        <w:tab/>
        <w:t>During the late 1800’s and throughout the first half of the 20</w:t>
      </w:r>
      <w:r w:rsidRPr="005D3F76">
        <w:rPr>
          <w:rFonts w:cs="Times New Roman"/>
          <w:szCs w:val="24"/>
          <w:vertAlign w:val="superscript"/>
        </w:rPr>
        <w:t>th</w:t>
      </w:r>
      <w:r w:rsidRPr="005D3F76">
        <w:rPr>
          <w:rFonts w:cs="Times New Roman"/>
          <w:szCs w:val="24"/>
        </w:rPr>
        <w:t xml:space="preserve"> century, public sector workers had the same basic concerns as workers in the private </w:t>
      </w:r>
      <w:r w:rsidR="00E341FA" w:rsidRPr="005D3F76">
        <w:rPr>
          <w:rFonts w:cs="Times New Roman"/>
          <w:szCs w:val="24"/>
        </w:rPr>
        <w:t>sector; they</w:t>
      </w:r>
      <w:r w:rsidRPr="005D3F76">
        <w:rPr>
          <w:rFonts w:cs="Times New Roman"/>
          <w:szCs w:val="24"/>
        </w:rPr>
        <w:t xml:space="preserve"> wanted their voices heard and their concerns answered regarding secure employment, better working conditions, and better wages and benefits. Since the industrial economy of the 19</w:t>
      </w:r>
      <w:r w:rsidRPr="005D3F76">
        <w:rPr>
          <w:rFonts w:cs="Times New Roman"/>
          <w:szCs w:val="24"/>
          <w:vertAlign w:val="superscript"/>
        </w:rPr>
        <w:t>th</w:t>
      </w:r>
      <w:r w:rsidRPr="005D3F76">
        <w:rPr>
          <w:rFonts w:cs="Times New Roman"/>
          <w:szCs w:val="24"/>
        </w:rPr>
        <w:t xml:space="preserve"> century, private sector workers were able to form labor unions. Despite many historical inaccuracies that have been written concerning early private sector unions, U.S. courts seldom regarded private labor unions as inherently conspiratorial endeavors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w:t>
      </w:r>
      <w:r w:rsidRPr="005D3F76">
        <w:rPr>
          <w:rFonts w:cs="Times New Roman"/>
          <w:szCs w:val="24"/>
        </w:rPr>
        <w:fldChar w:fldCharType="end"/>
      </w:r>
      <w:r w:rsidRPr="005D3F76">
        <w:rPr>
          <w:rFonts w:cs="Times New Roman"/>
          <w:szCs w:val="24"/>
        </w:rPr>
        <w:t xml:space="preserve">. In fact, unions were able to strike and ‘bargain’ for certain advantages within the industry of which they protected.  Allowing private sector unions initially to be permitted to informally take place within the U.S. was based on the notion that there was very little chance that unorganized individuals could take-on huge corporations concerning labor disputes, such as the billion-dollar U.S. Steel Corporation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w:t>
      </w:r>
      <w:r w:rsidRPr="005D3F76">
        <w:rPr>
          <w:rFonts w:cs="Times New Roman"/>
          <w:szCs w:val="24"/>
        </w:rPr>
        <w:fldChar w:fldCharType="end"/>
      </w:r>
      <w:r w:rsidRPr="005D3F76">
        <w:rPr>
          <w:rFonts w:cs="Times New Roman"/>
          <w:szCs w:val="24"/>
        </w:rPr>
        <w:t xml:space="preserve">. Thus, societally it was viewed that these unions were “necessary to redress the unequal bargaining power of unorganized workers,” and in turn do away with the “old employment-at-will doctrine” which was at fault for many of the issues that troubled labor in early American history—child labor, low minimum wages, etc.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&lt;EndNote&gt;&lt;Cite&gt;&lt;Author&gt;Moreno&lt;/Author&gt;&lt;Year&gt;2011&lt;/Year&gt;&lt;RecNum&gt;28&lt;/RecNum&gt;&lt;Pages&gt;3&lt;/Pages&gt;&lt;DisplayText&gt;(Levy &amp;amp; Temin, 2007; Moreno, 2011, p. 3)&lt;/DisplayText&gt;&lt;record&gt;&lt;rec-number&gt;28&lt;/rec-number&gt;&lt;foreign-keys&gt;&lt;key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College&lt;/publisher&gt;&lt;urls&gt;&lt;/urls&gt;&lt;/record&gt;&lt;/Cite&gt;&lt;Cite&gt;&lt;Author&gt;Levy&lt;/Author&gt;&lt;Year&gt;2007&lt;/Year&gt;&lt;RecNum&gt;46&lt;/RecNum&gt;&lt;record&gt;&lt;rec-number&gt;46&lt;/rec-number&gt;&lt;foreign-keys&gt;&lt;key app="EN" db-id="etwareaz8xpxz3et59b50d9vxrata9z2w2zt" timestamp="1453216053"&gt;46&lt;/key&gt;&lt;/foreign-keys&gt;&lt;ref-type name="Unpublished Work"&gt;34&lt;/ref-type&gt;&lt;contributors&gt;&lt;authors&gt;&lt;author&gt;Frank Levy&lt;/author&gt;&lt;author&gt;Peter Temin&lt;/author&gt;&lt;/authors&gt;&lt;/contributors&gt;&lt;titles&gt;&lt;title&gt;Inequality and Institutions in 20th Century America&lt;/title&gt;&lt;/titles&gt;&lt;dates&gt;&lt;year&gt;2007&lt;/year&gt;&lt;/dates&gt;&lt;pub-location&gt;NBER&lt;/pub-location&gt;&lt;publisher&gt;NBER&lt;/publisher&gt;&lt;work-type&gt;Working Paper No. 13106&lt;/work-type&gt;&lt;urls&gt;&lt;/urls&gt;&lt;/record&gt;&lt;/Cite&gt;&lt;/EndNote&gt;</w:instrText>
      </w:r>
      <w:r w:rsidRPr="005D3F76">
        <w:rPr>
          <w:rFonts w:cs="Times New Roman"/>
          <w:szCs w:val="24"/>
        </w:rPr>
        <w:fldChar w:fldCharType="separate"/>
      </w:r>
      <w:r w:rsidRPr="005D3F76">
        <w:rPr>
          <w:rFonts w:cs="Times New Roman"/>
          <w:noProof/>
          <w:szCs w:val="24"/>
        </w:rPr>
        <w:t>(Levy &amp; Temin, 2007; Moreno, 2011, p. 3)</w:t>
      </w:r>
      <w:r w:rsidRPr="005D3F76">
        <w:rPr>
          <w:rFonts w:cs="Times New Roman"/>
          <w:szCs w:val="24"/>
        </w:rPr>
        <w:fldChar w:fldCharType="end"/>
      </w:r>
      <w:r w:rsidRPr="005D3F76">
        <w:rPr>
          <w:rFonts w:cs="Times New Roman"/>
          <w:szCs w:val="24"/>
        </w:rPr>
        <w:t xml:space="preserve">.  The </w:t>
      </w:r>
      <w:r w:rsidRPr="005D3F76">
        <w:rPr>
          <w:rFonts w:cs="Times New Roman"/>
          <w:i/>
          <w:szCs w:val="24"/>
        </w:rPr>
        <w:t>Wagner Act</w:t>
      </w:r>
      <w:r w:rsidRPr="005D3F76">
        <w:rPr>
          <w:rFonts w:cs="Times New Roman"/>
          <w:szCs w:val="24"/>
        </w:rPr>
        <w:t xml:space="preserve"> (officially the National Labor Relations Act) of 1935 stated that:</w:t>
      </w:r>
    </w:p>
    <w:p w14:paraId="71E8C0D0" w14:textId="7383F8A0" w:rsidR="00B03557" w:rsidRPr="005D3F76" w:rsidRDefault="00B03557" w:rsidP="00DA365C">
      <w:pPr>
        <w:ind w:left="720"/>
        <w:rPr>
          <w:rFonts w:cs="Times New Roman"/>
          <w:szCs w:val="24"/>
        </w:rPr>
      </w:pPr>
      <w:r w:rsidRPr="005D3F76">
        <w:rPr>
          <w:rFonts w:cs="Times New Roman"/>
          <w:szCs w:val="24"/>
        </w:rPr>
        <w:lastRenderedPageBreak/>
        <w:t xml:space="preserve"> employees shall have the right of self-organization, to form, join or assist labor organizations, to bargain collectively through representatives of their own choosing, and to engage in concerted activities for the purpose of collective bargaining or other </w:t>
      </w:r>
      <w:r w:rsidR="00E341FA" w:rsidRPr="005D3F76">
        <w:rPr>
          <w:rFonts w:cs="Times New Roman"/>
          <w:szCs w:val="24"/>
        </w:rPr>
        <w:t>mutual</w:t>
      </w:r>
      <w:r w:rsidRPr="005D3F76">
        <w:rPr>
          <w:rFonts w:cs="Times New Roman"/>
          <w:szCs w:val="24"/>
        </w:rPr>
        <w:t xml:space="preserve"> aid or protection, … .</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&lt;EndNote&gt;&lt;Cite&gt;&lt;Year&gt;2015&lt;/Year&gt;&lt;RecNum&gt;29&lt;/RecNum&gt;&lt;Suffix&gt; para. 1&lt;/Suffix&gt;&lt;DisplayText&gt;(&amp;quot;Wagner Act of 1935,&amp;quot; 2015 para. 1)&lt;/DisplayText&gt;&lt;record&gt;&lt;rec-number&gt;29&lt;/rec-number&gt;&lt;foreign-keys&gt;&lt;key app="EN" db-id="etwareaz8xpxz3et59b50d9vxrata9z2w2zt" timestamp="1452783256"&gt;29&lt;/key&gt;&lt;/foreign-keys&gt;&lt;ref-type name="Web Page"&gt;12&lt;/ref-type&gt;&lt;contributors&gt;&lt;secondary-authors&gt;&lt;author&gt;Public Civics Online&lt;/author&gt;&lt;/secondary-authors&gt;&lt;/contributors&gt;&lt;titles&gt;&lt;title&gt;Wagner Act of 1935&lt;/title&gt;&lt;secondary-title&gt;Public Civics Online&lt;/secondary-title&gt;&lt;/titles&gt;&lt;volume&gt;2015&lt;/volume&gt;&lt;number&gt;January&lt;/number&gt;&lt;dates&gt;&lt;year&gt;2015&lt;/year&gt;&lt;/dates&gt;&lt;urls&gt;&lt;related-urls&gt;&lt;url&gt;http://www.civics-online.org/library/formatted/texts/wagner_act.html&lt;/url&gt;&lt;/related-urls&gt;&lt;/urls&gt;&lt;/record&gt;&lt;/Cite&gt;&lt;/EndNote&gt;</w:instrText>
      </w:r>
      <w:r w:rsidRPr="005D3F76">
        <w:rPr>
          <w:rFonts w:cs="Times New Roman"/>
          <w:szCs w:val="24"/>
        </w:rPr>
        <w:fldChar w:fldCharType="separate"/>
      </w:r>
      <w:r w:rsidRPr="005D3F76">
        <w:rPr>
          <w:rFonts w:cs="Times New Roman"/>
          <w:noProof/>
          <w:szCs w:val="24"/>
        </w:rPr>
        <w:t>("Wagner Act of 1935," 2015 para. 1)</w:t>
      </w:r>
      <w:r w:rsidRPr="005D3F76">
        <w:rPr>
          <w:rFonts w:cs="Times New Roman"/>
          <w:szCs w:val="24"/>
        </w:rPr>
        <w:fldChar w:fldCharType="end"/>
      </w:r>
      <w:r w:rsidRPr="005D3F76">
        <w:rPr>
          <w:rFonts w:cs="Times New Roman"/>
          <w:szCs w:val="24"/>
        </w:rPr>
        <w:t xml:space="preserve"> </w:t>
      </w:r>
    </w:p>
    <w:p w14:paraId="0CD54A71" w14:textId="77777777" w:rsidR="00B03557" w:rsidRPr="005D3F76" w:rsidRDefault="00B03557" w:rsidP="00DA365C">
      <w:pPr>
        <w:ind w:left="720"/>
        <w:rPr>
          <w:rFonts w:cs="Times New Roman"/>
          <w:i/>
          <w:szCs w:val="24"/>
        </w:rPr>
      </w:pPr>
    </w:p>
    <w:p w14:paraId="0939D118" w14:textId="77777777" w:rsidR="00B03557" w:rsidRPr="005D3F76" w:rsidRDefault="00B03557" w:rsidP="00DA365C">
      <w:pPr>
        <w:rPr>
          <w:rFonts w:cs="Times New Roman"/>
          <w:szCs w:val="24"/>
        </w:rPr>
      </w:pPr>
      <w:r w:rsidRPr="005D3F76">
        <w:rPr>
          <w:rFonts w:cs="Times New Roman"/>
          <w:szCs w:val="24"/>
        </w:rPr>
        <w:t xml:space="preserve">With the inclusion of section seven of the Wagner Act, the states became more pro-union than ever before, especially in regards to private sector unionization.  It would not be until the </w:t>
      </w:r>
      <w:r w:rsidRPr="005D3F76">
        <w:rPr>
          <w:rFonts w:cs="Times New Roman"/>
          <w:i/>
          <w:szCs w:val="24"/>
        </w:rPr>
        <w:t>Taft-Hartley Act</w:t>
      </w:r>
      <w:r w:rsidRPr="005D3F76">
        <w:rPr>
          <w:rFonts w:cs="Times New Roman"/>
          <w:szCs w:val="24"/>
        </w:rPr>
        <w:t xml:space="preserve"> of 1947 (officially known as the </w:t>
      </w:r>
      <w:r w:rsidRPr="005D3F76">
        <w:rPr>
          <w:rFonts w:cs="Times New Roman"/>
          <w:i/>
          <w:szCs w:val="24"/>
        </w:rPr>
        <w:t xml:space="preserve">Labor Management Relations </w:t>
      </w:r>
      <w:r w:rsidRPr="005D3F76">
        <w:rPr>
          <w:rFonts w:cs="Times New Roman"/>
          <w:szCs w:val="24"/>
        </w:rPr>
        <w:t xml:space="preserve">Act) that provisions were made that allowed states to incorporate some right-to-work laws effectively curtailing private sector union’s bargaining abilities </w:t>
      </w:r>
      <w:r w:rsidRPr="005D3F76">
        <w:rPr>
          <w:rFonts w:cs="Times New Roman"/>
          <w:szCs w:val="24"/>
        </w:rPr>
        <w:fldChar w:fldCharType="begin"/>
      </w:r>
      <w:r w:rsidRPr="005D3F76">
        <w:rPr>
          <w:rFonts w:cs="Times New Roman"/>
          <w:szCs w:val="24"/>
        </w:rPr>
        <w:instrText xml:space="preserve"> ADDIN EN.CITE &lt;EndNote&gt;&lt;Cite&gt;&lt;Author&gt;Smith&lt;/Author&gt;&lt;Year&gt;1948&lt;/Year&gt;&lt;RecNum&gt;47&lt;/RecNum&gt;&lt;DisplayText&gt;(Smith, 1948)&lt;/DisplayText&gt;&lt;record&gt;&lt;rec-number&gt;47&lt;/rec-number&gt;&lt;foreign-keys&gt;&lt;key app="EN" db-id="etwareaz8xpxz3et59b50d9vxrata9z2w2zt" timestamp="1453216322"&gt;47&lt;/key&gt;&lt;/foreign-keys&gt;&lt;ref-type name="Journal Article"&gt;17&lt;/ref-type&gt;&lt;contributors&gt;&lt;authors&gt;&lt;author&gt;Russell A Smith&lt;/author&gt;&lt;/authors&gt;&lt;/contributors&gt;&lt;titles&gt;&lt;title&gt;The Taft-Hartley Act and State Jurisdiction over Labor Relations&lt;/title&gt;&lt;secondary-title&gt;Michigan Law Review&lt;/secondary-title&gt;&lt;/titles&gt;&lt;periodical&gt;&lt;full-title&gt;Michigan Law Review&lt;/full-title&gt;&lt;/periodical&gt;&lt;pages&gt;593-624&lt;/pages&gt;&lt;volume&gt;46&lt;/volume&gt;&lt;number&gt;5&lt;/number&gt;&lt;dates&gt;&lt;year&gt;1948&lt;/year&gt;&lt;/dates&gt;&lt;urls&gt;&lt;/urls&gt;&lt;/record&gt;&lt;/Cite&gt;&lt;/EndNote&gt;</w:instrText>
      </w:r>
      <w:r w:rsidRPr="005D3F76">
        <w:rPr>
          <w:rFonts w:cs="Times New Roman"/>
          <w:szCs w:val="24"/>
        </w:rPr>
        <w:fldChar w:fldCharType="separate"/>
      </w:r>
      <w:r w:rsidRPr="005D3F76">
        <w:rPr>
          <w:rFonts w:cs="Times New Roman"/>
          <w:noProof/>
          <w:szCs w:val="24"/>
        </w:rPr>
        <w:t>(Smith, 1948)</w:t>
      </w:r>
      <w:r w:rsidRPr="005D3F76">
        <w:rPr>
          <w:rFonts w:cs="Times New Roman"/>
          <w:szCs w:val="24"/>
        </w:rPr>
        <w:fldChar w:fldCharType="end"/>
      </w:r>
      <w:r w:rsidRPr="005D3F76">
        <w:rPr>
          <w:rFonts w:cs="Times New Roman"/>
          <w:szCs w:val="24"/>
        </w:rPr>
        <w:t xml:space="preserve">.  </w:t>
      </w:r>
    </w:p>
    <w:p w14:paraId="0A173DFE" w14:textId="77777777" w:rsidR="00B03557" w:rsidRPr="005D3F76" w:rsidRDefault="00B03557" w:rsidP="00DA365C">
      <w:pPr>
        <w:ind w:firstLine="720"/>
        <w:rPr>
          <w:rFonts w:cs="Times New Roman"/>
          <w:szCs w:val="24"/>
        </w:rPr>
      </w:pPr>
      <w:r w:rsidRPr="005D3F76">
        <w:rPr>
          <w:rFonts w:cs="Times New Roman"/>
          <w:szCs w:val="24"/>
        </w:rPr>
        <w:t xml:space="preserve">However, public sector unions would not enjoy the same kinds of protection and enthusiasm that the private sector unions enjoyed from the </w:t>
      </w:r>
      <w:r w:rsidRPr="005D3F76">
        <w:rPr>
          <w:rFonts w:cs="Times New Roman"/>
          <w:i/>
          <w:szCs w:val="24"/>
        </w:rPr>
        <w:t>Wagner Act</w:t>
      </w:r>
      <w:r w:rsidRPr="005D3F76">
        <w:rPr>
          <w:rFonts w:cs="Times New Roman"/>
          <w:szCs w:val="24"/>
        </w:rPr>
        <w:t xml:space="preserve">. Under section 2, public employees were exempted from the coverage under the </w:t>
      </w:r>
      <w:r w:rsidRPr="005D3F76">
        <w:rPr>
          <w:rFonts w:cs="Times New Roman"/>
          <w:i/>
          <w:szCs w:val="24"/>
        </w:rPr>
        <w:t xml:space="preserve">Wagner Act </w:t>
      </w:r>
      <w:r w:rsidRPr="005D3F76">
        <w:rPr>
          <w:rFonts w:cs="Times New Roman"/>
          <w:i/>
          <w:szCs w:val="24"/>
        </w:rPr>
        <w:fldChar w:fldCharType="begin"/>
      </w:r>
      <w:r w:rsidRPr="005D3F76">
        <w:rPr>
          <w:rFonts w:cs="Times New Roman"/>
          <w:i/>
          <w:szCs w:val="24"/>
        </w:rPr>
        <w:instrText xml:space="preserve"> ADDIN EN.CITE &lt;EndNote&gt;&lt;Cite&gt;&lt;Year&gt;1935&lt;/Year&gt;&lt;RecNum&gt;45&lt;/RecNum&gt;&lt;DisplayText&gt;(&amp;quot;Wagner Act of 1935,&amp;quot; 1935)&lt;/DisplayText&gt;&lt;record&gt;&lt;rec-number&gt;45&lt;/rec-number&gt;&lt;foreign-keys&gt;&lt;key app="EN" db-id="etwareaz8xpxz3et59b50d9vxrata9z2w2zt" timestamp="1453214798"&gt;45&lt;/key&gt;&lt;/foreign-keys&gt;&lt;ref-type name="Statute"&gt;31&lt;/ref-type&gt;&lt;contributors&gt;&lt;/contributors&gt;&lt;titles&gt;&lt;title&gt;Wagner Act of 1935&lt;/title&gt;&lt;/titles&gt;&lt;section&gt;2&lt;/section&gt;&lt;dates&gt;&lt;year&gt;1935&lt;/year&gt;&lt;/dates&gt;&lt;urls&gt;&lt;/urls&gt;&lt;/record&gt;&lt;/Cite&gt;&lt;/EndNote&gt;</w:instrText>
      </w:r>
      <w:r w:rsidRPr="005D3F76">
        <w:rPr>
          <w:rFonts w:cs="Times New Roman"/>
          <w:i/>
          <w:szCs w:val="24"/>
        </w:rPr>
        <w:fldChar w:fldCharType="separate"/>
      </w:r>
      <w:r w:rsidRPr="005D3F76">
        <w:rPr>
          <w:rFonts w:cs="Times New Roman"/>
          <w:i/>
          <w:noProof/>
          <w:szCs w:val="24"/>
        </w:rPr>
        <w:t>("Wagner Act of 1935," 1935)</w:t>
      </w:r>
      <w:r w:rsidRPr="005D3F76">
        <w:rPr>
          <w:rFonts w:cs="Times New Roman"/>
          <w:i/>
          <w:szCs w:val="24"/>
        </w:rPr>
        <w:fldChar w:fldCharType="end"/>
      </w:r>
      <w:r w:rsidRPr="005D3F76">
        <w:rPr>
          <w:rFonts w:cs="Times New Roman"/>
          <w:szCs w:val="24"/>
        </w:rPr>
        <w:t xml:space="preserve">. Congress essentially decreed that states and government entities were not ‘employers,’ and thus unions could not be formed within the public domain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 &amp;quot;Wagner Act of 1935,&amp;quot; 1935)&lt;/DisplayText&gt;&lt;record&gt;&lt;rec-number&gt;28&lt;/rec-number&gt;&lt;foreign-keys&gt;&lt;key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College&lt;/publisher&gt;&lt;urls&gt;&lt;/urls&gt;&lt;/record&gt;&lt;/Cite&gt;&lt;Cite&gt;&lt;Year&gt;1935&lt;/Year&gt;&lt;RecNum&gt;45&lt;/RecNum&gt;&lt;record&gt;&lt;rec-number&gt;45&lt;/rec-number&gt;&lt;foreign-keys&gt;&lt;key app="EN" db-id="etwareaz8xpxz3et59b50d9vxrata9z2w2zt" timestamp="1453214798"&gt;45&lt;/key&gt;&lt;/foreign-keys&gt;&lt;ref-type name="Statute"&gt;31&lt;/ref-type&gt;&lt;contributors&gt;&lt;/contributors&gt;&lt;titles&gt;&lt;title&gt;Wagner Act of 1935&lt;/title&gt;&lt;/titles&gt;&lt;section&gt;2&lt;/section&gt;&lt;dates&gt;&lt;year&gt;1935&lt;/year&gt;&lt;/dates&gt;&lt;urls&gt;&lt;/urls&gt;&lt;/record&gt;&lt;/Cite&gt;&lt;/EndNote&gt;</w:instrText>
      </w:r>
      <w:r w:rsidRPr="005D3F76">
        <w:rPr>
          <w:rFonts w:cs="Times New Roman"/>
          <w:szCs w:val="24"/>
        </w:rPr>
        <w:fldChar w:fldCharType="separate"/>
      </w:r>
      <w:r w:rsidRPr="005D3F76">
        <w:rPr>
          <w:rFonts w:cs="Times New Roman"/>
          <w:noProof/>
          <w:szCs w:val="24"/>
        </w:rPr>
        <w:t>(Moreno, 2011; "Wagner Act of 1935," 1935)</w:t>
      </w:r>
      <w:r w:rsidRPr="005D3F76">
        <w:rPr>
          <w:rFonts w:cs="Times New Roman"/>
          <w:szCs w:val="24"/>
        </w:rPr>
        <w:fldChar w:fldCharType="end"/>
      </w:r>
      <w:r w:rsidRPr="005D3F76">
        <w:rPr>
          <w:rFonts w:cs="Times New Roman"/>
          <w:szCs w:val="24"/>
        </w:rPr>
        <w:t>. President Franklin Roosevelt in 1937 wrote the following to the Federation of Federal Employees:</w:t>
      </w:r>
    </w:p>
    <w:p w14:paraId="38B1FC8F" w14:textId="77777777" w:rsidR="00B03557" w:rsidRPr="005D3F76" w:rsidRDefault="00B03557" w:rsidP="00DA365C">
      <w:pPr>
        <w:ind w:left="720"/>
        <w:rPr>
          <w:rFonts w:cs="Times New Roman"/>
          <w:i/>
          <w:szCs w:val="24"/>
        </w:rPr>
      </w:pPr>
      <w:r w:rsidRPr="005D3F76">
        <w:rPr>
          <w:rFonts w:cs="Times New Roman"/>
          <w:i/>
          <w:szCs w:val="24"/>
        </w:rPr>
        <w:t xml:space="preserve">All government employees should realize that the process of collective bargaining as usually understood, cannot be transplanted into the public service. It has its distinct and </w:t>
      </w:r>
      <w:r w:rsidRPr="005D3F76">
        <w:rPr>
          <w:rFonts w:cs="Times New Roman"/>
          <w:szCs w:val="24"/>
        </w:rPr>
        <w:t xml:space="preserve">insurmountable limitations when applied to public personnel management. The very nature and purpose of government make it impossible for administrative officials to represent fully or to bind the employer in mutual discussions with government employee organizations. The employer is the whole people, who speak by means of laws enacted by </w:t>
      </w:r>
      <w:r w:rsidRPr="005D3F76">
        <w:rPr>
          <w:rFonts w:cs="Times New Roman"/>
          <w:szCs w:val="24"/>
        </w:rPr>
        <w:lastRenderedPageBreak/>
        <w:t>their representatives in Congress. Accordingly, administrative officials and employees  alike are governed and guided, and in many instances restricted by laws which establish policies, procedures, or rule in personal matters.</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&lt;EndNote&gt;&lt;Cite&gt;&lt;Author&gt;Peters&lt;/Author&gt;&lt;Year&gt;1999-2016&lt;/Year&gt;&lt;RecNum&gt;30&lt;/RecNum&gt;&lt;Suffix&gt; para 3-4&lt;/Suffix&gt;&lt;DisplayText&gt;(Peters &amp;amp; Wooley, 1999-2016 para 3-4)&lt;/DisplayText&gt;&lt;record&gt;&lt;rec-number&gt;30&lt;/rec-number&gt;&lt;foreign-keys&gt;&lt;key app="EN" db-id="etwareaz8xpxz3et59b50d9vxrata9z2w2zt" timestamp="1452784586"&gt;30&lt;/key&gt;&lt;/foreign-keys&gt;&lt;ref-type name="Web Page"&gt;12&lt;/ref-type&gt;&lt;contributors&gt;&lt;authors&gt;&lt;author&gt;Gerhard Peters&lt;/author&gt;&lt;author&gt;John T. Wooley&lt;/author&gt;&lt;/authors&gt;&lt;secondary-authors&gt;&lt;author&gt;UCSB&lt;/author&gt;&lt;/secondary-authors&gt;&lt;/contributors&gt;&lt;titles&gt;&lt;title&gt;Franklin D. Roosevelt Letter on the Resolution of Federation of Federal Emloyees Against Strikes in Federal Service&lt;/title&gt;&lt;secondary-title&gt;The American Presidency Project&lt;/secondary-title&gt;&lt;/titles&gt;&lt;volume&gt;2016&lt;/volume&gt;&lt;number&gt;January&lt;/number&gt;&lt;dates&gt;&lt;year&gt;1999-2016&lt;/year&gt;&lt;/dates&gt;&lt;urls&gt;&lt;related-urls&gt;&lt;url&gt;http://www.presidency.ucsb.edu/ws/?pid=15445&lt;/url&gt;&lt;/related-urls&gt;&lt;/urls&gt;&lt;/record&gt;&lt;/Cite&gt;&lt;/EndNote&gt;</w:instrText>
      </w:r>
      <w:r w:rsidRPr="005D3F76">
        <w:rPr>
          <w:rFonts w:cs="Times New Roman"/>
          <w:szCs w:val="24"/>
        </w:rPr>
        <w:fldChar w:fldCharType="separate"/>
      </w:r>
      <w:r w:rsidRPr="005D3F76">
        <w:rPr>
          <w:rFonts w:cs="Times New Roman"/>
          <w:noProof/>
          <w:szCs w:val="24"/>
        </w:rPr>
        <w:t>(Peters &amp; Wooley, 1999-2016 para 3-4)</w:t>
      </w:r>
      <w:r w:rsidRPr="005D3F76">
        <w:rPr>
          <w:rFonts w:cs="Times New Roman"/>
          <w:szCs w:val="24"/>
        </w:rPr>
        <w:fldChar w:fldCharType="end"/>
      </w:r>
    </w:p>
    <w:p w14:paraId="1F32D823" w14:textId="27336940" w:rsidR="00B03557" w:rsidRPr="005D3F76" w:rsidRDefault="00B03557" w:rsidP="00DA365C">
      <w:pPr>
        <w:ind w:firstLine="720"/>
        <w:rPr>
          <w:rFonts w:cs="Times New Roman"/>
          <w:szCs w:val="24"/>
        </w:rPr>
      </w:pPr>
      <w:r w:rsidRPr="005D3F76">
        <w:rPr>
          <w:rFonts w:cs="Times New Roman"/>
          <w:szCs w:val="24"/>
        </w:rPr>
        <w:t xml:space="preserve">One of the most important phrases stated by Roosevelt in his letter to the Federation of Public Employees is the definition of a public employer as “the whole of people, who speak by means of laws” </w:t>
      </w:r>
      <w:r w:rsidRPr="005D3F76">
        <w:rPr>
          <w:rFonts w:cs="Times New Roman"/>
          <w:szCs w:val="24"/>
        </w:rPr>
        <w:fldChar w:fldCharType="begin"/>
      </w:r>
      <w:r w:rsidRPr="005D3F76">
        <w:rPr>
          <w:rFonts w:cs="Times New Roman"/>
          <w:szCs w:val="24"/>
        </w:rPr>
        <w:instrText xml:space="preserve"> ADDIN EN.CITE &lt;EndNote&gt;&lt;Cite&gt;&lt;Author&gt;Peters&lt;/Author&gt;&lt;Year&gt;1999-2016&lt;/Year&gt;&lt;RecNum&gt;30&lt;/RecNum&gt;&lt;Suffix&gt; para 4&lt;/Suffix&gt;&lt;DisplayText&gt;(Peters &amp;amp; Wooley, 1999-2016 para 4)&lt;/DisplayText&gt;&lt;record&gt;&lt;rec-number&gt;30&lt;/rec-number&gt;&lt;foreign-keys&gt;&lt;key app="EN" db-id="etwareaz8xpxz3et59b50d9vxrata9z2w2zt" timestamp="1452784586"&gt;30&lt;/key&gt;&lt;/foreign-keys&gt;&lt;ref-type name="Web Page"&gt;12&lt;/ref-type&gt;&lt;contributors&gt;&lt;authors&gt;&lt;author&gt;Gerhard Peters&lt;/author&gt;&lt;author&gt;John T. Wooley&lt;/author&gt;&lt;/authors&gt;&lt;secondary-authors&gt;&lt;author&gt;UCSB&lt;/author&gt;&lt;/secondary-authors&gt;&lt;/contributors&gt;&lt;titles&gt;&lt;title&gt;Franklin D. Roosevelt Letter on the Resolution of Federation of Federal Emloyees Against Strikes in Federal Service&lt;/title&gt;&lt;secondary-title&gt;The American Presidency Project&lt;/secondary-title&gt;&lt;/titles&gt;&lt;volume&gt;2016&lt;/volume&gt;&lt;number&gt;January&lt;/number&gt;&lt;dates&gt;&lt;year&gt;1999-2016&lt;/year&gt;&lt;/dates&gt;&lt;urls&gt;&lt;related-urls&gt;&lt;url&gt;http://www.presidency.ucsb.edu/ws/?pid=15445&lt;/url&gt;&lt;/related-urls&gt;&lt;/urls&gt;&lt;/record&gt;&lt;/Cite&gt;&lt;/EndNote&gt;</w:instrText>
      </w:r>
      <w:r w:rsidRPr="005D3F76">
        <w:rPr>
          <w:rFonts w:cs="Times New Roman"/>
          <w:szCs w:val="24"/>
        </w:rPr>
        <w:fldChar w:fldCharType="separate"/>
      </w:r>
      <w:r w:rsidRPr="005D3F76">
        <w:rPr>
          <w:rFonts w:cs="Times New Roman"/>
          <w:noProof/>
          <w:szCs w:val="24"/>
        </w:rPr>
        <w:t>(Peters &amp; Wooley, 1999-2016 para 4)</w:t>
      </w:r>
      <w:r w:rsidRPr="005D3F76">
        <w:rPr>
          <w:rFonts w:cs="Times New Roman"/>
          <w:szCs w:val="24"/>
        </w:rPr>
        <w:fldChar w:fldCharType="end"/>
      </w:r>
      <w:r w:rsidRPr="005D3F76">
        <w:rPr>
          <w:rFonts w:cs="Times New Roman"/>
          <w:szCs w:val="24"/>
        </w:rPr>
        <w:t xml:space="preserve">. Essentially Roosevelt’s major claim was that the government is sovereign, and thus, one cannot force them to bargain collectively because “whoever can compel the sovereign must perforce become the sovereign power” </w:t>
      </w:r>
      <w:r w:rsidRPr="005D3F76">
        <w:rPr>
          <w:rFonts w:cs="Times New Roman"/>
          <w:szCs w:val="24"/>
        </w:rPr>
        <w:fldChar w:fldCharType="begin">
          <w:fldData xml:space="preserve">PEVuZE5vdGU+PENpdGU+PEF1dGhvcj5Nb3Jlbm88L0F1dGhvcj48WWVhcj4yMDExPC9ZZWFyPjxS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</w:fldData>
        </w:fldChar>
      </w:r>
      <w:r w:rsidRPr="005D3F76">
        <w:rPr>
          <w:rFonts w:cs="Times New Roman"/>
          <w:szCs w:val="24"/>
        </w:rPr>
        <w:instrText xml:space="preserve"> ADDIN EN.CITE </w:instrText>
      </w:r>
      <w:r w:rsidRPr="005D3F76">
        <w:rPr>
          <w:rFonts w:cs="Times New Roman"/>
          <w:szCs w:val="24"/>
        </w:rPr>
        <w:fldChar w:fldCharType="begin">
          <w:fldData xml:space="preserve">PEVuZE5vdGU+PENpdGU+PEF1dGhvcj5Nb3Jlbm88L0F1dGhvcj48WWVhcj4yMDExPC9ZZWFyPjxS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</w:fldData>
        </w:fldChar>
      </w:r>
      <w:r w:rsidRPr="005D3F76">
        <w:rPr>
          <w:rFonts w:cs="Times New Roman"/>
          <w:szCs w:val="24"/>
        </w:rPr>
        <w:instrText xml:space="preserve"> ADDIN EN.CITE.DATA </w:instrText>
      </w:r>
      <w:r w:rsidRPr="005D3F76">
        <w:rPr>
          <w:rFonts w:cs="Times New Roman"/>
          <w:szCs w:val="24"/>
        </w:rPr>
      </w:r>
      <w:r w:rsidRPr="005D3F76">
        <w:rPr>
          <w:rFonts w:cs="Times New Roman"/>
          <w:szCs w:val="24"/>
        </w:rPr>
        <w:fldChar w:fldCharType="end"/>
      </w:r>
      <w:r w:rsidRPr="005D3F76">
        <w:rPr>
          <w:rFonts w:cs="Times New Roman"/>
          <w:szCs w:val="24"/>
        </w:rPr>
      </w:r>
      <w:r w:rsidRPr="005D3F76">
        <w:rPr>
          <w:rFonts w:cs="Times New Roman"/>
          <w:szCs w:val="24"/>
        </w:rPr>
        <w:fldChar w:fldCharType="separate"/>
      </w:r>
      <w:r w:rsidRPr="005D3F76">
        <w:rPr>
          <w:rFonts w:cs="Times New Roman"/>
          <w:noProof/>
          <w:szCs w:val="24"/>
        </w:rPr>
        <w:t>(Moreno, 2011, p. 4; J. E. Slater, 2004; Wellington &amp; Winter Jr., 1969)</w:t>
      </w:r>
      <w:r w:rsidRPr="005D3F76">
        <w:rPr>
          <w:rFonts w:cs="Times New Roman"/>
          <w:szCs w:val="24"/>
        </w:rPr>
        <w:fldChar w:fldCharType="end"/>
      </w:r>
      <w:r w:rsidRPr="005D3F76">
        <w:rPr>
          <w:rFonts w:cs="Times New Roman"/>
          <w:szCs w:val="24"/>
        </w:rPr>
        <w:t xml:space="preserve">.  Many other anti-public union advocates agreed with Roosevelt.  This was a paradoxical quandary that had no viable solution that would be able to be solved in any capacity within the current U.S. bureaucratic system. The ideas surrounding sovereign authority was the rationale that reflected prevailing power structures within this system </w:t>
      </w:r>
      <w:r w:rsidRPr="005D3F76">
        <w:rPr>
          <w:rFonts w:cs="Times New Roman"/>
          <w:szCs w:val="24"/>
        </w:rPr>
        <w:fldChar w:fldCharType="begin"/>
      </w:r>
      <w:r w:rsidRPr="005D3F76">
        <w:rPr>
          <w:rFonts w:cs="Times New Roman"/>
          <w:szCs w:val="24"/>
        </w:rPr>
        <w:instrText xml:space="preserve"> ADDIN EN.CITE &lt;EndNote&gt;&lt;Cite&gt;&lt;Author&gt;West&lt;/Author&gt;&lt;Year&gt;2008&lt;/Year&gt;&lt;RecNum&gt;35&lt;/RecNum&gt;&lt;DisplayText&gt;(West, 2008)&lt;/DisplayText&gt;&lt;record&gt;&lt;rec-number&gt;35&lt;/rec-number&gt;&lt;foreign-keys&gt;&lt;key app="EN" db-id="etwareaz8xpxz3et59b50d9vxrata9z2w2zt" timestamp="1452789827"&gt;35&lt;/key&gt;&lt;/foreign-keys&gt;&lt;ref-type name="Generic"&gt;13&lt;/ref-type&gt;&lt;contributors&gt;&lt;authors&gt;&lt;author&gt;M. West&lt;/author&gt;&lt;/authors&gt;&lt;/contributors&gt;&lt;titles&gt;&lt;title&gt;Bargaining with Authority: The Political Origins of Public Sector Bargaining&lt;/title&gt;&lt;/titles&gt;&lt;dates&gt;&lt;year&gt;2008&lt;/year&gt;&lt;/dates&gt;&lt;pub-location&gt;Paper presented at the Policy History&lt;/pub-location&gt;&lt;urls&gt;&lt;/urls&gt;&lt;custom1&gt;St. Louis, MO&lt;/custom1&gt;&lt;/record&gt;&lt;/Cite&gt;&lt;/EndNote&gt;</w:instrText>
      </w:r>
      <w:r w:rsidRPr="005D3F76">
        <w:rPr>
          <w:rFonts w:cs="Times New Roman"/>
          <w:szCs w:val="24"/>
        </w:rPr>
        <w:fldChar w:fldCharType="separate"/>
      </w:r>
      <w:r w:rsidRPr="005D3F76">
        <w:rPr>
          <w:rFonts w:cs="Times New Roman"/>
          <w:noProof/>
          <w:szCs w:val="24"/>
        </w:rPr>
        <w:t>(West, 2008)</w:t>
      </w:r>
      <w:r w:rsidRPr="005D3F76">
        <w:rPr>
          <w:rFonts w:cs="Times New Roman"/>
          <w:szCs w:val="24"/>
        </w:rPr>
        <w:fldChar w:fldCharType="end"/>
      </w:r>
      <w:r w:rsidRPr="005D3F76">
        <w:rPr>
          <w:rFonts w:cs="Times New Roman"/>
          <w:szCs w:val="24"/>
        </w:rPr>
        <w:t xml:space="preserve">. </w:t>
      </w:r>
    </w:p>
    <w:p w14:paraId="7C9A768D" w14:textId="77777777" w:rsidR="00B03557" w:rsidRPr="005D3F76" w:rsidRDefault="00B03557" w:rsidP="00DA365C">
      <w:pPr>
        <w:rPr>
          <w:rFonts w:cs="Times New Roman"/>
          <w:szCs w:val="24"/>
        </w:rPr>
      </w:pPr>
      <w:r w:rsidRPr="005D3F76">
        <w:rPr>
          <w:rFonts w:cs="Times New Roman"/>
          <w:szCs w:val="24"/>
        </w:rPr>
        <w:tab/>
        <w:t xml:space="preserve">There were other arguments that could be made that demonstrated concern about having public sector workers able to unionize within the U.S., some of which came to fruition. One argument made against public sector unionization was that labor disputes could cause disruptions in the issuance of necessary public goods, such as putting out fires, keeping the peace, teaching the young, and delivering the mail. A long-time </w:t>
      </w:r>
      <w:r w:rsidRPr="005D3F76">
        <w:rPr>
          <w:rFonts w:cs="Times New Roman"/>
          <w:i/>
          <w:szCs w:val="24"/>
        </w:rPr>
        <w:t xml:space="preserve">New York </w:t>
      </w:r>
      <w:r w:rsidRPr="005D3F76">
        <w:rPr>
          <w:rFonts w:cs="Times New Roman"/>
          <w:szCs w:val="24"/>
        </w:rPr>
        <w:t xml:space="preserve">Times reporter, A.H. Raskin (1968) wrote that “the community cannot tolerate the notion that it is defenseless at the hands of organized workers to whom it has entrusted responsibility for essential services.” </w:t>
      </w:r>
      <w:r w:rsidRPr="005D3F76">
        <w:rPr>
          <w:rFonts w:cs="Times New Roman"/>
          <w:szCs w:val="24"/>
        </w:rPr>
        <w:fldChar w:fldCharType="begin"/>
      </w:r>
      <w:r w:rsidRPr="005D3F76">
        <w:rPr>
          <w:rFonts w:cs="Times New Roman"/>
          <w:szCs w:val="24"/>
        </w:rPr>
        <w:instrText xml:space="preserve"> ADDIN EN.CITE &lt;EndNote&gt;&lt;Cite&gt;&lt;Author&gt;Levin&lt;/Author&gt;&lt;Year&gt;2012&lt;/Year&gt;&lt;RecNum&gt;215&lt;/RecNum&gt;&lt;Pages&gt;312&lt;/Pages&gt;&lt;DisplayText&gt;(Levin &amp;amp; Clyne, 2012, p. 312)&lt;/DisplayText&gt;&lt;record&gt;&lt;rec-number&gt;215&lt;/rec-number&gt;&lt;foreign-keys&gt;&lt;key app="EN" db-id="etwareaz8xpxz3et59b50d9vxrata9z2w2zt" timestamp="1461616061"&gt;215&lt;/key&gt;&lt;/foreign-keys&gt;&lt;ref-type name="Edited Book"&gt;28&lt;/ref-type&gt;&lt;contributors&gt;&lt;authors&gt;&lt;author&gt;Yuval Levin&lt;/author&gt;&lt;author&gt;Meghan Clyne&lt;/author&gt;&lt;/authors&gt;&lt;/contributors&gt;&lt;titles&gt;&lt;title&gt;A Time for Governing Policy Solutions from the Pages of National Affairs&lt;/title&gt;&lt;/titles&gt;&lt;dates&gt;&lt;year&gt;2012&lt;/year&gt;&lt;/dates&gt;&lt;pub-location&gt;New York and London&lt;/pub-location&gt;&lt;publisher&gt;Encounter Books&lt;/publisher&gt;&lt;urls&gt;&lt;/urls&gt;&lt;/record&gt;&lt;/Cite&gt;&lt;Cite Hidden="1"&gt;&lt;Author&gt;Raskin&lt;/Author&gt;&lt;Year&gt;1968&lt;/Year&gt;&lt;RecNum&gt;36&lt;/RecNum&gt;&lt;record&gt;&lt;rec-number&gt;36&lt;/rec-number&gt;&lt;foreign-keys&gt;&lt;key app="EN" db-id="etwareaz8xpxz3et59b50d9vxrata9z2w2zt" timestamp="1452790837"&gt;36&lt;/key&gt;&lt;/foreign-keys&gt;&lt;ref-type name="Newspaper Article"&gt;23&lt;/ref-type&gt;&lt;contributors&gt;&lt;authors&gt;&lt;author&gt;Marcus Raskin&lt;/author&gt;&lt;/authors&gt;&lt;/contributors&gt;&lt;titles&gt;&lt;title&gt;Picket Lines: Public Employees&lt;/title&gt;&lt;secondary-title&gt;New York Times&lt;/secondary-title&gt;&lt;/titles&gt;&lt;section&gt;b.12 1.5&lt;/section&gt;&lt;dates&gt;&lt;year&gt;1968&lt;/year&gt;&lt;/dates&gt;&lt;pub-location&gt;New York&lt;/pub-location&gt;&lt;urls&gt;&lt;related-urls&gt;&lt;url&gt;http://www.nypl.org/sites/default/files/archivalcollections/pdf/mss17805.pdf&lt;/url&gt;&lt;/related-urls&gt;&lt;/urls&gt;&lt;/record&gt;&lt;/Cite&gt;&lt;/EndNote&gt;</w:instrText>
      </w:r>
      <w:r w:rsidRPr="005D3F76">
        <w:rPr>
          <w:rFonts w:cs="Times New Roman"/>
          <w:szCs w:val="24"/>
        </w:rPr>
        <w:fldChar w:fldCharType="separate"/>
      </w:r>
      <w:r w:rsidRPr="005D3F76">
        <w:rPr>
          <w:rFonts w:cs="Times New Roman"/>
          <w:noProof/>
          <w:szCs w:val="24"/>
        </w:rPr>
        <w:t>(Levin &amp; Clyne, 2012, p. 312)</w:t>
      </w:r>
      <w:r w:rsidRPr="005D3F76">
        <w:rPr>
          <w:rFonts w:cs="Times New Roman"/>
          <w:szCs w:val="24"/>
        </w:rPr>
        <w:fldChar w:fldCharType="end"/>
      </w:r>
      <w:r w:rsidRPr="005D3F76">
        <w:rPr>
          <w:rFonts w:cs="Times New Roman"/>
          <w:szCs w:val="24"/>
        </w:rPr>
        <w:t xml:space="preserve">. </w:t>
      </w:r>
    </w:p>
    <w:p w14:paraId="4CC2F622" w14:textId="77777777" w:rsidR="00B03557" w:rsidRPr="005D3F76" w:rsidRDefault="00B03557" w:rsidP="00DA365C">
      <w:pPr>
        <w:ind w:firstLine="720"/>
        <w:rPr>
          <w:rFonts w:cs="Times New Roman"/>
          <w:szCs w:val="24"/>
        </w:rPr>
      </w:pPr>
      <w:r w:rsidRPr="005D3F76">
        <w:rPr>
          <w:rFonts w:cs="Times New Roman"/>
          <w:szCs w:val="24"/>
        </w:rPr>
        <w:t xml:space="preserve">Another objection to public sector unions that commonly was voiced was that the decision-making authority was taken away from the representatives that had been put into office </w:t>
      </w:r>
      <w:r w:rsidRPr="005D3F76">
        <w:rPr>
          <w:rFonts w:cs="Times New Roman"/>
          <w:szCs w:val="24"/>
        </w:rPr>
        <w:lastRenderedPageBreak/>
        <w:t xml:space="preserve">and instead given to union leaders. To this argument it was concluded that democracy was compromised when the elected officials had to ‘bargain’ with union leaders over wages, benefits, and working conditions. This was something that politicians and other elected officials were not very fond of, which led to issues concerning power within communities, and in turn led to many cases of ‘bullying’ and ‘thuggery’ as described earlier. </w:t>
      </w:r>
    </w:p>
    <w:p w14:paraId="6E695A61" w14:textId="26712ACD" w:rsidR="00B03557" w:rsidRPr="005D3F76" w:rsidRDefault="00B03557" w:rsidP="00DA365C">
      <w:pPr>
        <w:rPr>
          <w:rFonts w:cs="Times New Roman"/>
          <w:szCs w:val="24"/>
        </w:rPr>
      </w:pPr>
      <w:r w:rsidRPr="005D3F76">
        <w:rPr>
          <w:rFonts w:cs="Times New Roman"/>
          <w:szCs w:val="24"/>
        </w:rPr>
        <w:tab/>
        <w:t>Because of the push-back from politicians and other entities within society, public sector unions began simply as voluntary associations that were ‘craft</w:t>
      </w:r>
      <w:r w:rsidRPr="005D3F76">
        <w:rPr>
          <w:rStyle w:val="EndnoteReference"/>
          <w:rFonts w:cs="Times New Roman"/>
          <w:szCs w:val="24"/>
        </w:rPr>
        <w:endnoteReference w:id="4"/>
      </w:r>
      <w:r w:rsidRPr="005D3F76">
        <w:rPr>
          <w:rFonts w:cs="Times New Roman"/>
          <w:szCs w:val="24"/>
        </w:rPr>
        <w:t xml:space="preserve">’ oriented and that tried to improve working conditions for their union members without too much attention drawn to themselves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w:t>
      </w:r>
      <w:r w:rsidRPr="005D3F76">
        <w:rPr>
          <w:rFonts w:cs="Times New Roman"/>
          <w:szCs w:val="24"/>
        </w:rPr>
        <w:fldChar w:fldCharType="end"/>
      </w:r>
      <w:r w:rsidRPr="005D3F76">
        <w:rPr>
          <w:rFonts w:cs="Times New Roman"/>
          <w:szCs w:val="24"/>
        </w:rPr>
        <w:t xml:space="preserve">. Concern by Presidents Theodore Roosevelt and William Howard Taft led them to admonish public sector unions, many considering their admonishments akin to ‘gag orders’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w:t>
      </w:r>
      <w:r w:rsidRPr="005D3F76">
        <w:rPr>
          <w:rFonts w:cs="Times New Roman"/>
          <w:szCs w:val="24"/>
        </w:rPr>
        <w:fldChar w:fldCharType="end"/>
      </w:r>
      <w:r w:rsidRPr="005D3F76">
        <w:rPr>
          <w:rFonts w:cs="Times New Roman"/>
          <w:szCs w:val="24"/>
        </w:rPr>
        <w:t xml:space="preserve">. In response to laws in Massachusetts that prohibited police officers from obtaining contributions for politicized organizations, Justice Oliver Wendell Homes went as far to write that “the petitioner may have a constitutional right to talk politics, but he has no constitutional right to be a policeman,” firefighter, teacher, or postal worker </w:t>
      </w:r>
      <w:r w:rsidRPr="005D3F76">
        <w:rPr>
          <w:rFonts w:cs="Times New Roman"/>
          <w:szCs w:val="24"/>
        </w:rPr>
        <w:fldChar w:fldCharType="begin"/>
      </w:r>
      <w:r w:rsidRPr="005D3F76">
        <w:rPr>
          <w:rFonts w:cs="Times New Roman"/>
          <w:szCs w:val="24"/>
        </w:rPr>
        <w:instrText xml:space="preserve"> ADDIN EN.CITE &lt;EndNote&gt;&lt;Cite&gt;&lt;Author&gt;Cole&lt;/Author&gt;&lt;Year&gt;1992&lt;/Year&gt;&lt;RecNum&gt;52&lt;/RecNum&gt;&lt;Pages&gt;676&lt;/Pages&gt;&lt;DisplayText&gt;(Cole, 1992, p. 676)&lt;/DisplayText&gt;&lt;record&gt;&lt;rec-number&gt;52&lt;/rec-number&gt;&lt;foreign-keys&gt;&lt;key app="EN" db-id="etwareaz8xpxz3et59b50d9vxrata9z2w2zt" timestamp="1453226073"&gt;52&lt;/key&gt;&lt;/foreign-keys&gt;&lt;ref-type name="Journal Article"&gt;17&lt;/ref-type&gt;&lt;contributors&gt;&lt;authors&gt;&lt;author&gt;David Cole&lt;/author&gt;&lt;/authors&gt;&lt;/contributors&gt;&lt;titles&gt;&lt;title&gt;Article: Beyond Unconstitutional Conditions: Charting Spheres of Neutrality in Government-Funded Speech, &lt;/title&gt;&lt;secondary-title&gt;New York University Law Review&lt;/secondary-title&gt;&lt;/titles&gt;&lt;periodical&gt;&lt;full-title&gt;New York University Law Review&lt;/full-title&gt;&lt;/periodical&gt;&lt;pages&gt;676-749&lt;/pages&gt;&lt;volume&gt;67&lt;/volume&gt;&lt;number&gt;675&lt;/number&gt;&lt;dates&gt;&lt;year&gt;1992&lt;/year&gt;&lt;/dates&gt;&lt;urls&gt;&lt;/urls&gt;&lt;/record&gt;&lt;/Cite&gt;&lt;/EndNote&gt;</w:instrText>
      </w:r>
      <w:r w:rsidRPr="005D3F76">
        <w:rPr>
          <w:rFonts w:cs="Times New Roman"/>
          <w:szCs w:val="24"/>
        </w:rPr>
        <w:fldChar w:fldCharType="separate"/>
      </w:r>
      <w:r w:rsidRPr="005D3F76">
        <w:rPr>
          <w:rFonts w:cs="Times New Roman"/>
          <w:noProof/>
          <w:szCs w:val="24"/>
        </w:rPr>
        <w:t>(Cole, 1992, p. 676)</w:t>
      </w:r>
      <w:r w:rsidRPr="005D3F76">
        <w:rPr>
          <w:rFonts w:cs="Times New Roman"/>
          <w:szCs w:val="24"/>
        </w:rPr>
        <w:fldChar w:fldCharType="end"/>
      </w:r>
      <w:r w:rsidRPr="005D3F76">
        <w:rPr>
          <w:rFonts w:cs="Times New Roman"/>
          <w:szCs w:val="24"/>
        </w:rPr>
        <w:t xml:space="preserve">. However, in 1912, the </w:t>
      </w:r>
      <w:r w:rsidRPr="005D3F76">
        <w:rPr>
          <w:rFonts w:cs="Times New Roman"/>
          <w:i/>
          <w:szCs w:val="24"/>
        </w:rPr>
        <w:t>Lloyd-La Follette Act</w:t>
      </w:r>
      <w:r w:rsidRPr="005D3F76">
        <w:rPr>
          <w:rFonts w:cs="Times New Roman"/>
          <w:szCs w:val="24"/>
        </w:rPr>
        <w:t xml:space="preserve"> overturned any executive orders pertaining to the abuse of public sector unions, giving rights to petition Congress to public sector unions, except in the case of striking which was strictly prohibited </w:t>
      </w:r>
      <w:r w:rsidRPr="005D3F76">
        <w:rPr>
          <w:rFonts w:cs="Times New Roman"/>
          <w:szCs w:val="24"/>
        </w:rPr>
        <w:fldChar w:fldCharType="begin"/>
      </w:r>
      <w:r w:rsidRPr="005D3F76">
        <w:rPr>
          <w:rFonts w:cs="Times New Roman"/>
          <w:szCs w:val="24"/>
        </w:rPr>
        <w:instrText xml:space="preserve"> ADDIN EN.CITE &lt;EndNote&gt;&lt;Cite&gt;&lt;Author&gt;Becker&lt;/Author&gt;&lt;Year&gt;1982&lt;/Year&gt;&lt;RecNum&gt;53&lt;/RecNum&gt;&lt;DisplayText&gt;(Becker, 1982)&lt;/DisplayText&gt;&lt;record&gt;&lt;rec-number&gt;53&lt;/rec-number&gt;&lt;foreign-keys&gt;&lt;key app="EN" db-id="etwareaz8xpxz3et59b50d9vxrata9z2w2zt" timestamp="1453226785"&gt;53&lt;/key&gt;&lt;/foreign-keys&gt;&lt;ref-type name="Report"&gt;27&lt;/ref-type&gt;&lt;contributors&gt;&lt;authors&gt;&lt;author&gt;Eugene H. Becker&lt;/author&gt;&lt;/authors&gt;&lt;/contributors&gt;&lt;titles&gt;&lt;title&gt;Analysis of work stoppages in the Feral sector, 1962-81&lt;/title&gt;&lt;/titles&gt;&lt;dates&gt;&lt;year&gt;1982&lt;/year&gt;&lt;/dates&gt;&lt;pub-location&gt;Washington D.C.&lt;/pub-location&gt;&lt;publisher&gt;United States Department of Labor Bureau of Labor Statistics&lt;/publisher&gt;&lt;urls&gt;&lt;related-urls&gt;&lt;url&gt;http://www.bls.gov/opub/mlr/1982/08/rpt2full.pdf&lt;/url&gt;&lt;/related-urls&gt;&lt;/urls&gt;&lt;/record&gt;&lt;/Cite&gt;&lt;/EndNote&gt;</w:instrText>
      </w:r>
      <w:r w:rsidRPr="005D3F76">
        <w:rPr>
          <w:rFonts w:cs="Times New Roman"/>
          <w:szCs w:val="24"/>
        </w:rPr>
        <w:fldChar w:fldCharType="separate"/>
      </w:r>
      <w:r w:rsidRPr="005D3F76">
        <w:rPr>
          <w:rFonts w:cs="Times New Roman"/>
          <w:noProof/>
          <w:szCs w:val="24"/>
        </w:rPr>
        <w:t>(Becker, 1982)</w:t>
      </w:r>
      <w:r w:rsidRPr="005D3F76">
        <w:rPr>
          <w:rFonts w:cs="Times New Roman"/>
          <w:szCs w:val="24"/>
        </w:rPr>
        <w:fldChar w:fldCharType="end"/>
      </w:r>
      <w:r w:rsidRPr="005D3F76">
        <w:rPr>
          <w:rFonts w:cs="Times New Roman"/>
          <w:szCs w:val="24"/>
        </w:rPr>
        <w:t xml:space="preserve">. [Ironically,] The </w:t>
      </w:r>
      <w:r w:rsidRPr="005D3F76">
        <w:rPr>
          <w:rFonts w:cs="Times New Roman"/>
          <w:i/>
          <w:szCs w:val="24"/>
        </w:rPr>
        <w:t>Lloyd-La Follette Act</w:t>
      </w:r>
      <w:r w:rsidRPr="005D3F76">
        <w:rPr>
          <w:rFonts w:cs="Times New Roman"/>
          <w:szCs w:val="24"/>
        </w:rPr>
        <w:t xml:space="preserve"> was named after Senator Robert La Follette of Wisconsin where progressives laid the charge for union empowerment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w:t>
      </w:r>
      <w:r w:rsidRPr="005D3F76">
        <w:rPr>
          <w:rFonts w:cs="Times New Roman"/>
          <w:szCs w:val="24"/>
        </w:rPr>
        <w:fldChar w:fldCharType="end"/>
      </w:r>
      <w:r w:rsidRPr="005D3F76">
        <w:rPr>
          <w:rFonts w:cs="Times New Roman"/>
          <w:szCs w:val="24"/>
        </w:rPr>
        <w:t xml:space="preserve">. The WEAC can trace its roots as far back as 1853, just five years after joining the Union. And as early as the 1950’s Governor Gaylord Nelson with fellow Wisconsin legislators pioneered the way for public sector unions through the introduction of the Public Employee Collective Bargaining Act in 1959. This was the first state laws giving teachers and other government workers the rights under state law for collective </w:t>
      </w:r>
      <w:r w:rsidRPr="005D3F76">
        <w:rPr>
          <w:rFonts w:cs="Times New Roman"/>
          <w:szCs w:val="24"/>
        </w:rPr>
        <w:lastRenderedPageBreak/>
        <w:t xml:space="preserve">bargaining. Ironically, as noted in chapter one, Wisconsin has led the way in most recent years for disbanding and disempowering public sector unions, a significant shift in less than a </w:t>
      </w:r>
      <w:r w:rsidR="00E341FA" w:rsidRPr="005D3F76">
        <w:rPr>
          <w:rFonts w:cs="Times New Roman"/>
          <w:szCs w:val="24"/>
        </w:rPr>
        <w:t>100-year</w:t>
      </w:r>
      <w:r w:rsidRPr="005D3F76">
        <w:rPr>
          <w:rFonts w:cs="Times New Roman"/>
          <w:szCs w:val="24"/>
        </w:rPr>
        <w:t xml:space="preserve"> time span.   </w:t>
      </w:r>
    </w:p>
    <w:p w14:paraId="5ABD27E2" w14:textId="77777777" w:rsidR="00B03557" w:rsidRPr="005D3F76" w:rsidRDefault="00B03557" w:rsidP="00DA365C">
      <w:pPr>
        <w:rPr>
          <w:rFonts w:cs="Times New Roman"/>
          <w:szCs w:val="24"/>
        </w:rPr>
      </w:pPr>
      <w:r w:rsidRPr="005D3F76">
        <w:rPr>
          <w:rFonts w:cs="Times New Roman"/>
          <w:szCs w:val="24"/>
        </w:rPr>
        <w:tab/>
        <w:t xml:space="preserve">According to Paul Moreno (2011), the “decisive episode in public sector unionism was the 1919 Boston police strike” of which “no public service better underscored the sovereign nature of government than the police” </w:t>
      </w:r>
      <w:r w:rsidRPr="005D3F76">
        <w:rPr>
          <w:rFonts w:cs="Times New Roman"/>
          <w:szCs w:val="24"/>
        </w:rPr>
        <w:fldChar w:fldCharType="begin"/>
      </w:r>
      <w:r w:rsidRPr="005D3F76">
        <w:rPr>
          <w:rFonts w:cs="Times New Roman"/>
          <w:szCs w:val="24"/>
        </w:rPr>
        <w:instrText xml:space="preserve"> ADDIN EN.CITE &lt;EndNote&gt;&lt;Cite ExcludeAuth="1" ExcludeYear="1"&gt;&lt;Author&gt;Moreno&lt;/Author&gt;&lt;Year&gt;2011&lt;/Year&gt;&lt;RecNum&gt;28&lt;/RecNum&gt;&lt;Pages&gt;5&lt;/Pages&gt;&lt;DisplayText&gt;(p. 5)&lt;/DisplayText&gt;&lt;record&gt;&lt;rec-number&gt;28&lt;/rec-number&gt;&lt;foreign-keys&gt;&lt;key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(p. 5)</w:t>
      </w:r>
      <w:r w:rsidRPr="005D3F76">
        <w:rPr>
          <w:rFonts w:cs="Times New Roman"/>
          <w:szCs w:val="24"/>
        </w:rPr>
        <w:fldChar w:fldCharType="end"/>
      </w:r>
      <w:r w:rsidRPr="005D3F76">
        <w:rPr>
          <w:rFonts w:cs="Times New Roman"/>
          <w:szCs w:val="24"/>
        </w:rPr>
        <w:t xml:space="preserve">. The Boston police strike of 1919 began over issues concerning pay, working conditions, and time on duty (some officers worked seven days a week, with one day off every two to three weeks) </w:t>
      </w:r>
      <w:r w:rsidRPr="005D3F76">
        <w:rPr>
          <w:rFonts w:cs="Times New Roman"/>
          <w:szCs w:val="24"/>
        </w:rPr>
        <w:fldChar w:fldCharType="begin"/>
      </w:r>
      <w:r w:rsidRPr="005D3F76">
        <w:rPr>
          <w:rFonts w:cs="Times New Roman"/>
          <w:szCs w:val="24"/>
        </w:rPr>
        <w:instrText xml:space="preserve"> ADDIN EN.CITE &lt;EndNote&gt;&lt;Cite&gt;&lt;Author&gt;Farmer&lt;/Author&gt;&lt;Year&gt;2011&lt;/Year&gt;&lt;RecNum&gt;54&lt;/RecNum&gt;&lt;DisplayText&gt;(Farmer, 2011)&lt;/DisplayText&gt;&lt;record&gt;&lt;rec-number&gt;54&lt;/rec-number&gt;&lt;foreign-keys&gt;&lt;key app="EN" db-id="etwareaz8xpxz3et59b50d9vxrata9z2w2zt" timestamp="1453227730"&gt;54&lt;/key&gt;&lt;/foreign-keys&gt;&lt;ref-type name="Web Page"&gt;12&lt;/ref-type&gt;&lt;contributors&gt;&lt;authors&gt;&lt;author&gt;Brian Farmer&lt;/author&gt;&lt;/authors&gt;&lt;secondary-authors&gt;&lt;author&gt;The New American That Freedom Shall Not Perish&lt;/author&gt;&lt;/secondary-authors&gt;&lt;/contributors&gt;&lt;titles&gt;&lt;title&gt;The Boston Police Strike of 1919&lt;/title&gt;&lt;/titles&gt;&lt;volume&gt;2016&lt;/volume&gt;&lt;number&gt;January&lt;/number&gt;&lt;dates&gt;&lt;year&gt;2011&lt;/year&gt;&lt;/dates&gt;&lt;publisher&gt;The New American That Freedom Shall Not Perish&lt;/publisher&gt;&lt;urls&gt;&lt;related-urls&gt;&lt;url&gt;http://www.thenewamerican.com/culture/history/item/4829-the-boston-police-strike-of-1919&lt;/url&gt;&lt;/related-urls&gt;&lt;/urls&gt;&lt;/record&gt;&lt;/Cite&gt;&lt;/EndNote&gt;</w:instrText>
      </w:r>
      <w:r w:rsidRPr="005D3F76">
        <w:rPr>
          <w:rFonts w:cs="Times New Roman"/>
          <w:szCs w:val="24"/>
        </w:rPr>
        <w:fldChar w:fldCharType="separate"/>
      </w:r>
      <w:r w:rsidRPr="005D3F76">
        <w:rPr>
          <w:rFonts w:cs="Times New Roman"/>
          <w:noProof/>
          <w:szCs w:val="24"/>
        </w:rPr>
        <w:t>(Farmer, 2011)</w:t>
      </w:r>
      <w:r w:rsidRPr="005D3F76">
        <w:rPr>
          <w:rFonts w:cs="Times New Roman"/>
          <w:szCs w:val="24"/>
        </w:rPr>
        <w:fldChar w:fldCharType="end"/>
      </w:r>
      <w:r w:rsidRPr="005D3F76">
        <w:rPr>
          <w:rFonts w:cs="Times New Roman"/>
          <w:szCs w:val="24"/>
        </w:rPr>
        <w:t xml:space="preserve">. Chaos ensued all over the city, with no police to answer calls for help. The Boston strike was reported all over the country as essentially a warning of what could happen when public servants were allowed to strike </w:t>
      </w:r>
      <w:r w:rsidRPr="005D3F76">
        <w:rPr>
          <w:rFonts w:cs="Times New Roman"/>
          <w:szCs w:val="24"/>
        </w:rPr>
        <w:fldChar w:fldCharType="begin"/>
      </w:r>
      <w:r w:rsidRPr="005D3F76">
        <w:rPr>
          <w:rFonts w:cs="Times New Roman"/>
          <w:szCs w:val="24"/>
        </w:rPr>
        <w:instrText xml:space="preserve"> ADDIN EN.CITE &lt;EndNote&gt;&lt;Cite&gt;&lt;Author&gt;Farmer&lt;/Author&gt;&lt;Year&gt;2011&lt;/Year&gt;&lt;RecNum&gt;54&lt;/RecNum&gt;&lt;DisplayText&gt;(Farmer, 2011)&lt;/DisplayText&gt;&lt;record&gt;&lt;rec-number&gt;54&lt;/rec-number&gt;&lt;foreign-keys&gt;&lt;key app="EN" db-id="etwareaz8xpxz3et59b50d9vxrata9z2w2zt" timestamp="1453227730"&gt;54&lt;/key&gt;&lt;/foreign-keys&gt;&lt;ref-type name="Web Page"&gt;12&lt;/ref-type&gt;&lt;contributors&gt;&lt;authors&gt;&lt;author&gt;Brian Farmer&lt;/author&gt;&lt;/authors&gt;&lt;secondary-authors&gt;&lt;author&gt;The New American That Freedom Shall Not Perish&lt;/author&gt;&lt;/secondary-authors&gt;&lt;/contributors&gt;&lt;titles&gt;&lt;title&gt;The Boston Police Strike of 1919&lt;/title&gt;&lt;/titles&gt;&lt;volume&gt;2016&lt;/volume&gt;&lt;number&gt;January&lt;/number&gt;&lt;dates&gt;&lt;year&gt;2011&lt;/year&gt;&lt;/dates&gt;&lt;publisher&gt;The New American That Freedom Shall Not Perish&lt;/publisher&gt;&lt;urls&gt;&lt;related-urls&gt;&lt;url&gt;http://www.thenewamerican.com/culture/history/item/4829-the-boston-police-strike-of-1919&lt;/url&gt;&lt;/related-urls&gt;&lt;/urls&gt;&lt;/record&gt;&lt;/Cite&gt;&lt;/EndNote&gt;</w:instrText>
      </w:r>
      <w:r w:rsidRPr="005D3F76">
        <w:rPr>
          <w:rFonts w:cs="Times New Roman"/>
          <w:szCs w:val="24"/>
        </w:rPr>
        <w:fldChar w:fldCharType="separate"/>
      </w:r>
      <w:r w:rsidRPr="005D3F76">
        <w:rPr>
          <w:rFonts w:cs="Times New Roman"/>
          <w:noProof/>
          <w:szCs w:val="24"/>
        </w:rPr>
        <w:t>(Farmer, 2011)</w:t>
      </w:r>
      <w:r w:rsidRPr="005D3F76">
        <w:rPr>
          <w:rFonts w:cs="Times New Roman"/>
          <w:szCs w:val="24"/>
        </w:rPr>
        <w:fldChar w:fldCharType="end"/>
      </w:r>
      <w:r w:rsidRPr="005D3F76">
        <w:rPr>
          <w:rFonts w:cs="Times New Roman"/>
          <w:szCs w:val="24"/>
        </w:rPr>
        <w:t xml:space="preserve">. Hence, what followed was the outcry from the public over the strike which severely damaged public sector unionization efforts, leading many to ask if allowing the Army and Navy to unionize might be next and what that would then lead to. </w:t>
      </w:r>
    </w:p>
    <w:p w14:paraId="25AFF1A1" w14:textId="77777777" w:rsidR="00B03557" w:rsidRPr="005D3F76" w:rsidRDefault="00B03557" w:rsidP="00DA365C">
      <w:pPr>
        <w:ind w:firstLine="720"/>
        <w:rPr>
          <w:rFonts w:cs="Times New Roman"/>
          <w:szCs w:val="24"/>
        </w:rPr>
      </w:pPr>
      <w:r w:rsidRPr="005D3F76">
        <w:rPr>
          <w:rFonts w:cs="Times New Roman"/>
          <w:szCs w:val="24"/>
        </w:rPr>
        <w:t xml:space="preserve">Because of this Boston strike of 1919, there would be no significant extension to federal employees the possibility of unionization until well into the 1960’s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w:t>
      </w:r>
      <w:r w:rsidRPr="005D3F76">
        <w:rPr>
          <w:rFonts w:cs="Times New Roman"/>
          <w:szCs w:val="24"/>
        </w:rPr>
        <w:fldChar w:fldCharType="end"/>
      </w:r>
      <w:r w:rsidRPr="005D3F76">
        <w:rPr>
          <w:rFonts w:cs="Times New Roman"/>
          <w:szCs w:val="24"/>
        </w:rPr>
        <w:t>. By the mid-1950’s, private sector unions were on the decrease as well, largely from business expansions into the right-to-work states throughout the Southern and Western states of the U.S., which were mostly hostile toward unions. The decline of private sector unions may also have been affected by the winding down of wartime efforts, as businesses became less likely to negotiate with workers outside of wartime need because of the availability of more workers who came back from the war, and the less wartime goods that needed to be manufactured.</w:t>
      </w:r>
    </w:p>
    <w:p w14:paraId="69D56FDF" w14:textId="3E77BEBA" w:rsidR="00B03557" w:rsidRPr="005D3F76" w:rsidRDefault="00B03557" w:rsidP="00DA365C">
      <w:pPr>
        <w:ind w:firstLine="720"/>
        <w:rPr>
          <w:rFonts w:cs="Times New Roman"/>
          <w:szCs w:val="24"/>
        </w:rPr>
      </w:pPr>
      <w:r w:rsidRPr="005D3F76">
        <w:rPr>
          <w:rFonts w:cs="Times New Roman"/>
          <w:szCs w:val="24"/>
        </w:rPr>
        <w:t xml:space="preserve">On the other hand, several factors more than likely led to the resurgence of public sector unions beginning in the 1960’s through the 1970’s. First, the </w:t>
      </w:r>
      <w:r w:rsidRPr="005D3F76">
        <w:rPr>
          <w:rFonts w:cs="Times New Roman"/>
          <w:i/>
          <w:szCs w:val="24"/>
        </w:rPr>
        <w:t>Taft-Hartley Act</w:t>
      </w:r>
      <w:r w:rsidRPr="005D3F76">
        <w:rPr>
          <w:rFonts w:cs="Times New Roman"/>
          <w:szCs w:val="24"/>
        </w:rPr>
        <w:t xml:space="preserve"> weakened private </w:t>
      </w:r>
      <w:r w:rsidRPr="005D3F76">
        <w:rPr>
          <w:rFonts w:cs="Times New Roman"/>
          <w:szCs w:val="24"/>
        </w:rPr>
        <w:lastRenderedPageBreak/>
        <w:t xml:space="preserve">sector unions; however, it strengthened public sector unions by “dispelling arguments favoring a literal definition of [union] membership” in all industries </w:t>
      </w:r>
      <w:r w:rsidRPr="005D3F76">
        <w:rPr>
          <w:rFonts w:cs="Times New Roman"/>
          <w:szCs w:val="24"/>
        </w:rPr>
        <w:fldChar w:fldCharType="begin"/>
      </w:r>
      <w:r w:rsidRPr="005D3F76">
        <w:rPr>
          <w:rFonts w:cs="Times New Roman"/>
          <w:szCs w:val="24"/>
        </w:rPr>
        <w:instrText xml:space="preserve"> ADDIN EN.CITE &lt;EndNote&gt;&lt;Cite&gt;&lt;Year&gt;1962&lt;/Year&gt;&lt;RecNum&gt;55&lt;/RecNum&gt;&lt;DisplayText&gt;(&amp;quot;Section 14 (b) of Taft-Hartley Act Held to Authorize State Court Enforcement of State Agency Shop Prohibiition,&amp;quot; 1962)&lt;/DisplayText&gt;&lt;record&gt;&lt;rec-number&gt;55&lt;/rec-number&gt;&lt;foreign-keys&gt;&lt;key app="EN" db-id="etwareaz8xpxz3et59b50d9vxrata9z2w2zt" timestamp="1453236671"&gt;55&lt;/key&gt;&lt;/foreign-keys&gt;&lt;ref-type name="Journal Article"&gt;17&lt;/ref-type&gt;&lt;contributors&gt;&lt;/contributors&gt;&lt;titles&gt;&lt;title&gt;Section 14 (b) of Taft-Hartley Act Held to Authorize State Court Enforcement of State Agency Shop Prohibiition&lt;/title&gt;&lt;secondary-title&gt;Columbia Law Review&lt;/secondary-title&gt;&lt;/titles&gt;&lt;periodical&gt;&lt;full-title&gt;Columbia Law Review&lt;/full-title&gt;&lt;/periodical&gt;&lt;pages&gt;538-543&lt;/pages&gt;&lt;volume&gt;62&lt;/volume&gt;&lt;number&gt;3&lt;/number&gt;&lt;dates&gt;&lt;year&gt;1962&lt;/year&gt;&lt;/dates&gt;&lt;urls&gt;&lt;/urls&gt;&lt;/record&gt;&lt;/Cite&gt;&lt;/EndNote&gt;</w:instrText>
      </w:r>
      <w:r w:rsidRPr="005D3F76">
        <w:rPr>
          <w:rFonts w:cs="Times New Roman"/>
          <w:szCs w:val="24"/>
        </w:rPr>
        <w:fldChar w:fldCharType="separate"/>
      </w:r>
      <w:r w:rsidRPr="005D3F76">
        <w:rPr>
          <w:rFonts w:cs="Times New Roman"/>
          <w:noProof/>
          <w:szCs w:val="24"/>
        </w:rPr>
        <w:t>("Section 14 (b) of Taft-Hartley Act Held to Authorize State Court Enforcement of State Agency Shop Prohibiition," 1962)</w:t>
      </w:r>
      <w:r w:rsidRPr="005D3F76">
        <w:rPr>
          <w:rFonts w:cs="Times New Roman"/>
          <w:szCs w:val="24"/>
        </w:rPr>
        <w:fldChar w:fldCharType="end"/>
      </w:r>
      <w:r w:rsidRPr="005D3F76">
        <w:rPr>
          <w:rFonts w:cs="Times New Roman"/>
          <w:szCs w:val="24"/>
        </w:rPr>
        <w:t xml:space="preserve">. This act essentially opened up the door for public sector unions to be protected as real entities within the U.S. bureaucratic system. Another factor in the resurgence of public sector unions may have come about due in part to the Supreme Court decisions in the early 1960’s that ordered states to reapportion help to more liberal parts of the states; parts that favored union activity over the more conservative ones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w:t>
      </w:r>
      <w:r w:rsidRPr="005D3F76">
        <w:rPr>
          <w:rFonts w:cs="Times New Roman"/>
          <w:szCs w:val="24"/>
        </w:rPr>
        <w:fldChar w:fldCharType="end"/>
      </w:r>
      <w:r w:rsidRPr="005D3F76">
        <w:rPr>
          <w:rFonts w:cs="Times New Roman"/>
          <w:szCs w:val="24"/>
        </w:rPr>
        <w:t xml:space="preserve">. </w:t>
      </w:r>
    </w:p>
    <w:p w14:paraId="3C31BBAB" w14:textId="472F70E4" w:rsidR="00B03557" w:rsidRPr="005D3F76" w:rsidRDefault="00B03557" w:rsidP="00DA365C">
      <w:pPr>
        <w:ind w:firstLine="720"/>
        <w:rPr>
          <w:rFonts w:cs="Times New Roman"/>
          <w:szCs w:val="24"/>
        </w:rPr>
      </w:pPr>
      <w:r w:rsidRPr="005D3F76">
        <w:rPr>
          <w:rFonts w:cs="Times New Roman"/>
          <w:szCs w:val="24"/>
        </w:rPr>
        <w:t xml:space="preserve">However, most important to public sector union growth is the growth rate of public sector workers themselves. In 1962 one out of every eight workers was employed within the public sector. By 1970 that number was one in five </w:t>
      </w:r>
      <w:r w:rsidRPr="005D3F76">
        <w:rPr>
          <w:rFonts w:cs="Times New Roman"/>
          <w:szCs w:val="24"/>
        </w:rPr>
        <w:fldChar w:fldCharType="begin"/>
      </w:r>
      <w:r w:rsidRPr="005D3F76">
        <w:rPr>
          <w:rFonts w:cs="Times New Roman"/>
          <w:szCs w:val="24"/>
        </w:rPr>
        <w:instrText xml:space="preserve"> ADDIN EN.CITE &lt;EndNote&gt;&lt;Cite&gt;&lt;Author&gt;Edwards&lt;/Author&gt;&lt;Year&gt;2010&lt;/Year&gt;&lt;RecNum&gt;56&lt;/RecNum&gt;&lt;DisplayText&gt;(C. Edwards, 2010)&lt;/DisplayText&gt;&lt;record&gt;&lt;rec-number&gt;56&lt;/rec-number&gt;&lt;foreign-keys&gt;&lt;key app="EN" db-id="etwareaz8xpxz3et59b50d9vxrata9z2w2zt" timestamp="1453237539"&gt;56&lt;/key&gt;&lt;/foreign-keys&gt;&lt;ref-type name="Report"&gt;27&lt;/ref-type&gt;&lt;contributors&gt;&lt;authors&gt;&lt;author&gt;Chris Edwards&lt;/author&gt;&lt;/authors&gt;&lt;secondary-authors&gt;&lt;author&gt;Cato Institute&lt;/author&gt;&lt;/secondary-authors&gt;&lt;/contributors&gt;&lt;titles&gt;&lt;title&gt;Public Sector Unions&lt;/title&gt;&lt;secondary-title&gt;Tax &amp;amp; Budget Bulletin&lt;/secondary-title&gt;&lt;/titles&gt;&lt;number&gt;61&lt;/number&gt;&lt;dates&gt;&lt;year&gt;2010&lt;/year&gt;&lt;/dates&gt;&lt;publisher&gt;Cato Institute&lt;/publisher&gt;&lt;urls&gt;&lt;/urls&gt;&lt;/record&gt;&lt;/Cite&gt;&lt;/EndNote&gt;</w:instrText>
      </w:r>
      <w:r w:rsidRPr="005D3F76">
        <w:rPr>
          <w:rFonts w:cs="Times New Roman"/>
          <w:szCs w:val="24"/>
        </w:rPr>
        <w:fldChar w:fldCharType="separate"/>
      </w:r>
      <w:r w:rsidRPr="005D3F76">
        <w:rPr>
          <w:rFonts w:cs="Times New Roman"/>
          <w:noProof/>
          <w:szCs w:val="24"/>
        </w:rPr>
        <w:t>(C. Edwards, 2010)</w:t>
      </w:r>
      <w:r w:rsidRPr="005D3F76">
        <w:rPr>
          <w:rFonts w:cs="Times New Roman"/>
          <w:szCs w:val="24"/>
        </w:rPr>
        <w:fldChar w:fldCharType="end"/>
      </w:r>
      <w:r w:rsidRPr="005D3F76">
        <w:rPr>
          <w:rFonts w:cs="Times New Roman"/>
          <w:szCs w:val="24"/>
        </w:rPr>
        <w:t xml:space="preserve">. As of 2009, public sector union membership across the board accounts for approximately 50% of public workers with a total of two-thirds of firefighters and educators belonging to unions </w:t>
      </w:r>
      <w:r w:rsidRPr="005D3F76">
        <w:rPr>
          <w:rFonts w:cs="Times New Roman"/>
          <w:szCs w:val="24"/>
        </w:rPr>
        <w:fldChar w:fldCharType="begin"/>
      </w:r>
      <w:r w:rsidRPr="005D3F76">
        <w:rPr>
          <w:rFonts w:cs="Times New Roman"/>
          <w:szCs w:val="24"/>
        </w:rPr>
        <w:instrText xml:space="preserve"> ADDIN EN.CITE &lt;EndNote&gt;&lt;Cite&gt;&lt;Author&gt;Edwards&lt;/Author&gt;&lt;Year&gt;2010&lt;/Year&gt;&lt;RecNum&gt;56&lt;/RecNum&gt;&lt;DisplayText&gt;(C. Edwards, 2010)&lt;/DisplayText&gt;&lt;record&gt;&lt;rec-number&gt;56&lt;/rec-number&gt;&lt;foreign-keys&gt;&lt;key app="EN" db-id="etwareaz8xpxz3et59b50d9vxrata9z2w2zt" timestamp="1453237539"&gt;56&lt;/key&gt;&lt;/foreign-keys&gt;&lt;ref-type name="Report"&gt;27&lt;/ref-type&gt;&lt;contributors&gt;&lt;authors&gt;&lt;author&gt;Chris Edwards&lt;/author&gt;&lt;/authors&gt;&lt;secondary-authors&gt;&lt;author&gt;Cato Institute&lt;/author&gt;&lt;/secondary-authors&gt;&lt;/contributors&gt;&lt;titles&gt;&lt;title&gt;Public Sector Unions&lt;/title&gt;&lt;secondary-title&gt;Tax &amp;amp; Budget Bulletin&lt;/secondary-title&gt;&lt;/titles&gt;&lt;number&gt;61&lt;/number&gt;&lt;dates&gt;&lt;year&gt;2010&lt;/year&gt;&lt;/dates&gt;&lt;publisher&gt;Cato Institute&lt;/publisher&gt;&lt;urls&gt;&lt;/urls&gt;&lt;/record&gt;&lt;/Cite&gt;&lt;/EndNote&gt;</w:instrText>
      </w:r>
      <w:r w:rsidRPr="005D3F76">
        <w:rPr>
          <w:rFonts w:cs="Times New Roman"/>
          <w:szCs w:val="24"/>
        </w:rPr>
        <w:fldChar w:fldCharType="separate"/>
      </w:r>
      <w:r w:rsidRPr="005D3F76">
        <w:rPr>
          <w:rFonts w:cs="Times New Roman"/>
          <w:noProof/>
          <w:szCs w:val="24"/>
        </w:rPr>
        <w:t>(C. Edwards, 2010)</w:t>
      </w:r>
      <w:r w:rsidRPr="005D3F76">
        <w:rPr>
          <w:rFonts w:cs="Times New Roman"/>
          <w:szCs w:val="24"/>
        </w:rPr>
        <w:fldChar w:fldCharType="end"/>
      </w:r>
      <w:r w:rsidRPr="005D3F76">
        <w:rPr>
          <w:rFonts w:cs="Times New Roman"/>
          <w:szCs w:val="24"/>
        </w:rPr>
        <w:t xml:space="preserve">.    </w:t>
      </w:r>
    </w:p>
    <w:p w14:paraId="5AF95A0C" w14:textId="77777777" w:rsidR="00B03557" w:rsidRPr="005D3F76" w:rsidRDefault="00B03557" w:rsidP="00DA365C">
      <w:pPr>
        <w:rPr>
          <w:rFonts w:cs="Times New Roman"/>
          <w:szCs w:val="24"/>
        </w:rPr>
      </w:pPr>
      <w:r w:rsidRPr="005D3F76">
        <w:rPr>
          <w:rFonts w:cs="Times New Roman"/>
          <w:szCs w:val="24"/>
        </w:rPr>
        <w:tab/>
        <w:t xml:space="preserve">  Further, in 1962, President Robert Kennedy signed Executive Order 10988 which officially allowed public sector unions to be organized and even bargain collectively but did not grant them the right to bargain over wages which was still under Congress’s control </w:t>
      </w:r>
      <w:r w:rsidRPr="005D3F76">
        <w:rPr>
          <w:rFonts w:cs="Times New Roman"/>
          <w:szCs w:val="24"/>
        </w:rPr>
        <w:fldChar w:fldCharType="begin"/>
      </w:r>
      <w:r w:rsidRPr="005D3F76">
        <w:rPr>
          <w:rFonts w:cs="Times New Roman"/>
          <w:szCs w:val="24"/>
        </w:rPr>
        <w:instrText xml:space="preserve"> ADDIN EN.CITE &lt;EndNote&gt;&lt;Cite&gt;&lt;Author&gt;Woolley&lt;/Author&gt;&lt;Year&gt;1962&lt;/Year&gt;&lt;RecNum&gt;57&lt;/RecNum&gt;&lt;DisplayText&gt;(Woolley &amp;amp; Peters, 1962)&lt;/DisplayText&gt;&lt;record&gt;&lt;rec-number&gt;57&lt;/rec-number&gt;&lt;foreign-keys&gt;&lt;key app="EN" db-id="etwareaz8xpxz3et59b50d9vxrata9z2w2zt" timestamp="1453253755"&gt;57&lt;/key&gt;&lt;/foreign-keys&gt;&lt;ref-type name="Web Page"&gt;12&lt;/ref-type&gt;&lt;contributors&gt;&lt;authors&gt;&lt;author&gt;John Woolley&lt;/author&gt;&lt;author&gt;Gerhard Peters&lt;/author&gt;&lt;/authors&gt;&lt;secondary-authors&gt;&lt;author&gt;The American Presidency Project&lt;/author&gt;&lt;/secondary-authors&gt;&lt;/contributors&gt;&lt;titles&gt;&lt;title&gt;John F. Kennedy XXXV President of the United States: 1961-1963 Executive Order 10988-Employee-Management Cooperation in the Federal Service&lt;/title&gt;&lt;/titles&gt;&lt;volume&gt;2016&lt;/volume&gt;&lt;number&gt;January&lt;/number&gt;&lt;dates&gt;&lt;year&gt;1962&lt;/year&gt;&lt;/dates&gt;&lt;urls&gt;&lt;related-urls&gt;&lt;url&gt;http://www.presidency.ucsb.edu/ws/index.php?pid=58926&lt;/url&gt;&lt;/related-urls&gt;&lt;/urls&gt;&lt;/record&gt;&lt;/Cite&gt;&lt;/EndNote&gt;</w:instrText>
      </w:r>
      <w:r w:rsidRPr="005D3F76">
        <w:rPr>
          <w:rFonts w:cs="Times New Roman"/>
          <w:szCs w:val="24"/>
        </w:rPr>
        <w:fldChar w:fldCharType="separate"/>
      </w:r>
      <w:r w:rsidRPr="005D3F76">
        <w:rPr>
          <w:rFonts w:cs="Times New Roman"/>
          <w:noProof/>
          <w:szCs w:val="24"/>
        </w:rPr>
        <w:t>(Woolley &amp; Peters, 1962)</w:t>
      </w:r>
      <w:r w:rsidRPr="005D3F76">
        <w:rPr>
          <w:rFonts w:cs="Times New Roman"/>
          <w:szCs w:val="24"/>
        </w:rPr>
        <w:fldChar w:fldCharType="end"/>
      </w:r>
      <w:r w:rsidRPr="005D3F76">
        <w:rPr>
          <w:rFonts w:cs="Times New Roman"/>
          <w:szCs w:val="24"/>
        </w:rPr>
        <w:t xml:space="preserve">. The inability to bargain over wages would be especially troublesome to teacher unions going forward. This order would be later strengthened by President Richard Nixon as a statute in the </w:t>
      </w:r>
      <w:r w:rsidRPr="005D3F76">
        <w:rPr>
          <w:rFonts w:cs="Times New Roman"/>
          <w:i/>
          <w:szCs w:val="24"/>
        </w:rPr>
        <w:t>Civil Service Reform Act</w:t>
      </w:r>
      <w:r w:rsidRPr="005D3F76">
        <w:rPr>
          <w:rFonts w:cs="Times New Roman"/>
          <w:szCs w:val="24"/>
        </w:rPr>
        <w:t xml:space="preserve"> of 1978 </w:t>
      </w:r>
      <w:r w:rsidRPr="005D3F76">
        <w:rPr>
          <w:rFonts w:cs="Times New Roman"/>
          <w:szCs w:val="24"/>
        </w:rPr>
        <w:fldChar w:fldCharType="begin"/>
      </w:r>
      <w:r w:rsidRPr="005D3F76">
        <w:rPr>
          <w:rFonts w:cs="Times New Roman"/>
          <w:szCs w:val="24"/>
        </w:rPr>
        <w:instrText xml:space="preserve"> ADDIN EN.CITE &lt;EndNote&gt;&lt;Cite&gt;&lt;Author&gt;Woolley&lt;/Author&gt;&lt;Year&gt;1962&lt;/Year&gt;&lt;RecNum&gt;57&lt;/RecNum&gt;&lt;DisplayText&gt;(Woolley &amp;amp; Peters, 1962)&lt;/DisplayText&gt;&lt;record&gt;&lt;rec-number&gt;57&lt;/rec-number&gt;&lt;foreign-keys&gt;&lt;key app="EN" db-id="etwareaz8xpxz3et59b50d9vxrata9z2w2zt" timestamp="1453253755"&gt;57&lt;/key&gt;&lt;/foreign-keys&gt;&lt;ref-type name="Web Page"&gt;12&lt;/ref-type&gt;&lt;contributors&gt;&lt;authors&gt;&lt;author&gt;John Woolley&lt;/author&gt;&lt;author&gt;Gerhard Peters&lt;/author&gt;&lt;/authors&gt;&lt;secondary-authors&gt;&lt;author&gt;The American Presidency Project&lt;/author&gt;&lt;/secondary-authors&gt;&lt;/contributors&gt;&lt;titles&gt;&lt;title&gt;John F. Kennedy XXXV President of the United States: 1961-1963 Executive Order 10988-Employee-Management Cooperation in the Federal Service&lt;/title&gt;&lt;/titles&gt;&lt;volume&gt;2016&lt;/volume&gt;&lt;number&gt;January&lt;/number&gt;&lt;dates&gt;&lt;year&gt;1962&lt;/year&gt;&lt;/dates&gt;&lt;urls&gt;&lt;related-urls&gt;&lt;url&gt;http://www.presidency.ucsb.edu/ws/index.php?pid=58926&lt;/url&gt;&lt;/related-urls&gt;&lt;/urls&gt;&lt;/record&gt;&lt;/Cite&gt;&lt;/EndNote&gt;</w:instrText>
      </w:r>
      <w:r w:rsidRPr="005D3F76">
        <w:rPr>
          <w:rFonts w:cs="Times New Roman"/>
          <w:szCs w:val="24"/>
        </w:rPr>
        <w:fldChar w:fldCharType="separate"/>
      </w:r>
      <w:r w:rsidRPr="005D3F76">
        <w:rPr>
          <w:rFonts w:cs="Times New Roman"/>
          <w:noProof/>
          <w:szCs w:val="24"/>
        </w:rPr>
        <w:t>(Woolley &amp; Peters, 1962)</w:t>
      </w:r>
      <w:r w:rsidRPr="005D3F76">
        <w:rPr>
          <w:rFonts w:cs="Times New Roman"/>
          <w:szCs w:val="24"/>
        </w:rPr>
        <w:fldChar w:fldCharType="end"/>
      </w:r>
      <w:r w:rsidRPr="005D3F76">
        <w:rPr>
          <w:rFonts w:cs="Times New Roman"/>
          <w:szCs w:val="24"/>
        </w:rPr>
        <w:t xml:space="preserve">. The Civil Service Reform Act of 1978 created three new organizations within the federal government that deals with public sector employees: The Office of Personal Management (OPM), The Merit Systems Protection Board (MSPB), and The Federal Labor Regulations Authority (FLRA). These three organizations in conjunction with the laws and policies set forth by the Act itself created a more </w:t>
      </w:r>
      <w:r w:rsidRPr="005D3F76">
        <w:rPr>
          <w:rFonts w:cs="Times New Roman"/>
          <w:szCs w:val="24"/>
        </w:rPr>
        <w:lastRenderedPageBreak/>
        <w:t>equitable system for public employees. Some of the most significant contributions include: increases in public employee salaries, bringing back the merit system for government positions, making it possible for federal employees to report legislative abuse of politics or inefficiency in governmental bodies with no repercussions to the person ‘whistleblowing,’ and finally it provides collective bargaining protection for public employees. However, there were several bumps in the way for public sector unions.</w:t>
      </w:r>
    </w:p>
    <w:p w14:paraId="2B0070C7" w14:textId="29850647" w:rsidR="00B03557" w:rsidRPr="005D3F76" w:rsidRDefault="00B03557" w:rsidP="00DA365C">
      <w:pPr>
        <w:rPr>
          <w:rFonts w:cs="Times New Roman"/>
          <w:szCs w:val="24"/>
        </w:rPr>
      </w:pPr>
      <w:r w:rsidRPr="005D3F76">
        <w:rPr>
          <w:rFonts w:cs="Times New Roman"/>
          <w:szCs w:val="24"/>
        </w:rPr>
        <w:tab/>
        <w:t xml:space="preserve">The </w:t>
      </w:r>
      <w:r w:rsidRPr="005D3F76">
        <w:rPr>
          <w:rFonts w:cs="Times New Roman"/>
          <w:i/>
          <w:szCs w:val="24"/>
        </w:rPr>
        <w:t>Wagner Act</w:t>
      </w:r>
      <w:r w:rsidRPr="005D3F76">
        <w:rPr>
          <w:rFonts w:cs="Times New Roman"/>
          <w:szCs w:val="24"/>
        </w:rPr>
        <w:t xml:space="preserve">, which had largely protected private sector unions throughout the 1930’s with the hope of creating peaceful coexistence for employees and employers in the U.S., had the opposite effect, causing more strikes then were ever seen before in the private sector </w:t>
      </w:r>
      <w:r w:rsidRPr="005D3F76">
        <w:rPr>
          <w:rFonts w:cs="Times New Roman"/>
          <w:szCs w:val="24"/>
        </w:rPr>
        <w:fldChar w:fldCharType="begin"/>
      </w:r>
      <w:r w:rsidRPr="005D3F76">
        <w:rPr>
          <w:rFonts w:cs="Times New Roman"/>
          <w:szCs w:val="24"/>
        </w:rPr>
        <w:instrText xml:space="preserve"> ADDIN EN.CITE &lt;EndNote&gt;&lt;Cite&gt;&lt;Author&gt;Klare&lt;/Author&gt;&lt;Year&gt;1977-1978&lt;/Year&gt;&lt;RecNum&gt;58&lt;/RecNum&gt;&lt;DisplayText&gt;(Klare, 1977-1978)&lt;/DisplayText&gt;&lt;record&gt;&lt;rec-number&gt;58&lt;/rec-number&gt;&lt;foreign-keys&gt;&lt;key app="EN" db-id="etwareaz8xpxz3et59b50d9vxrata9z2w2zt" timestamp="1453566262"&gt;58&lt;/key&gt;&lt;/foreign-keys&gt;&lt;ref-type name="Journal Article"&gt;17&lt;/ref-type&gt;&lt;contributors&gt;&lt;authors&gt;&lt;author&gt;Karl E Klare&lt;/author&gt;&lt;/authors&gt;&lt;/contributors&gt;&lt;titles&gt;&lt;title&gt;Judicial Deradicalization of the Wagner Act and the Origins of Modern Legal Consciousness, 1937-1941&lt;/title&gt;&lt;secondary-title&gt;Minnesota Law Review&lt;/secondary-title&gt;&lt;/titles&gt;&lt;periodical&gt;&lt;full-title&gt;Minnesota Law Review&lt;/full-title&gt;&lt;/periodical&gt;&lt;volume&gt;62&lt;/volume&gt;&lt;number&gt;265&lt;/number&gt;&lt;dates&gt;&lt;year&gt;1977-1978&lt;/year&gt;&lt;/dates&gt;&lt;urls&gt;&lt;/urls&gt;&lt;/record&gt;&lt;/Cite&gt;&lt;/EndNote&gt;</w:instrText>
      </w:r>
      <w:r w:rsidRPr="005D3F76">
        <w:rPr>
          <w:rFonts w:cs="Times New Roman"/>
          <w:szCs w:val="24"/>
        </w:rPr>
        <w:fldChar w:fldCharType="separate"/>
      </w:r>
      <w:r w:rsidRPr="005D3F76">
        <w:rPr>
          <w:rFonts w:cs="Times New Roman"/>
          <w:noProof/>
          <w:szCs w:val="24"/>
        </w:rPr>
        <w:t>(Klare, 1977-1978)</w:t>
      </w:r>
      <w:r w:rsidRPr="005D3F76">
        <w:rPr>
          <w:rFonts w:cs="Times New Roman"/>
          <w:szCs w:val="24"/>
        </w:rPr>
        <w:fldChar w:fldCharType="end"/>
      </w:r>
      <w:r w:rsidRPr="005D3F76">
        <w:rPr>
          <w:rFonts w:cs="Times New Roman"/>
          <w:szCs w:val="24"/>
        </w:rPr>
        <w:t xml:space="preserve">. The public sector would be no different, especially throughout the greater part of the 1970’s. Unprecedented strikes by “teachers, garbage collectors, postal workers and others became common in the late 1960’s and 1970’s, despite the fact that every state prohibited strikes by </w:t>
      </w:r>
      <w:r w:rsidRPr="005D3F76">
        <w:rPr>
          <w:rFonts w:cs="Times New Roman"/>
          <w:i/>
          <w:szCs w:val="24"/>
        </w:rPr>
        <w:t>public</w:t>
      </w:r>
      <w:r w:rsidRPr="005D3F76">
        <w:rPr>
          <w:rFonts w:cs="Times New Roman"/>
          <w:szCs w:val="24"/>
        </w:rPr>
        <w:t xml:space="preserve"> employees”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&lt;EndNote&gt;&lt;Cite&gt;&lt;Author&gt;Moreno&lt;/Author&gt;&lt;Year&gt;2011&lt;/Year&gt;&lt;RecNum&gt;28&lt;/RecNum&gt;&lt;Pages&gt;6&lt;/Pages&gt;&lt;DisplayText&gt;(Moreno, 2011, p. 6)&lt;/DisplayText&gt;&lt;record&gt;&lt;rec-number&gt;28&lt;/rec-number&gt;&lt;foreign-keys&gt;&lt;key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 p. 6)</w:t>
      </w:r>
      <w:r w:rsidRPr="005D3F76">
        <w:rPr>
          <w:rFonts w:cs="Times New Roman"/>
          <w:szCs w:val="24"/>
        </w:rPr>
        <w:fldChar w:fldCharType="end"/>
      </w:r>
      <w:r w:rsidRPr="005D3F76">
        <w:rPr>
          <w:rFonts w:cs="Times New Roman"/>
          <w:szCs w:val="24"/>
        </w:rPr>
        <w:t xml:space="preserve">. It was during the late 1970’s that the American Federation of State County and Municipal Employees, (AFSCME) pushed for greater control for public sector unions/employees though the </w:t>
      </w:r>
      <w:r w:rsidRPr="005D3F76">
        <w:rPr>
          <w:rFonts w:cs="Times New Roman"/>
          <w:i/>
          <w:szCs w:val="24"/>
        </w:rPr>
        <w:t>National Public Employment Relations Law</w:t>
      </w:r>
      <w:r w:rsidRPr="005D3F76">
        <w:rPr>
          <w:rFonts w:cs="Times New Roman"/>
          <w:szCs w:val="24"/>
        </w:rPr>
        <w:t xml:space="preserve"> (a </w:t>
      </w:r>
      <w:r w:rsidRPr="005D3F76">
        <w:rPr>
          <w:rFonts w:cs="Times New Roman"/>
          <w:i/>
          <w:szCs w:val="24"/>
        </w:rPr>
        <w:t>Wager Act</w:t>
      </w:r>
      <w:r w:rsidRPr="005D3F76">
        <w:rPr>
          <w:rFonts w:cs="Times New Roman"/>
          <w:szCs w:val="24"/>
        </w:rPr>
        <w:t xml:space="preserve"> for public employee’s) </w:t>
      </w:r>
      <w:r w:rsidRPr="005D3F76">
        <w:rPr>
          <w:rFonts w:cs="Times New Roman"/>
          <w:szCs w:val="24"/>
        </w:rPr>
        <w:fldChar w:fldCharType="begin"/>
      </w:r>
      <w:r w:rsidRPr="005D3F76">
        <w:rPr>
          <w:rFonts w:cs="Times New Roman"/>
          <w:szCs w:val="24"/>
        </w:rPr>
        <w:instrText xml:space="preserve"> ADDIN EN.CITE &lt;EndNote&gt;&lt;Cite&gt;&lt;Author&gt;McCartin&lt;/Author&gt;&lt;Year&gt;2008&lt;/Year&gt;&lt;RecNum&gt;59&lt;/RecNum&gt;&lt;DisplayText&gt;(McCartin, 2008)&lt;/DisplayText&gt;&lt;record&gt;&lt;rec-number&gt;59&lt;/rec-number&gt;&lt;foreign-keys&gt;&lt;key app="EN" db-id="etwareaz8xpxz3et59b50d9vxrata9z2w2zt" timestamp="1453566984"&gt;59&lt;/key&gt;&lt;/foreign-keys&gt;&lt;ref-type name="Journal Article"&gt;17&lt;/ref-type&gt;&lt;contributors&gt;&lt;authors&gt;&lt;author&gt;Joseph A McCartin&lt;/author&gt;&lt;/authors&gt;&lt;/contributors&gt;&lt;titles&gt;&lt;title&gt;&amp;quot;A Wagner Act for Public Employees:&amp;quot; Labor&amp;apos;s Deferred Dream and the Rise of Conservatism, 1970-1976&lt;/title&gt;&lt;secondary-title&gt;The Journal of American History&lt;/secondary-title&gt;&lt;/titles&gt;&lt;periodical&gt;&lt;full-title&gt;The Journal of American History&lt;/full-title&gt;&lt;/periodical&gt;&lt;volume&gt;95&lt;/volume&gt;&lt;number&gt;1&lt;/number&gt;&lt;dates&gt;&lt;year&gt;2008&lt;/year&gt;&lt;/dates&gt;&lt;urls&gt;&lt;/urls&gt;&lt;/record&gt;&lt;/Cite&gt;&lt;/EndNote&gt;</w:instrText>
      </w:r>
      <w:r w:rsidRPr="005D3F76">
        <w:rPr>
          <w:rFonts w:cs="Times New Roman"/>
          <w:szCs w:val="24"/>
        </w:rPr>
        <w:fldChar w:fldCharType="separate"/>
      </w:r>
      <w:r w:rsidRPr="005D3F76">
        <w:rPr>
          <w:rFonts w:cs="Times New Roman"/>
          <w:noProof/>
          <w:szCs w:val="24"/>
        </w:rPr>
        <w:t>(McCartin, 2008)</w:t>
      </w:r>
      <w:r w:rsidRPr="005D3F76">
        <w:rPr>
          <w:rFonts w:cs="Times New Roman"/>
          <w:szCs w:val="24"/>
        </w:rPr>
        <w:fldChar w:fldCharType="end"/>
      </w:r>
      <w:r w:rsidRPr="005D3F76">
        <w:rPr>
          <w:rFonts w:cs="Times New Roman"/>
          <w:szCs w:val="24"/>
        </w:rPr>
        <w:t>. The AFSCME knew that the Supreme Court was willing to extend the Commerce Clause of the U.S.</w:t>
      </w:r>
      <w:r w:rsidRPr="005D3F76">
        <w:rPr>
          <w:rStyle w:val="EndnoteReference"/>
          <w:rFonts w:cs="Times New Roman"/>
          <w:szCs w:val="24"/>
        </w:rPr>
        <w:endnoteReference w:id="5"/>
      </w:r>
      <w:r w:rsidRPr="005D3F76">
        <w:rPr>
          <w:rFonts w:cs="Times New Roman"/>
          <w:szCs w:val="24"/>
        </w:rPr>
        <w:t xml:space="preserve"> to issues that seemed to stand outside the normal conventions of its power discretion, such as the </w:t>
      </w:r>
      <w:r w:rsidRPr="005D3F76">
        <w:rPr>
          <w:rFonts w:cs="Times New Roman"/>
          <w:i/>
          <w:szCs w:val="24"/>
        </w:rPr>
        <w:t>Civil Rights Act</w:t>
      </w:r>
      <w:r w:rsidRPr="005D3F76">
        <w:rPr>
          <w:rFonts w:cs="Times New Roman"/>
          <w:szCs w:val="24"/>
        </w:rPr>
        <w:t xml:space="preserve"> of 1965 or the </w:t>
      </w:r>
      <w:r w:rsidRPr="005D3F76">
        <w:rPr>
          <w:rFonts w:cs="Times New Roman"/>
          <w:i/>
          <w:szCs w:val="24"/>
        </w:rPr>
        <w:t>Fair Labor Standards Act of 1968</w:t>
      </w:r>
      <w:r w:rsidRPr="005D3F76">
        <w:rPr>
          <w:rFonts w:cs="Times New Roman"/>
          <w:szCs w:val="24"/>
        </w:rPr>
        <w:t xml:space="preserve">; public sector unionization would be no different </w:t>
      </w:r>
      <w:r w:rsidRPr="005D3F76">
        <w:rPr>
          <w:rFonts w:cs="Times New Roman"/>
          <w:szCs w:val="24"/>
        </w:rPr>
        <w:fldChar w:fldCharType="begin"/>
      </w:r>
      <w:r w:rsidRPr="005D3F76">
        <w:rPr>
          <w:rFonts w:cs="Times New Roman"/>
          <w:szCs w:val="24"/>
        </w:rPr>
        <w:instrText xml:space="preserve"> ADDIN EN.CITE &lt;EndNote&gt;&lt;Cite&gt;&lt;Author&gt;Lawnix&lt;/Author&gt;&lt;Year&gt;2008-2015&lt;/Year&gt;&lt;RecNum&gt;60&lt;/RecNum&gt;&lt;DisplayText&gt;(Lawnix, 2008-2015)&lt;/DisplayText&gt;&lt;record&gt;&lt;rec-number&gt;60&lt;/rec-number&gt;&lt;foreign-keys&gt;&lt;key app="EN" db-id="etwareaz8xpxz3et59b50d9vxrata9z2w2zt" timestamp="1453567345"&gt;60&lt;/key&gt;&lt;/foreign-keys&gt;&lt;ref-type name="Web Page"&gt;12&lt;/ref-type&gt;&lt;contributors&gt;&lt;authors&gt;&lt;author&gt;Lawnix,&lt;/author&gt;&lt;/authors&gt;&lt;/contributors&gt;&lt;titles&gt;&lt;title&gt;Commerce Clause--The Commerce Power of Congress&lt;/title&gt;&lt;/titles&gt;&lt;volume&gt;2016&lt;/volume&gt;&lt;number&gt;January&lt;/number&gt;&lt;dates&gt;&lt;year&gt;2008-2015&lt;/year&gt;&lt;/dates&gt;&lt;publisher&gt;Lawnix&lt;/publisher&gt;&lt;urls&gt;&lt;related-urls&gt;&lt;url&gt;http://www.lawnix.com/cases/commerce-clause.html&lt;/url&gt;&lt;/related-urls&gt;&lt;/urls&gt;&lt;/record&gt;&lt;/Cite&gt;&lt;/EndNote&gt;</w:instrText>
      </w:r>
      <w:r w:rsidRPr="005D3F76">
        <w:rPr>
          <w:rFonts w:cs="Times New Roman"/>
          <w:szCs w:val="24"/>
        </w:rPr>
        <w:fldChar w:fldCharType="separate"/>
      </w:r>
      <w:r w:rsidRPr="005D3F76">
        <w:rPr>
          <w:rFonts w:cs="Times New Roman"/>
          <w:noProof/>
          <w:szCs w:val="24"/>
        </w:rPr>
        <w:t>(Lawnix, 2008-2015)</w:t>
      </w:r>
      <w:r w:rsidRPr="005D3F76">
        <w:rPr>
          <w:rFonts w:cs="Times New Roman"/>
          <w:szCs w:val="24"/>
        </w:rPr>
        <w:fldChar w:fldCharType="end"/>
      </w:r>
      <w:r w:rsidRPr="005D3F76">
        <w:rPr>
          <w:rFonts w:cs="Times New Roman"/>
          <w:szCs w:val="24"/>
        </w:rPr>
        <w:t xml:space="preserve">. Further, the </w:t>
      </w:r>
      <w:r w:rsidRPr="005D3F76">
        <w:rPr>
          <w:rFonts w:cs="Times New Roman"/>
          <w:i/>
          <w:szCs w:val="24"/>
        </w:rPr>
        <w:t>Watergate Crisis</w:t>
      </w:r>
      <w:r w:rsidRPr="005D3F76">
        <w:rPr>
          <w:rStyle w:val="EndnoteReference"/>
          <w:rFonts w:cs="Times New Roman"/>
          <w:i/>
          <w:szCs w:val="24"/>
        </w:rPr>
        <w:endnoteReference w:id="6"/>
      </w:r>
      <w:r w:rsidRPr="005D3F76">
        <w:rPr>
          <w:rFonts w:cs="Times New Roman"/>
          <w:i/>
          <w:szCs w:val="24"/>
        </w:rPr>
        <w:t xml:space="preserve"> </w:t>
      </w:r>
      <w:r w:rsidRPr="005D3F76">
        <w:rPr>
          <w:rFonts w:cs="Times New Roman"/>
          <w:szCs w:val="24"/>
        </w:rPr>
        <w:t xml:space="preserve"> under President Richard Nixon helped by pushing a flood of Democrats into office; Democrats are generally sympathetic to most unionization within the labor force, at least during the majority of the 20</w:t>
      </w:r>
      <w:r w:rsidRPr="005D3F76">
        <w:rPr>
          <w:rFonts w:cs="Times New Roman"/>
          <w:szCs w:val="24"/>
          <w:vertAlign w:val="superscript"/>
        </w:rPr>
        <w:t>th</w:t>
      </w:r>
      <w:r w:rsidRPr="005D3F76">
        <w:rPr>
          <w:rFonts w:cs="Times New Roman"/>
          <w:szCs w:val="24"/>
        </w:rPr>
        <w:t xml:space="preserve"> century. </w:t>
      </w:r>
    </w:p>
    <w:p w14:paraId="4AF343C8" w14:textId="77777777" w:rsidR="00B03557" w:rsidRPr="005D3F76" w:rsidRDefault="00B03557" w:rsidP="00DA365C">
      <w:pPr>
        <w:rPr>
          <w:rFonts w:cs="Times New Roman"/>
          <w:szCs w:val="24"/>
        </w:rPr>
      </w:pPr>
      <w:r w:rsidRPr="005D3F76">
        <w:rPr>
          <w:rFonts w:cs="Times New Roman"/>
          <w:szCs w:val="24"/>
        </w:rPr>
        <w:lastRenderedPageBreak/>
        <w:tab/>
        <w:t xml:space="preserve">While it seemed that public sector unions had finally hit a bright spot in U.S. history, issues began to arise. First, conflicts within public sector unions themselves began to occur as more militant members tried to persuade more non-aggressive members to rise up against forces that were hampering bargaining ability for the unions, such as administrators, politicians, etc. For instance, Jerry Wurf, who was the AFSCME’s union President in 1974 and very much respected, was quoted as saying during Boston strikes of the police and firefighters unions, to “Let our cities burn” if the unions did not get what they demanded from city officials </w:t>
      </w:r>
      <w:r w:rsidRPr="005D3F76">
        <w:rPr>
          <w:rFonts w:cs="Times New Roman"/>
          <w:szCs w:val="24"/>
        </w:rPr>
        <w:fldChar w:fldCharType="begin"/>
      </w:r>
      <w:r w:rsidRPr="005D3F76">
        <w:rPr>
          <w:rFonts w:cs="Times New Roman"/>
          <w:szCs w:val="24"/>
        </w:rPr>
        <w:instrText xml:space="preserve"> ADDIN EN.CITE &lt;EndNote&gt;&lt;Cite&gt;&lt;Author&gt;de Toledano&lt;/Author&gt;&lt;Year&gt;1975&lt;/Year&gt;&lt;RecNum&gt;313&lt;/RecNum&gt;&lt;DisplayText&gt;(de Toledano, 1975)&lt;/DisplayText&gt;&lt;record&gt;&lt;rec-number&gt;313&lt;/rec-number&gt;&lt;foreign-keys&gt;&lt;key app="EN" db-id="etwareaz8xpxz3et59b50d9vxrata9z2w2zt" timestamp="1465702212"&gt;313&lt;/key&gt;&lt;/foreign-keys&gt;&lt;ref-type name="Magazine Article"&gt;19&lt;/ref-type&gt;&lt;contributors&gt;&lt;authors&gt;&lt;author&gt;de Toledano, Ralph&lt;/author&gt;&lt;/authors&gt;&lt;/contributors&gt;&lt;titles&gt;&lt;title&gt;Let Our Cities Burn&lt;/title&gt;&lt;secondary-title&gt;Kirkus&lt;/secondary-title&gt;&lt;/titles&gt;&lt;dates&gt;&lt;year&gt;1975&lt;/year&gt;&lt;/dates&gt;&lt;pub-location&gt;Washington D.C.&lt;/pub-location&gt;&lt;publisher&gt;Arlington House&lt;/publisher&gt;&lt;urls&gt;&lt;/urls&gt;&lt;/record&gt;&lt;/Cite&gt;&lt;/EndNote&gt;</w:instrText>
      </w:r>
      <w:r w:rsidRPr="005D3F76">
        <w:rPr>
          <w:rFonts w:cs="Times New Roman"/>
          <w:szCs w:val="24"/>
        </w:rPr>
        <w:fldChar w:fldCharType="separate"/>
      </w:r>
      <w:r w:rsidRPr="005D3F76">
        <w:rPr>
          <w:rFonts w:cs="Times New Roman"/>
          <w:noProof/>
          <w:szCs w:val="24"/>
        </w:rPr>
        <w:t>(de Toledano, 1975)</w:t>
      </w:r>
      <w:r w:rsidRPr="005D3F76">
        <w:rPr>
          <w:rFonts w:cs="Times New Roman"/>
          <w:szCs w:val="24"/>
        </w:rPr>
        <w:fldChar w:fldCharType="end"/>
      </w:r>
      <w:r w:rsidRPr="005D3F76">
        <w:rPr>
          <w:rFonts w:cs="Times New Roman"/>
          <w:szCs w:val="24"/>
        </w:rPr>
        <w:t xml:space="preserve">.  Like other more aggressive union members, Wurf was trying to garner support from not only government officials, but the larger society—this was an issue of power tug-o-war between workers, government, and society at large. However, heavy handed tactics by unions leaders backfired as public opinion began to strain against public sector unions, and in 1976, the Supreme Court decided in </w:t>
      </w:r>
      <w:r w:rsidRPr="005D3F76">
        <w:rPr>
          <w:rFonts w:cs="Times New Roman"/>
          <w:i/>
          <w:szCs w:val="24"/>
        </w:rPr>
        <w:t>National League of Cities v. Usery</w:t>
      </w:r>
      <w:r w:rsidRPr="005D3F76">
        <w:rPr>
          <w:rFonts w:cs="Times New Roman"/>
          <w:szCs w:val="24"/>
        </w:rPr>
        <w:t xml:space="preserve"> that Congress could not “extend the </w:t>
      </w:r>
      <w:r w:rsidRPr="005D3F76">
        <w:rPr>
          <w:rFonts w:cs="Times New Roman"/>
          <w:i/>
          <w:szCs w:val="24"/>
        </w:rPr>
        <w:t>Fair Labor Standards Act</w:t>
      </w:r>
      <w:r w:rsidRPr="005D3F76">
        <w:rPr>
          <w:rFonts w:cs="Times New Roman"/>
          <w:szCs w:val="24"/>
        </w:rPr>
        <w:t xml:space="preserve"> to state employee’s”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&lt;EndNote&gt;&lt;Cite&gt;&lt;Author&gt;Moreno&lt;/Author&gt;&lt;Year&gt;2011&lt;/Year&gt;&lt;RecNum&gt;28&lt;/RecNum&gt;&lt;Pages&gt;7&lt;/Pages&gt;&lt;DisplayText&gt;(Moreno, 2011, p. 7)&lt;/DisplayText&gt;&lt;record&gt;&lt;rec-number&gt;28&lt;/rec-number&gt;&lt;foreign-keys&gt;&lt;key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 p. 7)</w:t>
      </w:r>
      <w:r w:rsidRPr="005D3F76">
        <w:rPr>
          <w:rFonts w:cs="Times New Roman"/>
          <w:szCs w:val="24"/>
        </w:rPr>
        <w:fldChar w:fldCharType="end"/>
      </w:r>
      <w:r w:rsidRPr="005D3F76">
        <w:rPr>
          <w:rFonts w:cs="Times New Roman"/>
          <w:szCs w:val="24"/>
        </w:rPr>
        <w:t xml:space="preserve">. The basis for the Court’s decision was the fact that “the States as states stand on a quite different footing from an individual or a corporation” </w:t>
      </w:r>
      <w:r w:rsidRPr="005D3F76">
        <w:rPr>
          <w:rFonts w:cs="Times New Roman"/>
          <w:szCs w:val="24"/>
        </w:rPr>
        <w:fldChar w:fldCharType="begin"/>
      </w:r>
      <w:r w:rsidRPr="005D3F76">
        <w:rPr>
          <w:rFonts w:cs="Times New Roman"/>
          <w:szCs w:val="24"/>
        </w:rPr>
        <w:instrText xml:space="preserve"> ADDIN EN.CITE &lt;EndNote&gt;&lt;Cite&gt;&lt;Year&gt;1997&lt;/Year&gt;&lt;RecNum&gt;24&lt;/RecNum&gt;&lt;DisplayText&gt;(Tierney, 1997)&lt;/DisplayText&gt;&lt;record&gt;&lt;rec-number&gt;24&lt;/rec-number&gt;&lt;foreign-keys&gt;&lt;key app="EN" db-id="etwareaz8xpxz3et59b50d9vxrata9z2w2zt" timestamp="1449523975"&gt;24&lt;/key&gt;&lt;/foreign-keys&gt;&lt;ref-type name="Journal Article"&gt;17&lt;/ref-type&gt;&lt;contributors&gt;&lt;authors&gt;&lt;author&gt;William G. Tierney&lt;/author&gt;&lt;/authors&gt;&lt;/contributors&gt;&lt;titles&gt;&lt;title&gt;Tenure and Community Academe&lt;/title&gt;&lt;secondary-title&gt;Educational Researcher&lt;/secondary-title&gt;&lt;/titles&gt;&lt;periodical&gt;&lt;full-title&gt;Educational Researcher&lt;/full-title&gt;&lt;/periodical&gt;&lt;pages&gt;17-23&lt;/pages&gt;&lt;volume&gt;26&lt;/volume&gt;&lt;number&gt;8&lt;/number&gt;&lt;dates&gt;&lt;year&gt;1997&lt;/year&gt;&lt;/dates&gt;&lt;urls&gt;&lt;/urls&gt;&lt;/record&gt;&lt;/Cite&gt;&lt;/EndNote&gt;</w:instrText>
      </w:r>
      <w:r w:rsidRPr="005D3F76">
        <w:rPr>
          <w:rFonts w:cs="Times New Roman"/>
          <w:szCs w:val="24"/>
        </w:rPr>
        <w:fldChar w:fldCharType="separate"/>
      </w:r>
      <w:r w:rsidRPr="005D3F76">
        <w:rPr>
          <w:rFonts w:cs="Times New Roman"/>
          <w:noProof/>
          <w:szCs w:val="24"/>
        </w:rPr>
        <w:t>(Tierney, 1997)</w:t>
      </w:r>
      <w:r w:rsidRPr="005D3F76">
        <w:rPr>
          <w:rFonts w:cs="Times New Roman"/>
          <w:szCs w:val="24"/>
        </w:rPr>
        <w:fldChar w:fldCharType="end"/>
      </w:r>
      <w:r w:rsidRPr="005D3F76">
        <w:rPr>
          <w:rFonts w:cs="Times New Roman"/>
          <w:szCs w:val="24"/>
        </w:rPr>
        <w:t xml:space="preserve">. Although the case would be overruled by </w:t>
      </w:r>
      <w:r w:rsidRPr="005D3F76">
        <w:rPr>
          <w:rFonts w:cs="Times New Roman"/>
          <w:i/>
          <w:szCs w:val="24"/>
        </w:rPr>
        <w:t>Garcia v. San Antonio Metropolitan Transit Authority</w:t>
      </w:r>
      <w:r w:rsidRPr="005D3F76">
        <w:rPr>
          <w:rFonts w:cs="Times New Roman"/>
          <w:szCs w:val="24"/>
        </w:rPr>
        <w:t xml:space="preserve"> in 1985, the societal damage to public sector unions had occurred, especially in the reporting by the mass media </w:t>
      </w:r>
      <w:r w:rsidRPr="005D3F76">
        <w:rPr>
          <w:rFonts w:cs="Times New Roman"/>
          <w:szCs w:val="24"/>
        </w:rPr>
        <w:fldChar w:fldCharType="begin"/>
      </w:r>
      <w:r w:rsidRPr="005D3F76">
        <w:rPr>
          <w:rFonts w:cs="Times New Roman"/>
          <w:szCs w:val="24"/>
        </w:rPr>
        <w:instrText xml:space="preserve"> ADDIN EN.CITE &lt;EndNote&gt;&lt;Cite&gt;&lt;Author&gt;Chickering&lt;/Author&gt;&lt;Year&gt;1976&lt;/Year&gt;&lt;RecNum&gt;76&lt;/RecNum&gt;&lt;DisplayText&gt;(Chickering, 1976)&lt;/DisplayText&gt;&lt;record&gt;&lt;rec-number&gt;76&lt;/rec-number&gt;&lt;foreign-keys&gt;&lt;key app="EN" db-id="etwareaz8xpxz3et59b50d9vxrata9z2w2zt" timestamp="1454020771"&gt;76&lt;/key&gt;&lt;/foreign-keys&gt;&lt;ref-type name="Book"&gt;6&lt;/ref-type&gt;&lt;contributors&gt;&lt;authors&gt;&lt;author&gt;A. Lawrence Chickering&lt;/author&gt;&lt;/authors&gt;&lt;/contributors&gt;&lt;titles&gt;&lt;title&gt;Public employee unions:a study of the crisis in public sector labor relations&lt;/title&gt;&lt;/titles&gt;&lt;dates&gt;&lt;year&gt;1976&lt;/year&gt;&lt;/dates&gt;&lt;pub-location&gt;Lexington, Mass&lt;/pub-location&gt;&lt;publisher&gt;Lexington Books&lt;/publisher&gt;&lt;urls&gt;&lt;/urls&gt;&lt;/record&gt;&lt;/Cite&gt;&lt;/EndNote&gt;</w:instrText>
      </w:r>
      <w:r w:rsidRPr="005D3F76">
        <w:rPr>
          <w:rFonts w:cs="Times New Roman"/>
          <w:szCs w:val="24"/>
        </w:rPr>
        <w:fldChar w:fldCharType="separate"/>
      </w:r>
      <w:r w:rsidRPr="005D3F76">
        <w:rPr>
          <w:rFonts w:cs="Times New Roman"/>
          <w:noProof/>
          <w:szCs w:val="24"/>
        </w:rPr>
        <w:t>(Chickering, 1976)</w:t>
      </w:r>
      <w:r w:rsidRPr="005D3F76">
        <w:rPr>
          <w:rFonts w:cs="Times New Roman"/>
          <w:szCs w:val="24"/>
        </w:rPr>
        <w:fldChar w:fldCharType="end"/>
      </w:r>
      <w:r w:rsidRPr="005D3F76">
        <w:rPr>
          <w:rFonts w:cs="Times New Roman"/>
          <w:szCs w:val="24"/>
        </w:rPr>
        <w:t>.</w:t>
      </w:r>
    </w:p>
    <w:p w14:paraId="717C200D" w14:textId="77777777" w:rsidR="00B03557" w:rsidRPr="005D3F76" w:rsidRDefault="00B03557" w:rsidP="00DA365C">
      <w:pPr>
        <w:rPr>
          <w:rFonts w:cs="Times New Roman"/>
          <w:szCs w:val="24"/>
        </w:rPr>
      </w:pPr>
      <w:r w:rsidRPr="005D3F76">
        <w:rPr>
          <w:rFonts w:cs="Times New Roman"/>
          <w:szCs w:val="24"/>
        </w:rPr>
        <w:tab/>
        <w:t xml:space="preserve">Additionally, public sector unions began bargaining in earnest for far better wages, which did drive the overall budget up for many governmental agencies. Of course, with the increase in spending, conservatives and those overtly concerned with fiscal leniency were revived to stop what they considered “frivolous spending.”  This more conservative perspective within society would help to eventually get President Ronald Reagan elected in 1980 </w:t>
      </w:r>
      <w:r w:rsidRPr="005D3F76">
        <w:rPr>
          <w:rFonts w:cs="Times New Roman"/>
          <w:szCs w:val="24"/>
        </w:rPr>
        <w:fldChar w:fldCharType="begin"/>
      </w:r>
      <w:r w:rsidRPr="005D3F76">
        <w:rPr>
          <w:rFonts w:cs="Times New Roman"/>
          <w:szCs w:val="24"/>
        </w:rPr>
        <w:instrText xml:space="preserve"> ADDIN EN.CITE &lt;EndNote&gt;&lt;Cite&gt;&lt;Author&gt;Troy&lt;/Author&gt;&lt;Year&gt;2009&lt;/Year&gt;&lt;RecNum&gt;77&lt;/RecNum&gt;&lt;DisplayText&gt;(Troy, 2009)&lt;/DisplayText&gt;&lt;record&gt;&lt;rec-number&gt;77&lt;/rec-number&gt;&lt;foreign-keys&gt;&lt;key app="EN" db-id="etwareaz8xpxz3et59b50d9vxrata9z2w2zt" timestamp="1454021805"&gt;77&lt;/key&gt;&lt;/foreign-keys&gt;&lt;ref-type name="Electronic Article"&gt;43&lt;/ref-type&gt;&lt;contributors&gt;&lt;authors&gt;&lt;author&gt;Gil Troy&lt;/author&gt;&lt;/authors&gt;&lt;/contributors&gt;&lt;titles&gt;&lt;title&gt;The Age of Reagan&lt;/title&gt;&lt;secondary-title&gt;The Gilder Lehrman Institute of American History&lt;/secondary-title&gt;&lt;/titles&gt;&lt;periodical&gt;&lt;full-title&gt;The Gilder Lehrman Institute of American History&lt;/full-title&gt;&lt;/periodical&gt;&lt;dates&gt;&lt;year&gt;2009&lt;/year&gt;&lt;pub-dates&gt;&lt;date&gt;January 2016&lt;/date&gt;&lt;/pub-dates&gt;&lt;/dates&gt;&lt;pub-location&gt;New York City&lt;/pub-location&gt;&lt;urls&gt;&lt;related-urls&gt;&lt;url&gt;http://www.gilderlehrman.org/history-by-era/essays/age-reagan&lt;/url&gt;&lt;/related-urls&gt;&lt;/urls&gt;&lt;/record&gt;&lt;/Cite&gt;&lt;/EndNote&gt;</w:instrText>
      </w:r>
      <w:r w:rsidRPr="005D3F76">
        <w:rPr>
          <w:rFonts w:cs="Times New Roman"/>
          <w:szCs w:val="24"/>
        </w:rPr>
        <w:fldChar w:fldCharType="separate"/>
      </w:r>
      <w:r w:rsidRPr="005D3F76">
        <w:rPr>
          <w:rFonts w:cs="Times New Roman"/>
          <w:noProof/>
          <w:szCs w:val="24"/>
        </w:rPr>
        <w:t>(Troy, 2009)</w:t>
      </w:r>
      <w:r w:rsidRPr="005D3F76">
        <w:rPr>
          <w:rFonts w:cs="Times New Roman"/>
          <w:szCs w:val="24"/>
        </w:rPr>
        <w:fldChar w:fldCharType="end"/>
      </w:r>
      <w:r w:rsidRPr="005D3F76">
        <w:rPr>
          <w:rFonts w:cs="Times New Roman"/>
          <w:szCs w:val="24"/>
        </w:rPr>
        <w:t xml:space="preserve">. Then in 1981, there became an issue with the Professional Air Traffic Controllers Organization </w:t>
      </w:r>
      <w:r w:rsidRPr="005D3F76">
        <w:rPr>
          <w:rFonts w:cs="Times New Roman"/>
          <w:szCs w:val="24"/>
        </w:rPr>
        <w:lastRenderedPageBreak/>
        <w:t xml:space="preserve">(PATCO), who had endorsed Reagan, but were not having their demands met “for pay raises, a shorter workweek, and better working conditions” </w:t>
      </w:r>
      <w:r w:rsidRPr="005D3F76">
        <w:rPr>
          <w:rFonts w:cs="Times New Roman"/>
          <w:szCs w:val="24"/>
        </w:rPr>
        <w:fldChar w:fldCharType="begin"/>
      </w:r>
      <w:r w:rsidRPr="005D3F76">
        <w:rPr>
          <w:rFonts w:cs="Times New Roman"/>
          <w:szCs w:val="24"/>
        </w:rPr>
        <w:instrText xml:space="preserve"> ADDIN EN.CITE &lt;EndNote&gt;&lt;Cite&gt;&lt;Author&gt;Desvarieus&lt;/Author&gt;&lt;Year&gt;2014&lt;/Year&gt;&lt;RecNum&gt;66&lt;/RecNum&gt;&lt;Suffix&gt; para. 1&lt;/Suffix&gt;&lt;DisplayText&gt;(Desvarieus, 2014 para. 1)&lt;/DisplayText&gt;&lt;record&gt;&lt;rec-number&gt;66&lt;/rec-number&gt;&lt;foreign-keys&gt;&lt;key app="EN" db-id="etwareaz8xpxz3et59b50d9vxrata9z2w2zt" timestamp="1453596632"&gt;66&lt;/key&gt;&lt;/foreign-keys&gt;&lt;ref-type name="Online Multimedia"&gt;48&lt;/ref-type&gt;&lt;contributors&gt;&lt;authors&gt;&lt;author&gt;Jessica Desvarieus&lt;/author&gt;&lt;/authors&gt;&lt;secondary-authors&gt;&lt;author&gt;The Real News Network&lt;/author&gt;&lt;/secondary-authors&gt;&lt;/contributors&gt;&lt;titles&gt;&lt;title&gt;The Consequences of Reagan Breaking the 1981 Air Traffic Controllers Strike&lt;/title&gt;&lt;secondary-title&gt;Truthour&lt;/secondary-title&gt;&lt;/titles&gt;&lt;dates&gt;&lt;year&gt;2014&lt;/year&gt;&lt;pub-dates&gt;&lt;date&gt;January 2016&lt;/date&gt;&lt;/pub-dates&gt;&lt;/dates&gt;&lt;publisher&gt;The Real News Network&lt;/publisher&gt;&lt;urls&gt;&lt;related-urls&gt;&lt;url&gt;http://www.truth-out.org/news/item/25393-the-consequences-of-reagan-breaking-the-1981-air-traffic-controllers-strike&lt;/url&gt;&lt;/related-urls&gt;&lt;/urls&gt;&lt;/record&gt;&lt;/Cite&gt;&lt;/EndNote&gt;</w:instrText>
      </w:r>
      <w:r w:rsidRPr="005D3F76">
        <w:rPr>
          <w:rFonts w:cs="Times New Roman"/>
          <w:szCs w:val="24"/>
        </w:rPr>
        <w:fldChar w:fldCharType="separate"/>
      </w:r>
      <w:r w:rsidRPr="005D3F76">
        <w:rPr>
          <w:rFonts w:cs="Times New Roman"/>
          <w:noProof/>
          <w:szCs w:val="24"/>
        </w:rPr>
        <w:t>(Desvarieus, 2014 para. 1)</w:t>
      </w:r>
      <w:r w:rsidRPr="005D3F76">
        <w:rPr>
          <w:rFonts w:cs="Times New Roman"/>
          <w:szCs w:val="24"/>
        </w:rPr>
        <w:fldChar w:fldCharType="end"/>
      </w:r>
      <w:r w:rsidRPr="005D3F76">
        <w:rPr>
          <w:rFonts w:cs="Times New Roman"/>
          <w:szCs w:val="24"/>
        </w:rPr>
        <w:t xml:space="preserve">. It was when President Reagan ended up firing over 11,000 air traffic controllers because PATCO declared a strike that many historians claim the “groundwork for today’s assault on labor” was set (para. 1). President Reagan wanted to “reorgani[ze] the relationship between government and the labor movement,” and for some, by firing the striking employee’s and permanently replacing them, “he sent a powerful message that many employers even in the private sector acted upon;” a period “of getting tough with the union movement, that really marked a profoundly important turning point” (para. 7). The issues of the dispute in the media were “either not treated or were expressed from an employer’s perspective so that the dispute appeared senseless to the general public, and the union was made to appear outdated and irrelevant in a contemporary labor relations environment” </w:t>
      </w:r>
      <w:r w:rsidRPr="005D3F76">
        <w:rPr>
          <w:rFonts w:cs="Times New Roman"/>
          <w:szCs w:val="24"/>
        </w:rPr>
        <w:fldChar w:fldCharType="begin"/>
      </w:r>
      <w:r w:rsidRPr="005D3F76">
        <w:rPr>
          <w:rFonts w:cs="Times New Roman"/>
          <w:szCs w:val="24"/>
        </w:rPr>
        <w:instrText xml:space="preserve"> ADDIN EN.CITE &lt;EndNote&gt;&lt;Cite&gt;&lt;Author&gt;Puette&lt;/Author&gt;&lt;Year&gt;1992&lt;/Year&gt;&lt;RecNum&gt;78&lt;/RecNum&gt;&lt;Pages&gt;119&lt;/Pages&gt;&lt;DisplayText&gt;(Puette, 1992, p. 119)&lt;/DisplayText&gt;&lt;record&gt;&lt;rec-number&gt;78&lt;/rec-number&gt;&lt;foreign-keys&gt;&lt;key app="EN" db-id="etwareaz8xpxz3et59b50d9vxrata9z2w2zt" timestamp="1454086395"&gt;78&lt;/key&gt;&lt;/foreign-keys&gt;&lt;ref-type name="Book"&gt;6&lt;/ref-type&gt;&lt;contributors&gt;&lt;authors&gt;&lt;author&gt;William Puette&lt;/author&gt;&lt;/authors&gt;&lt;/contributors&gt;&lt;titles&gt;&lt;title&gt;Through Jaundiced Eyes How the Media View Organized Labor&lt;/title&gt;&lt;/titles&gt;&lt;dates&gt;&lt;year&gt;1992&lt;/year&gt;&lt;/dates&gt;&lt;pub-location&gt;Ithaca, New York&lt;/pub-location&gt;&lt;publisher&gt;Cornell University&lt;/publisher&gt;&lt;urls&gt;&lt;/urls&gt;&lt;/record&gt;&lt;/Cite&gt;&lt;/EndNote&gt;</w:instrText>
      </w:r>
      <w:r w:rsidRPr="005D3F76">
        <w:rPr>
          <w:rFonts w:cs="Times New Roman"/>
          <w:szCs w:val="24"/>
        </w:rPr>
        <w:fldChar w:fldCharType="separate"/>
      </w:r>
      <w:r w:rsidRPr="005D3F76">
        <w:rPr>
          <w:rFonts w:cs="Times New Roman"/>
          <w:noProof/>
          <w:szCs w:val="24"/>
        </w:rPr>
        <w:t>(Puette, 1992, p. 119)</w:t>
      </w:r>
      <w:r w:rsidRPr="005D3F76">
        <w:rPr>
          <w:rFonts w:cs="Times New Roman"/>
          <w:szCs w:val="24"/>
        </w:rPr>
        <w:fldChar w:fldCharType="end"/>
      </w:r>
      <w:r w:rsidRPr="005D3F76">
        <w:rPr>
          <w:rFonts w:cs="Times New Roman"/>
          <w:szCs w:val="24"/>
        </w:rPr>
        <w:t xml:space="preserve"> However, according to William Puette (1992):</w:t>
      </w:r>
    </w:p>
    <w:p w14:paraId="41E68F1B" w14:textId="77777777" w:rsidR="00B03557" w:rsidRPr="005D3F76" w:rsidRDefault="00B03557" w:rsidP="00DA365C">
      <w:pPr>
        <w:ind w:left="720"/>
        <w:rPr>
          <w:rFonts w:cs="Times New Roman"/>
          <w:szCs w:val="24"/>
        </w:rPr>
      </w:pPr>
      <w:r w:rsidRPr="005D3F76">
        <w:rPr>
          <w:rFonts w:cs="Times New Roman"/>
          <w:szCs w:val="24"/>
        </w:rPr>
        <w:t xml:space="preserve"> [b]etween 1980 and 1988 appointments of conservatives to the National Labor Relations Board and the Supreme Court by President Ronald Reagan had so altered the balance of power between labor and many that the straightforward and fundamental rights of the labor since the passage of the Wagner Act in 1935, were one by one being revoked or so convoluted by the courts that a union steward would need a law degree to know what to do.</w:t>
      </w:r>
      <w:r w:rsidRPr="005D3F76">
        <w:rPr>
          <w:rFonts w:cs="Times New Roman"/>
          <w:i/>
          <w:szCs w:val="24"/>
        </w:rPr>
        <w:t xml:space="preserve"> </w:t>
      </w:r>
      <w:r w:rsidRPr="005D3F76">
        <w:rPr>
          <w:rFonts w:cs="Times New Roman"/>
          <w:i/>
          <w:szCs w:val="24"/>
        </w:rPr>
        <w:fldChar w:fldCharType="begin"/>
      </w:r>
      <w:r w:rsidRPr="005D3F76">
        <w:rPr>
          <w:rFonts w:cs="Times New Roman"/>
          <w:i/>
          <w:szCs w:val="24"/>
        </w:rPr>
        <w:instrText xml:space="preserve"> ADDIN EN.CITE &lt;EndNote&gt;&lt;Cite ExcludeAuth="1" ExcludeYear="1"&gt;&lt;Author&gt;Puette&lt;/Author&gt;&lt;Year&gt;1992&lt;/Year&gt;&lt;RecNum&gt;78&lt;/RecNum&gt;&lt;Pages&gt;118&lt;/Pages&gt;&lt;DisplayText&gt;(p. 118)&lt;/DisplayText&gt;&lt;record&gt;&lt;rec-number&gt;78&lt;/rec-number&gt;&lt;foreign-keys&gt;&lt;key app="EN" db-id="etwareaz8xpxz3et59b50d9vxrata9z2w2zt" timestamp="1454086395"&gt;78&lt;/key&gt;&lt;/foreign-keys&gt;&lt;ref-type name="Book"&gt;6&lt;/ref-type&gt;&lt;contributors&gt;&lt;authors&gt;&lt;author&gt;William Puette&lt;/author&gt;&lt;/authors&gt;&lt;/contributors&gt;&lt;titles&gt;&lt;title&gt;Through Jaundiced Eyes How the Media View Organized Labor&lt;/title&gt;&lt;/titles&gt;&lt;dates&gt;&lt;year&gt;1992&lt;/year&gt;&lt;/dates&gt;&lt;pub-location&gt;Ithaca, New York&lt;/pub-location&gt;&lt;publisher&gt;Cornell University&lt;/publisher&gt;&lt;urls&gt;&lt;/urls&gt;&lt;/record&gt;&lt;/Cite&gt;&lt;/EndNote&gt;</w:instrText>
      </w:r>
      <w:r w:rsidRPr="005D3F76">
        <w:rPr>
          <w:rFonts w:cs="Times New Roman"/>
          <w:i/>
          <w:szCs w:val="24"/>
        </w:rPr>
        <w:fldChar w:fldCharType="separate"/>
      </w:r>
      <w:r w:rsidRPr="005D3F76">
        <w:rPr>
          <w:rFonts w:cs="Times New Roman"/>
          <w:i/>
          <w:noProof/>
          <w:szCs w:val="24"/>
        </w:rPr>
        <w:t xml:space="preserve">(p. </w:t>
      </w:r>
      <w:r w:rsidRPr="005D3F76">
        <w:rPr>
          <w:rFonts w:cs="Times New Roman"/>
          <w:noProof/>
          <w:szCs w:val="24"/>
        </w:rPr>
        <w:t>118</w:t>
      </w:r>
      <w:r w:rsidRPr="005D3F76">
        <w:rPr>
          <w:rFonts w:cs="Times New Roman"/>
          <w:i/>
          <w:noProof/>
          <w:szCs w:val="24"/>
        </w:rPr>
        <w:t>)</w:t>
      </w:r>
      <w:r w:rsidRPr="005D3F76">
        <w:rPr>
          <w:rFonts w:cs="Times New Roman"/>
          <w:i/>
          <w:szCs w:val="24"/>
        </w:rPr>
        <w:fldChar w:fldCharType="end"/>
      </w:r>
      <w:r w:rsidRPr="005D3F76">
        <w:rPr>
          <w:rFonts w:cs="Times New Roman"/>
          <w:szCs w:val="24"/>
        </w:rPr>
        <w:t xml:space="preserve">  </w:t>
      </w:r>
    </w:p>
    <w:p w14:paraId="450CC65D" w14:textId="77777777" w:rsidR="00B03557" w:rsidRPr="005D3F76" w:rsidRDefault="00B03557" w:rsidP="00DA365C">
      <w:pPr>
        <w:rPr>
          <w:rFonts w:cs="Times New Roman"/>
          <w:szCs w:val="24"/>
        </w:rPr>
      </w:pPr>
      <w:r w:rsidRPr="005D3F76">
        <w:rPr>
          <w:rFonts w:cs="Times New Roman"/>
          <w:szCs w:val="24"/>
        </w:rPr>
        <w:t xml:space="preserve">Ironically, President Reagan had been a member and leader of the Screen Actors Guild; a union for actors and others dealing within the TV and film industry. His response to the air traffic controllers seemed overwhelmingly negative, especially with his union membership background. </w:t>
      </w:r>
    </w:p>
    <w:p w14:paraId="1622C989" w14:textId="77777777" w:rsidR="00B03557" w:rsidRPr="005D3F76" w:rsidRDefault="00B03557" w:rsidP="00DA365C">
      <w:pPr>
        <w:rPr>
          <w:rFonts w:cs="Times New Roman"/>
          <w:szCs w:val="24"/>
        </w:rPr>
      </w:pPr>
      <w:r w:rsidRPr="005D3F76">
        <w:rPr>
          <w:rFonts w:cs="Times New Roman"/>
          <w:szCs w:val="24"/>
        </w:rPr>
        <w:tab/>
        <w:t xml:space="preserve">Over the next several decades, public sector union membership would continue to grow; however, striking and other more aggressive stances that once were deemed appropriate </w:t>
      </w:r>
      <w:r w:rsidRPr="005D3F76">
        <w:rPr>
          <w:rFonts w:cs="Times New Roman"/>
          <w:szCs w:val="24"/>
        </w:rPr>
        <w:lastRenderedPageBreak/>
        <w:t xml:space="preserve">responses to government entities that are unwilling to bargain with public employees, seems to be more unaccepted by both union members and society at large. For instance, one columnist wrote during the mid-1990’s that labor has “never been weaker in its 113-year-old-history” </w:t>
      </w:r>
      <w:r w:rsidRPr="005D3F76">
        <w:rPr>
          <w:rFonts w:cs="Times New Roman"/>
          <w:szCs w:val="24"/>
        </w:rPr>
        <w:fldChar w:fldCharType="begin"/>
      </w:r>
      <w:r w:rsidRPr="005D3F76">
        <w:rPr>
          <w:rFonts w:cs="Times New Roman"/>
          <w:szCs w:val="24"/>
        </w:rPr>
        <w:instrText xml:space="preserve"> ADDIN EN.CITE &lt;EndNote&gt;&lt;Cite&gt;&lt;Author&gt;Penagopoulos&lt;/Author&gt;&lt;Year&gt;2008&lt;/Year&gt;&lt;RecNum&gt;73&lt;/RecNum&gt;&lt;Pages&gt;134&lt;/Pages&gt;&lt;DisplayText&gt;(Penagopoulos &amp;amp; Francia, 2008, p. 134)&lt;/DisplayText&gt;&lt;record&gt;&lt;rec-number&gt;73&lt;/rec-number&gt;&lt;foreign-keys&gt;&lt;key app="EN" db-id="etwareaz8xpxz3et59b50d9vxrata9z2w2zt" timestamp="1453824661"&gt;73&lt;/key&gt;&lt;/foreign-keys&gt;&lt;ref-type name="Journal Article"&gt;17&lt;/ref-type&gt;&lt;contributors&gt;&lt;authors&gt;&lt;author&gt;Costas Penagopoulos&lt;/author&gt;&lt;author&gt;Peter L. Francia&lt;/author&gt;&lt;/authors&gt;&lt;/contributors&gt;&lt;titles&gt;&lt;title&gt;The Polls--Trends: Labor Unions in the United States&lt;/title&gt;&lt;secondary-title&gt;Public Opinion Quarterly&lt;/secondary-title&gt;&lt;/titles&gt;&lt;periodical&gt;&lt;full-title&gt;Public Opinion Quarterly&lt;/full-title&gt;&lt;/periodical&gt;&lt;pages&gt;134-159&lt;/pages&gt;&lt;volume&gt;72&lt;/volume&gt;&lt;number&gt;1&lt;/number&gt;&lt;dates&gt;&lt;year&gt;2008&lt;/year&gt;&lt;/dates&gt;&lt;urls&gt;&lt;/urls&gt;&lt;/record&gt;&lt;/Cite&gt;&lt;/EndNote&gt;</w:instrText>
      </w:r>
      <w:r w:rsidRPr="005D3F76">
        <w:rPr>
          <w:rFonts w:cs="Times New Roman"/>
          <w:szCs w:val="24"/>
        </w:rPr>
        <w:fldChar w:fldCharType="separate"/>
      </w:r>
      <w:r w:rsidRPr="005D3F76">
        <w:rPr>
          <w:rFonts w:cs="Times New Roman"/>
          <w:noProof/>
          <w:szCs w:val="24"/>
        </w:rPr>
        <w:t>(Penagopoulos &amp; Francia, 2008, p. 134)</w:t>
      </w:r>
      <w:r w:rsidRPr="005D3F76">
        <w:rPr>
          <w:rFonts w:cs="Times New Roman"/>
          <w:szCs w:val="24"/>
        </w:rPr>
        <w:fldChar w:fldCharType="end"/>
      </w:r>
      <w:r w:rsidRPr="005D3F76">
        <w:rPr>
          <w:rFonts w:cs="Times New Roman"/>
          <w:szCs w:val="24"/>
        </w:rPr>
        <w:t>. The 2000’s didn’t change this outlook for labor within the U.S. In fact, since the 2000 US presidential election “organized labor has had to deal with a hostile U.S. Congress and the presidency of George W. Bush, who has presided over what many view as one of the most anti-union administrations in recent history” (p. 134). President Obama has been more favorable to public sector unions, but has largely kept quiet on issues that have arisen such as the destructive protests and demonstrations that took place all over Wisconsin. Besides hostile governmental attention concerning public sector unions, there has been some in-fighting within the unions themselves, often lamented within the mass media, which then leads to issues of acceptability for unions within society.</w:t>
      </w:r>
    </w:p>
    <w:p w14:paraId="4F9A47E3" w14:textId="77777777" w:rsidR="00B03557" w:rsidRPr="005D3F76" w:rsidRDefault="00B03557" w:rsidP="0012433F">
      <w:pPr>
        <w:ind w:firstLine="720"/>
        <w:rPr>
          <w:rFonts w:cs="Times New Roman"/>
          <w:b/>
          <w:szCs w:val="24"/>
        </w:rPr>
      </w:pPr>
      <w:r w:rsidRPr="005D3F76">
        <w:rPr>
          <w:rFonts w:cs="Times New Roman"/>
          <w:szCs w:val="24"/>
        </w:rPr>
        <w:t>Teacher unions, in particular, that have tried to strike over the last 20 to 30 years have been met with staunch resistance from the larger society because of some of the issues that we have seen above, and as we shall see later. Unfortunately, it would seem that at least some of the resistance seems to be fueled by what the mass media has been reporting about teacher unions.</w:t>
      </w:r>
      <w:r w:rsidRPr="005D3F76">
        <w:rPr>
          <w:rFonts w:cs="Times New Roman"/>
          <w:szCs w:val="24"/>
        </w:rPr>
        <w:tab/>
      </w:r>
    </w:p>
    <w:p w14:paraId="6CC4B55D" w14:textId="77777777" w:rsidR="00B03557" w:rsidRPr="005D3F76" w:rsidRDefault="00B03557" w:rsidP="0012433F">
      <w:pPr>
        <w:pStyle w:val="Heading2"/>
        <w:rPr>
          <w:rFonts w:cs="Times New Roman"/>
        </w:rPr>
      </w:pPr>
      <w:bookmarkStart w:id="7" w:name="_Toc462843627"/>
      <w:r w:rsidRPr="005D3F76">
        <w:rPr>
          <w:rFonts w:cs="Times New Roman"/>
        </w:rPr>
        <w:t>The Stage is Set: Teacher Unions in Context</w:t>
      </w:r>
      <w:r w:rsidRPr="005D3F76">
        <w:rPr>
          <w:rStyle w:val="EndnoteReference"/>
          <w:rFonts w:cs="Times New Roman"/>
          <w:b w:val="0"/>
          <w:szCs w:val="24"/>
        </w:rPr>
        <w:endnoteReference w:id="7"/>
      </w:r>
      <w:bookmarkEnd w:id="7"/>
    </w:p>
    <w:p w14:paraId="516EB230" w14:textId="0FFE1DDA" w:rsidR="00B03557" w:rsidRPr="005D3F76" w:rsidRDefault="00B03557" w:rsidP="00DA365C">
      <w:pPr>
        <w:ind w:firstLine="720"/>
        <w:rPr>
          <w:rFonts w:cs="Times New Roman"/>
          <w:szCs w:val="24"/>
        </w:rPr>
      </w:pPr>
      <w:r w:rsidRPr="005D3F76">
        <w:rPr>
          <w:rFonts w:cs="Times New Roman"/>
          <w:szCs w:val="24"/>
        </w:rPr>
        <w:t xml:space="preserve">Much like most other public sector unions, teacher unions began simply as craft oriented associations trying to improve conditions for its members. The </w:t>
      </w:r>
      <w:r w:rsidRPr="005D3F76">
        <w:rPr>
          <w:rFonts w:cs="Times New Roman"/>
          <w:i/>
          <w:szCs w:val="24"/>
        </w:rPr>
        <w:t xml:space="preserve">National Educators Association </w:t>
      </w:r>
      <w:r w:rsidRPr="005D3F76">
        <w:rPr>
          <w:rFonts w:cs="Times New Roman"/>
          <w:szCs w:val="24"/>
        </w:rPr>
        <w:t xml:space="preserve">(NEA), one of the largest and most influential teacher unions in the nation, was founded officially in name in 1870 with the joining of the </w:t>
      </w:r>
      <w:r w:rsidRPr="005D3F76">
        <w:rPr>
          <w:rFonts w:cs="Times New Roman"/>
          <w:i/>
          <w:szCs w:val="24"/>
        </w:rPr>
        <w:t xml:space="preserve">National Teachers Association </w:t>
      </w:r>
      <w:r w:rsidRPr="005D3F76">
        <w:rPr>
          <w:rFonts w:cs="Times New Roman"/>
          <w:szCs w:val="24"/>
        </w:rPr>
        <w:t xml:space="preserve">(NTA) and two other teacher associations </w:t>
      </w:r>
      <w:r w:rsidRPr="005D3F76">
        <w:rPr>
          <w:rFonts w:cs="Times New Roman"/>
          <w:szCs w:val="24"/>
        </w:rPr>
        <w:fldChar w:fldCharType="begin"/>
      </w:r>
      <w:r w:rsidRPr="005D3F76">
        <w:rPr>
          <w:rFonts w:cs="Times New Roman"/>
          <w:szCs w:val="24"/>
        </w:rPr>
        <w:instrText xml:space="preserve"> ADDIN EN.CITE &lt;EndNote&gt;&lt;Cite&gt;&lt;Author&gt;National Education Association&lt;/Author&gt;&lt;Year&gt;2014&lt;/Year&gt;&lt;RecNum&gt;311&lt;/RecNum&gt;&lt;DisplayText&gt;(Kearney &amp;amp; Mareschal, 2014; National Education Association, 2014)&lt;/DisplayText&gt;&lt;record&gt;&lt;rec-number&gt;311&lt;/rec-number&gt;&lt;foreign-keys&gt;&lt;key app="EN" db-id="etwareaz8xpxz3et59b50d9vxrata9z2w2zt" timestamp="1465702212"&gt;311&lt;/key&gt;&lt;/foreign-keys&gt;&lt;ref-type name="Web Page"&gt;12&lt;/ref-type&gt;&lt;contributors&gt;&lt;authors&gt;&lt;author&gt;National Education Association,&lt;/author&gt;&lt;/authors&gt;&lt;/contributors&gt;&lt;titles&gt;&lt;title&gt;Great Public Schools for Every Student&lt;/title&gt;&lt;/titles&gt;&lt;volume&gt;2015&lt;/volume&gt;&lt;number&gt;February 22&lt;/number&gt;&lt;dates&gt;&lt;year&gt;2014&lt;/year&gt;&lt;/dates&gt;&lt;urls&gt;&lt;related-urls&gt;&lt;url&gt;www.nea.org&lt;/url&gt;&lt;/related-urls&gt;&lt;/urls&gt;&lt;/record&gt;&lt;/Cite&gt;&lt;Cite&gt;&lt;Author&gt;Kearney&lt;/Author&gt;&lt;Year&gt;2014&lt;/Year&gt;&lt;RecNum&gt;25&lt;/RecNum&gt;&lt;record&gt;&lt;rec-number&gt;25&lt;/rec-number&gt;&lt;foreign-keys&gt;&lt;key app="EN" db-id="etwareaz8xpxz3et59b50d9vxrata9z2w2zt" timestamp="1452614145"&gt;25&lt;/key&gt;&lt;/foreign-keys&gt;&lt;ref-type name="Book"&gt;6&lt;/ref-type&gt;&lt;contributors&gt;&lt;authors&gt;&lt;author&gt;Richard C Kearney&lt;/author&gt;&lt;author&gt;Patrice M Mareschal&lt;/author&gt;&lt;/authors&gt;&lt;/contributors&gt;&lt;titles&gt;&lt;title&gt;Labor Relations in the Public Sector&lt;/title&gt;&lt;/titles&gt;&lt;edition&gt;5th&lt;/edition&gt;&lt;dates&gt;&lt;year&gt;2014&lt;/year&gt;&lt;/dates&gt;&lt;pub-location&gt;Boca Raton, FL&lt;/pub-location&gt;&lt;publisher&gt;Taylor &amp;amp; Francis Group&lt;/publisher&gt;&lt;urls&gt;&lt;/urls&gt;&lt;/record&gt;&lt;/Cite&gt;&lt;/EndNote&gt;</w:instrText>
      </w:r>
      <w:r w:rsidRPr="005D3F76">
        <w:rPr>
          <w:rFonts w:cs="Times New Roman"/>
          <w:szCs w:val="24"/>
        </w:rPr>
        <w:fldChar w:fldCharType="separate"/>
      </w:r>
      <w:r w:rsidRPr="005D3F76">
        <w:rPr>
          <w:rFonts w:cs="Times New Roman"/>
          <w:noProof/>
          <w:szCs w:val="24"/>
        </w:rPr>
        <w:t>(Kearney &amp; Mareschal, 2014; National Education Association, 2014)</w:t>
      </w:r>
      <w:r w:rsidRPr="005D3F76">
        <w:rPr>
          <w:rFonts w:cs="Times New Roman"/>
          <w:szCs w:val="24"/>
        </w:rPr>
        <w:fldChar w:fldCharType="end"/>
      </w:r>
      <w:r w:rsidRPr="005D3F76">
        <w:rPr>
          <w:rFonts w:cs="Times New Roman"/>
          <w:szCs w:val="24"/>
        </w:rPr>
        <w:t xml:space="preserve">. The early NEA was established as a professional association of educators, whereby only </w:t>
      </w:r>
      <w:r w:rsidRPr="005D3F76">
        <w:rPr>
          <w:rFonts w:cs="Times New Roman"/>
          <w:szCs w:val="24"/>
        </w:rPr>
        <w:lastRenderedPageBreak/>
        <w:t xml:space="preserve">“gentlemen” were able to join, mostly this consisted of administrators and other school authorities “to advance the interests of the teaching occupation and to provide mutual aid programs” </w:t>
      </w:r>
      <w:r w:rsidRPr="005D3F76">
        <w:rPr>
          <w:rFonts w:cs="Times New Roman"/>
          <w:szCs w:val="24"/>
        </w:rPr>
        <w:fldChar w:fldCharType="begin"/>
      </w:r>
      <w:r w:rsidRPr="005D3F76">
        <w:rPr>
          <w:rFonts w:cs="Times New Roman"/>
          <w:szCs w:val="24"/>
        </w:rPr>
        <w:instrText xml:space="preserve"> ADDIN EN.CITE &lt;EndNote&gt;&lt;Cite&gt;&lt;Author&gt;Kearney&lt;/Author&gt;&lt;Year&gt;2014&lt;/Year&gt;&lt;RecNum&gt;25&lt;/RecNum&gt;&lt;Pages&gt;15&lt;/Pages&gt;&lt;DisplayText&gt;(Kearney &amp;amp; Mareschal, 2014, p. 15)&lt;/DisplayText&gt;&lt;record&gt;&lt;rec-number&gt;25&lt;/rec-number&gt;&lt;foreign-keys&gt;&lt;key app="EN" db-id="etwareaz8xpxz3et59b50d9vxrata9z2w2zt" timestamp="1452614145"&gt;25&lt;/key&gt;&lt;/foreign-keys&gt;&lt;ref-type name="Book"&gt;6&lt;/ref-type&gt;&lt;contributors&gt;&lt;authors&gt;&lt;author&gt;Richard C Kearney&lt;/author&gt;&lt;author&gt;Patrice M Mareschal&lt;/author&gt;&lt;/authors&gt;&lt;/contributors&gt;&lt;titles&gt;&lt;title&gt;Labor Relations in the Public Sector&lt;/title&gt;&lt;/titles&gt;&lt;edition&gt;5th&lt;/edition&gt;&lt;dates&gt;&lt;year&gt;2014&lt;/year&gt;&lt;/dates&gt;&lt;pub-location&gt;Boca Raton, FL&lt;/pub-location&gt;&lt;publisher&gt;Taylor &amp;amp; Francis Group&lt;/publisher&gt;&lt;urls&gt;&lt;/urls&gt;&lt;/record&gt;&lt;/Cite&gt;&lt;/EndNote&gt;</w:instrText>
      </w:r>
      <w:r w:rsidRPr="005D3F76">
        <w:rPr>
          <w:rFonts w:cs="Times New Roman"/>
          <w:szCs w:val="24"/>
        </w:rPr>
        <w:fldChar w:fldCharType="separate"/>
      </w:r>
      <w:r w:rsidRPr="005D3F76">
        <w:rPr>
          <w:rFonts w:cs="Times New Roman"/>
          <w:noProof/>
          <w:szCs w:val="24"/>
        </w:rPr>
        <w:t>(Kearney &amp; Mareschal, 2014, p. 15)</w:t>
      </w:r>
      <w:r w:rsidRPr="005D3F76">
        <w:rPr>
          <w:rFonts w:cs="Times New Roman"/>
          <w:szCs w:val="24"/>
        </w:rPr>
        <w:fldChar w:fldCharType="end"/>
      </w:r>
      <w:r w:rsidRPr="005D3F76">
        <w:rPr>
          <w:rFonts w:cs="Times New Roman"/>
          <w:szCs w:val="24"/>
        </w:rPr>
        <w:t xml:space="preserve">. The individuals who formed the association were also anti-union administrators; this added to the discriminatory issues within the early NEA as well </w:t>
      </w:r>
      <w:r w:rsidRPr="005D3F76">
        <w:rPr>
          <w:rFonts w:cs="Times New Roman"/>
          <w:szCs w:val="24"/>
        </w:rPr>
        <w:fldChar w:fldCharType="begin"/>
      </w:r>
      <w:r w:rsidRPr="005D3F76">
        <w:rPr>
          <w:rFonts w:cs="Times New Roman"/>
          <w:szCs w:val="24"/>
        </w:rPr>
        <w:instrText xml:space="preserve"> ADDIN EN.CITE &lt;EndNote&gt;&lt;Cite&gt;&lt;Author&gt;Moreno&lt;/Author&gt;&lt;Year&gt;2011&lt;/Year&gt;&lt;RecNum&gt;28&lt;/RecNum&gt;&lt;DisplayText&gt;(Moreno, 2011)&lt;/DisplayText&gt;&lt;record&gt;&lt;rec-number&gt;28&lt;/rec-number&gt;&lt;foreign-keys&gt;&lt;key app="EN" db-id="etwareaz8xpxz3et59b50d9vxrata9z2w2zt" timestamp="1452620423"&gt;28&lt;/key&gt;&lt;/foreign-keys&gt;&lt;ref-type name="Electronic Article"&gt;43&lt;/ref-type&gt;&lt;contributors&gt;&lt;authors&gt;&lt;author&gt;Paul Moreno&lt;/author&gt;&lt;/authors&gt;&lt;/contributors&gt;&lt;titles&gt;&lt;title&gt;The Hisory of Public-Sector Unionism&lt;/title&gt;&lt;secondary-title&gt;Free Market Forum&lt;/secondary-title&gt;&lt;/titles&gt;&lt;periodical&gt;&lt;full-title&gt;Free Market Forum&lt;/full-title&gt;&lt;/periodical&gt;&lt;dates&gt;&lt;year&gt;2011&lt;/year&gt;&lt;/dates&gt;&lt;publisher&gt;Hillsdale College&lt;/publisher&gt;&lt;urls&gt;&lt;/urls&gt;&lt;/record&gt;&lt;/Cite&gt;&lt;/EndNote&gt;</w:instrText>
      </w:r>
      <w:r w:rsidRPr="005D3F76">
        <w:rPr>
          <w:rFonts w:cs="Times New Roman"/>
          <w:szCs w:val="24"/>
        </w:rPr>
        <w:fldChar w:fldCharType="separate"/>
      </w:r>
      <w:r w:rsidRPr="005D3F76">
        <w:rPr>
          <w:rFonts w:cs="Times New Roman"/>
          <w:noProof/>
          <w:szCs w:val="24"/>
        </w:rPr>
        <w:t>(Moreno, 2011)</w:t>
      </w:r>
      <w:r w:rsidRPr="005D3F76">
        <w:rPr>
          <w:rFonts w:cs="Times New Roman"/>
          <w:szCs w:val="24"/>
        </w:rPr>
        <w:fldChar w:fldCharType="end"/>
      </w:r>
      <w:r w:rsidRPr="005D3F76">
        <w:rPr>
          <w:rFonts w:cs="Times New Roman"/>
          <w:szCs w:val="24"/>
        </w:rPr>
        <w:t>. Hence, throughout much of the early 20</w:t>
      </w:r>
      <w:r w:rsidRPr="005D3F76">
        <w:rPr>
          <w:rFonts w:cs="Times New Roman"/>
          <w:szCs w:val="24"/>
          <w:vertAlign w:val="superscript"/>
        </w:rPr>
        <w:t>th</w:t>
      </w:r>
      <w:r w:rsidRPr="005D3F76">
        <w:rPr>
          <w:rFonts w:cs="Times New Roman"/>
          <w:szCs w:val="24"/>
        </w:rPr>
        <w:t xml:space="preserve"> century, the NEA continued to be mostly geared toward only certain members of the educational force, excluding large numbers of both teachers and minorities.</w:t>
      </w:r>
    </w:p>
    <w:p w14:paraId="1EB6A997" w14:textId="4E4050D5" w:rsidR="00B03557" w:rsidRPr="005D3F76" w:rsidRDefault="00B03557" w:rsidP="00DA365C">
      <w:pPr>
        <w:ind w:firstLine="720"/>
        <w:rPr>
          <w:rFonts w:cs="Times New Roman"/>
          <w:szCs w:val="24"/>
        </w:rPr>
      </w:pPr>
      <w:r w:rsidRPr="005D3F76">
        <w:rPr>
          <w:rFonts w:cs="Times New Roman"/>
          <w:szCs w:val="24"/>
        </w:rPr>
        <w:t xml:space="preserve">The NEA also tended to disregard certain issues that pertained to only teachers. The trend of largely excluding issues around teachers themselves would extend well into the mid 1900’s </w:t>
      </w:r>
      <w:r w:rsidRPr="005D3F76">
        <w:rPr>
          <w:rFonts w:cs="Times New Roman"/>
          <w:szCs w:val="24"/>
        </w:rPr>
        <w:fldChar w:fldCharType="begin"/>
      </w:r>
      <w:r w:rsidRPr="005D3F76">
        <w:rPr>
          <w:rFonts w:cs="Times New Roman"/>
          <w:szCs w:val="24"/>
        </w:rPr>
        <w:instrText xml:space="preserve"> ADDIN EN.CITE &lt;EndNote&gt;&lt;Cite&gt;&lt;Author&gt;National Education Association&lt;/Author&gt;&lt;Year&gt;2014&lt;/Year&gt;&lt;RecNum&gt;311&lt;/RecNum&gt;&lt;DisplayText&gt;(Murphy, 1990; National Education Association, 2014)&lt;/DisplayText&gt;&lt;record&gt;&lt;rec-number&gt;311&lt;/rec-number&gt;&lt;foreign-keys&gt;&lt;key app="EN" db-id="etwareaz8xpxz3et59b50d9vxrata9z2w2zt" timestamp="1465702212"&gt;311&lt;/key&gt;&lt;/foreign-keys&gt;&lt;ref-type name="Web Page"&gt;12&lt;/ref-type&gt;&lt;contributors&gt;&lt;authors&gt;&lt;author&gt;National Education Association,&lt;/author&gt;&lt;/authors&gt;&lt;/contributors&gt;&lt;titles&gt;&lt;title&gt;Great Public Schools for Every Student&lt;/title&gt;&lt;/titles&gt;&lt;volume&gt;2015&lt;/volume&gt;&lt;number&gt;February 22&lt;/number&gt;&lt;dates&gt;&lt;year&gt;2014&lt;/year&gt;&lt;/dates&gt;&lt;urls&gt;&lt;related-urls&gt;&lt;url&gt;www.nea.org&lt;/url&gt;&lt;/related-urls&gt;&lt;/urls&gt;&lt;/record&gt;&lt;/Cite&gt;&lt;Cite&gt;&lt;Author&gt;Murphy&lt;/Author&gt;&lt;Year&gt;1990&lt;/Year&gt;&lt;RecNum&gt;38&lt;/RecNum&gt;&lt;record&gt;&lt;rec-number&gt;38&lt;/rec-number&gt;&lt;foreign-keys&gt;&lt;key app="EN" db-id="etwareaz8xpxz3et59b50d9vxrata9z2w2zt" timestamp="1452798089"&gt;38&lt;/key&gt;&lt;/foreign-keys&gt;&lt;ref-type name="Book"&gt;6&lt;/ref-type&gt;&lt;contributors&gt;&lt;authors&gt;&lt;author&gt;M. Murphy&lt;/author&gt;&lt;/authors&gt;&lt;/contributors&gt;&lt;titles&gt;&lt;title&gt;Blackboard Unions: The AFT and the NEA, 1900-1980&lt;/title&gt;&lt;/titles&gt;&lt;dates&gt;&lt;year&gt;1990&lt;/year&gt;&lt;/dates&gt;&lt;pub-location&gt;New York&lt;/pub-location&gt;&lt;publisher&gt;Cornell University Press&lt;/publisher&gt;&lt;urls&gt;&lt;/urls&gt;&lt;/record&gt;&lt;/Cite&gt;&lt;/EndNote&gt;</w:instrText>
      </w:r>
      <w:r w:rsidRPr="005D3F76">
        <w:rPr>
          <w:rFonts w:cs="Times New Roman"/>
          <w:szCs w:val="24"/>
        </w:rPr>
        <w:fldChar w:fldCharType="separate"/>
      </w:r>
      <w:r w:rsidRPr="005D3F76">
        <w:rPr>
          <w:rFonts w:cs="Times New Roman"/>
          <w:noProof/>
          <w:szCs w:val="24"/>
        </w:rPr>
        <w:t>(Murphy, 1990; National Education Association, 2014)</w:t>
      </w:r>
      <w:r w:rsidRPr="005D3F76">
        <w:rPr>
          <w:rFonts w:cs="Times New Roman"/>
          <w:szCs w:val="24"/>
        </w:rPr>
        <w:fldChar w:fldCharType="end"/>
      </w:r>
      <w:r w:rsidRPr="005D3F76">
        <w:rPr>
          <w:rFonts w:cs="Times New Roman"/>
          <w:szCs w:val="24"/>
        </w:rPr>
        <w:t xml:space="preserve">. For instance, in many places state laws and local ordinances prohibited teachers from smoking, restricted dress attire, regulated leisure time activities, and even in many instances gave curfews and bedtimes for teachers </w:t>
      </w:r>
      <w:r w:rsidRPr="005D3F76">
        <w:rPr>
          <w:rFonts w:cs="Times New Roman"/>
          <w:szCs w:val="24"/>
        </w:rPr>
        <w:fldChar w:fldCharType="begin"/>
      </w:r>
      <w:r w:rsidRPr="005D3F76">
        <w:rPr>
          <w:rFonts w:cs="Times New Roman"/>
          <w:szCs w:val="24"/>
        </w:rPr>
        <w:instrText xml:space="preserve"> ADDIN EN.CITE &lt;EndNote&gt;&lt;Cite&gt;&lt;Author&gt;Kearney&lt;/Author&gt;&lt;Year&gt;2014&lt;/Year&gt;&lt;RecNum&gt;25&lt;/RecNum&gt;&lt;DisplayText&gt;(Kearney &amp;amp; Mareschal, 2014; Spero, 1948)&lt;/DisplayText&gt;&lt;record&gt;&lt;rec-number&gt;25&lt;/rec-number&gt;&lt;foreign-keys&gt;&lt;key app="EN" db-id="etwareaz8xpxz3et59b50d9vxrata9z2w2zt" timestamp="1452614145"&gt;25&lt;/key&gt;&lt;/foreign-keys&gt;&lt;ref-type name="Book"&gt;6&lt;/ref-type&gt;&lt;contributors&gt;&lt;authors&gt;&lt;author&gt;Richard C Kearney&lt;/author&gt;&lt;author&gt;Patrice M Mareschal&lt;/author&gt;&lt;/authors&gt;&lt;/contributors&gt;&lt;titles&gt;&lt;title&gt;Labor Relations in the Public Sector&lt;/title&gt;&lt;/titles&gt;&lt;edition&gt;5th&lt;/edition&gt;&lt;dates&gt;&lt;year&gt;2014&lt;/year&gt;&lt;/dates&gt;&lt;pub-location&gt;Boca Raton, FL&lt;/pub-location&gt;&lt;publisher&gt;Taylor &amp;amp; Francis Group&lt;/publisher&gt;&lt;urls&gt;&lt;/urls&gt;&lt;/record&gt;&lt;/Cite&gt;&lt;Cite&gt;&lt;Author&gt;Spero&lt;/Author&gt;&lt;Year&gt;1948&lt;/Year&gt;&lt;RecNum&gt;39&lt;/RecNum&gt;&lt;record&gt;&lt;rec-number&gt;39&lt;/rec-number&gt;&lt;foreign-keys&gt;&lt;key app="EN" db-id="etwareaz8xpxz3et59b50d9vxrata9z2w2zt" timestamp="1452798283"&gt;39&lt;/key&gt;&lt;/foreign-keys&gt;&lt;ref-type name="Book"&gt;6&lt;/ref-type&gt;&lt;contributors&gt;&lt;authors&gt;&lt;author&gt;Sterling D. Spero&lt;/author&gt;&lt;/authors&gt;&lt;/contributors&gt;&lt;titles&gt;&lt;title&gt;Government as Employer&lt;/title&gt;&lt;/titles&gt;&lt;dates&gt;&lt;year&gt;1948&lt;/year&gt;&lt;/dates&gt;&lt;pub-location&gt;New York&lt;/pub-location&gt;&lt;publisher&gt;Remsen Press&lt;/publisher&gt;&lt;urls&gt;&lt;/urls&gt;&lt;/record&gt;&lt;/Cite&gt;&lt;/EndNote&gt;</w:instrText>
      </w:r>
      <w:r w:rsidRPr="005D3F76">
        <w:rPr>
          <w:rFonts w:cs="Times New Roman"/>
          <w:szCs w:val="24"/>
        </w:rPr>
        <w:fldChar w:fldCharType="separate"/>
      </w:r>
      <w:r w:rsidRPr="005D3F76">
        <w:rPr>
          <w:rFonts w:cs="Times New Roman"/>
          <w:noProof/>
          <w:szCs w:val="24"/>
        </w:rPr>
        <w:t>(Kearney &amp; Mareschal, 2014; Spero, 1948)</w:t>
      </w:r>
      <w:r w:rsidRPr="005D3F76">
        <w:rPr>
          <w:rFonts w:cs="Times New Roman"/>
          <w:szCs w:val="24"/>
        </w:rPr>
        <w:fldChar w:fldCharType="end"/>
      </w:r>
      <w:r w:rsidRPr="005D3F76">
        <w:rPr>
          <w:rFonts w:cs="Times New Roman"/>
          <w:szCs w:val="24"/>
        </w:rPr>
        <w:t xml:space="preserve">. In one north Carolina location teachers were told they must “sleep at least 8 hour a night, to eat carefully, and to take every precaution to keep in the best of health and spirits” </w:t>
      </w:r>
      <w:r w:rsidRPr="005D3F76">
        <w:rPr>
          <w:rFonts w:cs="Times New Roman"/>
          <w:szCs w:val="24"/>
        </w:rPr>
        <w:fldChar w:fldCharType="begin"/>
      </w:r>
      <w:r w:rsidRPr="005D3F76">
        <w:rPr>
          <w:rFonts w:cs="Times New Roman"/>
          <w:szCs w:val="24"/>
        </w:rPr>
        <w:instrText xml:space="preserve"> ADDIN EN.CITE &lt;EndNote&gt;&lt;Cite&gt;&lt;Author&gt;Spero&lt;/Author&gt;&lt;Year&gt;1948&lt;/Year&gt;&lt;RecNum&gt;39&lt;/RecNum&gt;&lt;Pages&gt;298-300&lt;/Pages&gt;&lt;DisplayText&gt;(Spero, 1948, pp. 298-300)&lt;/DisplayText&gt;&lt;record&gt;&lt;rec-number&gt;39&lt;/rec-number&gt;&lt;foreign-keys&gt;&lt;key app="EN" db-id="etwareaz8xpxz3et59b50d9vxrata9z2w2zt" timestamp="1452798283"&gt;39&lt;/key&gt;&lt;/foreign-keys&gt;&lt;ref-type name="Book"&gt;6&lt;/ref-type&gt;&lt;contributors&gt;&lt;authors&gt;&lt;author&gt;Sterling D. Spero&lt;/author&gt;&lt;/authors&gt;&lt;/contributors&gt;&lt;titles&gt;&lt;title&gt;Government as Employer&lt;/title&gt;&lt;/titles&gt;&lt;dates&gt;&lt;year&gt;1948&lt;/year&gt;&lt;/dates&gt;&lt;pub-location&gt;New York&lt;/pub-location&gt;&lt;publisher&gt;Remsen Press&lt;/publisher&gt;&lt;urls&gt;&lt;/urls&gt;&lt;/record&gt;&lt;/Cite&gt;&lt;/EndNote&gt;</w:instrText>
      </w:r>
      <w:r w:rsidRPr="005D3F76">
        <w:rPr>
          <w:rFonts w:cs="Times New Roman"/>
          <w:szCs w:val="24"/>
        </w:rPr>
        <w:fldChar w:fldCharType="separate"/>
      </w:r>
      <w:r w:rsidRPr="005D3F76">
        <w:rPr>
          <w:rFonts w:cs="Times New Roman"/>
          <w:noProof/>
          <w:szCs w:val="24"/>
        </w:rPr>
        <w:t>(Spero, 1948, pp. 298-300)</w:t>
      </w:r>
      <w:r w:rsidRPr="005D3F76">
        <w:rPr>
          <w:rFonts w:cs="Times New Roman"/>
          <w:szCs w:val="24"/>
        </w:rPr>
        <w:fldChar w:fldCharType="end"/>
      </w:r>
      <w:r w:rsidRPr="005D3F76">
        <w:rPr>
          <w:rFonts w:cs="Times New Roman"/>
          <w:szCs w:val="24"/>
        </w:rPr>
        <w:t xml:space="preserve">. In certain areas of New York, curfews or bedtimes of 10:00 were mandated by ordinances </w:t>
      </w:r>
      <w:r w:rsidRPr="005D3F76">
        <w:rPr>
          <w:rFonts w:cs="Times New Roman"/>
          <w:szCs w:val="24"/>
        </w:rPr>
        <w:fldChar w:fldCharType="begin"/>
      </w:r>
      <w:r w:rsidRPr="005D3F76">
        <w:rPr>
          <w:rFonts w:cs="Times New Roman"/>
          <w:szCs w:val="24"/>
        </w:rPr>
        <w:instrText xml:space="preserve"> ADDIN EN.CITE &lt;EndNote&gt;&lt;Cite&gt;&lt;Author&gt;Kearney&lt;/Author&gt;&lt;Year&gt;2014&lt;/Year&gt;&lt;RecNum&gt;25&lt;/RecNum&gt;&lt;DisplayText&gt;(Kearney &amp;amp; Mareschal, 2014)&lt;/DisplayText&gt;&lt;record&gt;&lt;rec-number&gt;25&lt;/rec-number&gt;&lt;foreign-keys&gt;&lt;key app="EN" db-id="etwareaz8xpxz3et59b50d9vxrata9z2w2zt" timestamp="1452614145"&gt;25&lt;/key&gt;&lt;/foreign-keys&gt;&lt;ref-type name="Book"&gt;6&lt;/ref-type&gt;&lt;contributors&gt;&lt;authors&gt;&lt;author&gt;Richard C Kearney&lt;/author&gt;&lt;author&gt;Patrice M Mareschal&lt;/author&gt;&lt;/authors&gt;&lt;/contributors&gt;&lt;titles&gt;&lt;title&gt;Labor Relations in the Public Sector&lt;/title&gt;&lt;/titles&gt;&lt;edition&gt;5th&lt;/edition&gt;&lt;dates&gt;&lt;year&gt;2014&lt;/year&gt;&lt;/dates&gt;&lt;pub-location&gt;Boca Raton, FL&lt;/pub-location&gt;&lt;publisher&gt;Taylor &amp;amp; Francis Group&lt;/publisher&gt;&lt;urls&gt;&lt;/urls&gt;&lt;/record&gt;&lt;/Cite&gt;&lt;/EndNote&gt;</w:instrText>
      </w:r>
      <w:r w:rsidRPr="005D3F76">
        <w:rPr>
          <w:rFonts w:cs="Times New Roman"/>
          <w:szCs w:val="24"/>
        </w:rPr>
        <w:fldChar w:fldCharType="separate"/>
      </w:r>
      <w:r w:rsidRPr="005D3F76">
        <w:rPr>
          <w:rFonts w:cs="Times New Roman"/>
          <w:noProof/>
          <w:szCs w:val="24"/>
        </w:rPr>
        <w:t>(Kearney &amp; Mareschal, 2014)</w:t>
      </w:r>
      <w:r w:rsidRPr="005D3F76">
        <w:rPr>
          <w:rFonts w:cs="Times New Roman"/>
          <w:szCs w:val="24"/>
        </w:rPr>
        <w:fldChar w:fldCharType="end"/>
      </w:r>
      <w:r w:rsidRPr="005D3F76">
        <w:rPr>
          <w:rFonts w:cs="Times New Roman"/>
          <w:szCs w:val="24"/>
        </w:rPr>
        <w:t xml:space="preserve">. And in many places in the U.S., marriage bans were enacted for teachers, especially women </w:t>
      </w:r>
      <w:r w:rsidRPr="005D3F76">
        <w:rPr>
          <w:rFonts w:cs="Times New Roman"/>
          <w:szCs w:val="24"/>
        </w:rPr>
        <w:fldChar w:fldCharType="begin"/>
      </w:r>
      <w:r w:rsidRPr="005D3F76">
        <w:rPr>
          <w:rFonts w:cs="Times New Roman"/>
          <w:szCs w:val="24"/>
        </w:rPr>
        <w:instrText xml:space="preserve"> ADDIN EN.CITE &lt;EndNote&gt;&lt;Cite&gt;&lt;Author&gt;Quantz&lt;/Author&gt;&lt;Year&gt;1985&lt;/Year&gt;&lt;RecNum&gt;217&lt;/RecNum&gt;&lt;DisplayText&gt;(Quantz, 1985)&lt;/DisplayText&gt;&lt;record&gt;&lt;rec-number&gt;217&lt;/rec-number&gt;&lt;foreign-keys&gt;&lt;key app="EN" db-id="etwareaz8xpxz3et59b50d9vxrata9z2w2zt" timestamp="1461637023"&gt;217&lt;/key&gt;&lt;/foreign-keys&gt;&lt;ref-type name="Journal Article"&gt;17&lt;/ref-type&gt;&lt;contributors&gt;&lt;authors&gt;&lt;author&gt;Richard A. Quantz&lt;/author&gt;&lt;/authors&gt;&lt;/contributors&gt;&lt;titles&gt;&lt;title&gt;The Complex Visions of Female Teachers and the Failure of Unionization in the 1930&amp;apos;s: An Oral History&lt;/title&gt;&lt;secondary-title&gt;History of Education Quarterly&lt;/secondary-title&gt;&lt;/titles&gt;&lt;periodical&gt;&lt;full-title&gt;History of Education Quarterly&lt;/full-title&gt;&lt;/periodical&gt;&lt;pages&gt;439-458&lt;/pages&gt;&lt;volume&gt;25&lt;/volume&gt;&lt;number&gt;4&lt;/number&gt;&lt;dates&gt;&lt;year&gt;1985&lt;/year&gt;&lt;/dates&gt;&lt;urls&gt;&lt;/urls&gt;&lt;/record&gt;&lt;/Cite&gt;&lt;/EndNote&gt;</w:instrText>
      </w:r>
      <w:r w:rsidRPr="005D3F76">
        <w:rPr>
          <w:rFonts w:cs="Times New Roman"/>
          <w:szCs w:val="24"/>
        </w:rPr>
        <w:fldChar w:fldCharType="separate"/>
      </w:r>
      <w:r w:rsidRPr="005D3F76">
        <w:rPr>
          <w:rFonts w:cs="Times New Roman"/>
          <w:noProof/>
          <w:szCs w:val="24"/>
        </w:rPr>
        <w:t>(Quantz, 1985)</w:t>
      </w:r>
      <w:r w:rsidRPr="005D3F76">
        <w:rPr>
          <w:rFonts w:cs="Times New Roman"/>
          <w:szCs w:val="24"/>
        </w:rPr>
        <w:fldChar w:fldCharType="end"/>
      </w:r>
      <w:r w:rsidRPr="005D3F76">
        <w:rPr>
          <w:rFonts w:cs="Times New Roman"/>
          <w:szCs w:val="24"/>
        </w:rPr>
        <w:t xml:space="preserve">. Female teachers often were secretly married and lived separately just so they could continue teaching.  </w:t>
      </w:r>
    </w:p>
    <w:p w14:paraId="6094CAA3" w14:textId="77777777" w:rsidR="00B03557" w:rsidRPr="005D3F76" w:rsidRDefault="00B03557" w:rsidP="00DA365C">
      <w:pPr>
        <w:ind w:firstLine="720"/>
        <w:rPr>
          <w:rFonts w:cs="Times New Roman"/>
          <w:szCs w:val="24"/>
        </w:rPr>
      </w:pPr>
      <w:r w:rsidRPr="005D3F76">
        <w:rPr>
          <w:rFonts w:cs="Times New Roman"/>
          <w:szCs w:val="24"/>
        </w:rPr>
        <w:t xml:space="preserve">In response to these rules and regulations confronted by many teachers throughout the nation, considered outlandish by today’s standards, the Chicago, Illinois and San Antonio, Texas, </w:t>
      </w:r>
      <w:r w:rsidRPr="005D3F76">
        <w:rPr>
          <w:rFonts w:cs="Times New Roman"/>
          <w:i/>
          <w:szCs w:val="24"/>
        </w:rPr>
        <w:t xml:space="preserve">Teachers Federation </w:t>
      </w:r>
      <w:r w:rsidRPr="005D3F76">
        <w:rPr>
          <w:rFonts w:cs="Times New Roman"/>
          <w:szCs w:val="24"/>
        </w:rPr>
        <w:t>(TF)</w:t>
      </w:r>
      <w:r w:rsidRPr="005D3F76">
        <w:rPr>
          <w:rFonts w:cs="Times New Roman"/>
          <w:i/>
          <w:szCs w:val="24"/>
        </w:rPr>
        <w:t xml:space="preserve"> </w:t>
      </w:r>
      <w:r w:rsidRPr="005D3F76">
        <w:rPr>
          <w:rFonts w:cs="Times New Roman"/>
          <w:szCs w:val="24"/>
        </w:rPr>
        <w:t xml:space="preserve">responded by affiliating with the </w:t>
      </w:r>
      <w:r w:rsidRPr="005D3F76">
        <w:rPr>
          <w:rFonts w:cs="Times New Roman"/>
          <w:i/>
          <w:szCs w:val="24"/>
        </w:rPr>
        <w:t xml:space="preserve">American Federation of Labor </w:t>
      </w:r>
      <w:r w:rsidRPr="005D3F76">
        <w:rPr>
          <w:rFonts w:cs="Times New Roman"/>
          <w:szCs w:val="24"/>
        </w:rPr>
        <w:t xml:space="preserve">(AFL). Other teacher organizations began to come together and in 1916 the </w:t>
      </w:r>
      <w:r w:rsidRPr="005D3F76">
        <w:rPr>
          <w:rFonts w:cs="Times New Roman"/>
          <w:i/>
          <w:szCs w:val="24"/>
        </w:rPr>
        <w:t xml:space="preserve">American Federation </w:t>
      </w:r>
      <w:r w:rsidRPr="005D3F76">
        <w:rPr>
          <w:rFonts w:cs="Times New Roman"/>
          <w:i/>
          <w:szCs w:val="24"/>
        </w:rPr>
        <w:lastRenderedPageBreak/>
        <w:t xml:space="preserve">of Teachers </w:t>
      </w:r>
      <w:r w:rsidRPr="005D3F76">
        <w:rPr>
          <w:rFonts w:cs="Times New Roman"/>
          <w:szCs w:val="24"/>
        </w:rPr>
        <w:t xml:space="preserve">(AFT) was founded. The AFT member numbers have grown over the decades, however by the early 1960’s, only 5% of teacher union members belonged to the AFT, mostly consisting in large urban areas, such as Chicago, New York, and Atlanta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&lt;EndNote&gt;&lt;Cite&gt;&lt;Author&gt;Moe&lt;/Author&gt;&lt;Year&gt;2011&lt;/Year&gt;&lt;RecNum&gt;74&lt;/RecNum&gt;&lt;DisplayText&gt;(Moe, 2011)&lt;/DisplayText&gt;&lt;record&gt;&lt;rec-number&gt;74&lt;/rec-number&gt;&lt;foreign-keys&gt;&lt;key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w:t>
      </w:r>
      <w:r w:rsidRPr="005D3F76">
        <w:rPr>
          <w:rFonts w:cs="Times New Roman"/>
          <w:szCs w:val="24"/>
        </w:rPr>
        <w:fldChar w:fldCharType="end"/>
      </w:r>
      <w:r w:rsidRPr="005D3F76">
        <w:rPr>
          <w:rFonts w:cs="Times New Roman"/>
          <w:szCs w:val="24"/>
        </w:rPr>
        <w:t xml:space="preserve">. </w:t>
      </w:r>
    </w:p>
    <w:p w14:paraId="472EC5AD" w14:textId="77777777" w:rsidR="00B03557" w:rsidRPr="005D3F76" w:rsidRDefault="00B03557" w:rsidP="00DA365C">
      <w:pPr>
        <w:ind w:firstLine="720"/>
        <w:rPr>
          <w:rFonts w:cs="Times New Roman"/>
          <w:szCs w:val="24"/>
        </w:rPr>
      </w:pPr>
      <w:r w:rsidRPr="005D3F76">
        <w:rPr>
          <w:rFonts w:cs="Times New Roman"/>
          <w:szCs w:val="24"/>
        </w:rPr>
        <w:t xml:space="preserve">Unlike the NEA, the AFT began with concerns for human rights; allowing and encouraging all members of the educational community to join </w:t>
      </w:r>
      <w:r w:rsidRPr="005D3F76">
        <w:rPr>
          <w:rFonts w:cs="Times New Roman"/>
          <w:szCs w:val="24"/>
        </w:rPr>
        <w:fldChar w:fldCharType="begin"/>
      </w:r>
      <w:r w:rsidRPr="005D3F76">
        <w:rPr>
          <w:rFonts w:cs="Times New Roman"/>
          <w:szCs w:val="24"/>
        </w:rPr>
        <w:instrText xml:space="preserve"> ADDIN EN.CITE &lt;EndNote&gt;&lt;Cite&gt;&lt;Author&gt;Murphy&lt;/Author&gt;&lt;Year&gt;1990&lt;/Year&gt;&lt;RecNum&gt;38&lt;/RecNum&gt;&lt;DisplayText&gt;(Murphy, 1990; National Education Association, 2014)&lt;/DisplayText&gt;&lt;record&gt;&lt;rec-number&gt;38&lt;/rec-number&gt;&lt;foreign-keys&gt;&lt;key app="EN" db-id="etwareaz8xpxz3et59b50d9vxrata9z2w2zt" timestamp="1452798089"&gt;38&lt;/key&gt;&lt;/foreign-keys&gt;&lt;ref-type name="Book"&gt;6&lt;/ref-type&gt;&lt;contributors&gt;&lt;authors&gt;&lt;author&gt;M. Murphy&lt;/author&gt;&lt;/authors&gt;&lt;/contributors&gt;&lt;titles&gt;&lt;title&gt;Blackboard Unions: The AFT and the NEA, 1900-1980&lt;/title&gt;&lt;/titles&gt;&lt;dates&gt;&lt;year&gt;1990&lt;/year&gt;&lt;/dates&gt;&lt;pub-location&gt;New York&lt;/pub-location&gt;&lt;publisher&gt;Cornell University Press&lt;/publisher&gt;&lt;urls&gt;&lt;/urls&gt;&lt;/record&gt;&lt;/Cite&gt;&lt;Cite&gt;&lt;Author&gt;National Education Association&lt;/Author&gt;&lt;Year&gt;2014&lt;/Year&gt;&lt;RecNum&gt;311&lt;/RecNum&gt;&lt;record&gt;&lt;rec-number&gt;311&lt;/rec-number&gt;&lt;foreign-keys&gt;&lt;key app="EN" db-id="etwareaz8xpxz3et59b50d9vxrata9z2w2zt" timestamp="1465702212"&gt;311&lt;/key&gt;&lt;/foreign-keys&gt;&lt;ref-type name="Web Page"&gt;12&lt;/ref-type&gt;&lt;contributors&gt;&lt;authors&gt;&lt;author&gt;National Education Association,&lt;/author&gt;&lt;/authors&gt;&lt;/contributors&gt;&lt;titles&gt;&lt;title&gt;Great Public Schools for Every Student&lt;/title&gt;&lt;/titles&gt;&lt;volume&gt;2015&lt;/volume&gt;&lt;number&gt;February 22&lt;/number&gt;&lt;dates&gt;&lt;year&gt;2014&lt;/year&gt;&lt;/dates&gt;&lt;urls&gt;&lt;related-urls&gt;&lt;url&gt;www.nea.org&lt;/url&gt;&lt;/related-urls&gt;&lt;/urls&gt;&lt;/record&gt;&lt;/Cite&gt;&lt;/EndNote&gt;</w:instrText>
      </w:r>
      <w:r w:rsidRPr="005D3F76">
        <w:rPr>
          <w:rFonts w:cs="Times New Roman"/>
          <w:szCs w:val="24"/>
        </w:rPr>
        <w:fldChar w:fldCharType="separate"/>
      </w:r>
      <w:r w:rsidRPr="005D3F76">
        <w:rPr>
          <w:rFonts w:cs="Times New Roman"/>
          <w:noProof/>
          <w:szCs w:val="24"/>
        </w:rPr>
        <w:t>(Murphy, 1990; National Education Association, 2014)</w:t>
      </w:r>
      <w:r w:rsidRPr="005D3F76">
        <w:rPr>
          <w:rFonts w:cs="Times New Roman"/>
          <w:szCs w:val="24"/>
        </w:rPr>
        <w:fldChar w:fldCharType="end"/>
      </w:r>
      <w:r w:rsidRPr="005D3F76">
        <w:rPr>
          <w:rFonts w:cs="Times New Roman"/>
          <w:szCs w:val="24"/>
        </w:rPr>
        <w:t xml:space="preserve">. Hence, the AFT was the first trade union to allow minorities to join </w:t>
      </w:r>
      <w:r w:rsidRPr="005D3F76">
        <w:rPr>
          <w:rFonts w:cs="Times New Roman"/>
          <w:szCs w:val="24"/>
        </w:rPr>
        <w:fldChar w:fldCharType="begin"/>
      </w:r>
      <w:r w:rsidRPr="005D3F76">
        <w:rPr>
          <w:rFonts w:cs="Times New Roman"/>
          <w:szCs w:val="24"/>
        </w:rPr>
        <w:instrText xml:space="preserve"> ADDIN EN.CITE &lt;EndNote&gt;&lt;Cite&gt;&lt;Author&gt;American Federation of Teachers&lt;/Author&gt;&lt;Year&gt;2015&lt;/Year&gt;&lt;RecNum&gt;314&lt;/RecNum&gt;&lt;DisplayText&gt;(American Federation of Teachers, 2015a)&lt;/DisplayText&gt;&lt;record&gt;&lt;rec-number&gt;314&lt;/rec-number&gt;&lt;foreign-keys&gt;&lt;key app="EN" db-id="etwareaz8xpxz3et59b50d9vxrata9z2w2zt" timestamp="1465702212"&gt;314&lt;/key&gt;&lt;/foreign-keys&gt;&lt;ref-type name="Web Page"&gt;12&lt;/ref-type&gt;&lt;contributors&gt;&lt;authors&gt;&lt;author&gt;American Federation of Teachers,&lt;/author&gt;&lt;/authors&gt;&lt;/contributors&gt;&lt;titles&gt;&lt;title&gt;History&lt;/title&gt;&lt;/titles&gt;&lt;volume&gt;2016&lt;/volume&gt;&lt;number&gt;January&lt;/number&gt;&lt;dates&gt;&lt;year&gt;2015&lt;/year&gt;&lt;/dates&gt;&lt;publisher&gt;American Feration of Teachers AFL-CIO&lt;/publisher&gt;&lt;urls&gt;&lt;related-urls&gt;&lt;url&gt;http://www.aft.org/about/history/&lt;/url&gt;&lt;/related-urls&gt;&lt;/urls&gt;&lt;/record&gt;&lt;/Cite&gt;&lt;/EndNote&gt;</w:instrText>
      </w:r>
      <w:r w:rsidRPr="005D3F76">
        <w:rPr>
          <w:rFonts w:cs="Times New Roman"/>
          <w:szCs w:val="24"/>
        </w:rPr>
        <w:fldChar w:fldCharType="separate"/>
      </w:r>
      <w:r w:rsidRPr="005D3F76">
        <w:rPr>
          <w:rFonts w:cs="Times New Roman"/>
          <w:noProof/>
          <w:szCs w:val="24"/>
        </w:rPr>
        <w:t>(American Federation of Teachers, 2015a)</w:t>
      </w:r>
      <w:r w:rsidRPr="005D3F76">
        <w:rPr>
          <w:rFonts w:cs="Times New Roman"/>
          <w:szCs w:val="24"/>
        </w:rPr>
        <w:fldChar w:fldCharType="end"/>
      </w:r>
      <w:r w:rsidRPr="005D3F76">
        <w:rPr>
          <w:rFonts w:cs="Times New Roman"/>
          <w:szCs w:val="24"/>
        </w:rPr>
        <w:t xml:space="preserve">. Further, the AFT has come under some scrutiny because, unlike the NEA, the AFT allows non-public sector workers and non-education specialists to join their union because of their affiliation with the more generic </w:t>
      </w:r>
      <w:r w:rsidRPr="005D3F76">
        <w:rPr>
          <w:rFonts w:cs="Times New Roman"/>
          <w:i/>
          <w:szCs w:val="24"/>
        </w:rPr>
        <w:t>American Federation of Labor</w:t>
      </w:r>
      <w:r w:rsidRPr="005D3F76">
        <w:rPr>
          <w:rFonts w:cs="Times New Roman"/>
          <w:szCs w:val="24"/>
        </w:rPr>
        <w:t xml:space="preserve">. In fact, a large segment of their union workforce comes from the medical field—nurses—which some concede should fall into other labor unions domain </w:t>
      </w:r>
      <w:r w:rsidRPr="005D3F76">
        <w:rPr>
          <w:rFonts w:cs="Times New Roman"/>
          <w:szCs w:val="24"/>
        </w:rPr>
        <w:fldChar w:fldCharType="begin"/>
      </w:r>
      <w:r w:rsidRPr="005D3F76">
        <w:rPr>
          <w:rFonts w:cs="Times New Roman"/>
          <w:szCs w:val="24"/>
        </w:rPr>
        <w:instrText xml:space="preserve"> ADDIN EN.CITE &lt;EndNote&gt;&lt;Cite&gt;&lt;Author&gt;Jamieson&lt;/Author&gt;&lt;Year&gt;2013&lt;/Year&gt;&lt;RecNum&gt;50&lt;/RecNum&gt;&lt;DisplayText&gt;(Jamieson, 2013)&lt;/DisplayText&gt;&lt;record&gt;&lt;rec-number&gt;50&lt;/rec-number&gt;&lt;foreign-keys&gt;&lt;key app="EN" db-id="etwareaz8xpxz3et59b50d9vxrata9z2w2zt" timestamp="1453223271"&gt;50&lt;/key&gt;&lt;/foreign-keys&gt;&lt;ref-type name="Web Page"&gt;12&lt;/ref-type&gt;&lt;contributors&gt;&lt;authors&gt;&lt;author&gt;Dave Jamieson&lt;/author&gt;&lt;/authors&gt;&lt;/contributors&gt;&lt;titles&gt;&lt;title&gt;American Federation of Teachers Bring Nurses&amp;apos; Union Onboard&lt;/title&gt;&lt;secondary-title&gt;What&amp;apos;s Working: Small Businesses&lt;/secondary-title&gt;&lt;/titles&gt;&lt;volume&gt;2016&lt;/volume&gt;&lt;number&gt;January&lt;/number&gt;&lt;dates&gt;&lt;year&gt;2013&lt;/year&gt;&lt;/dates&gt;&lt;pub-location&gt;Huff Post&lt;/pub-location&gt;&lt;publisher&gt;Huff Post&lt;/publisher&gt;&lt;urls&gt;&lt;related-urls&gt;&lt;url&gt;http://www.huffingtonpost.com/2013/02/14/american-federation-of-teachers-nurses-union_n_2685298.html&lt;/url&gt;&lt;/related-urls&gt;&lt;/urls&gt;&lt;/record&gt;&lt;/Cite&gt;&lt;/EndNote&gt;</w:instrText>
      </w:r>
      <w:r w:rsidRPr="005D3F76">
        <w:rPr>
          <w:rFonts w:cs="Times New Roman"/>
          <w:szCs w:val="24"/>
        </w:rPr>
        <w:fldChar w:fldCharType="separate"/>
      </w:r>
      <w:r w:rsidRPr="005D3F76">
        <w:rPr>
          <w:rFonts w:cs="Times New Roman"/>
          <w:noProof/>
          <w:szCs w:val="24"/>
        </w:rPr>
        <w:t>(Jamieson, 2013)</w:t>
      </w:r>
      <w:r w:rsidRPr="005D3F76">
        <w:rPr>
          <w:rFonts w:cs="Times New Roman"/>
          <w:szCs w:val="24"/>
        </w:rPr>
        <w:fldChar w:fldCharType="end"/>
      </w:r>
      <w:r w:rsidRPr="005D3F76">
        <w:rPr>
          <w:rFonts w:cs="Times New Roman"/>
          <w:szCs w:val="24"/>
        </w:rPr>
        <w:t xml:space="preserve">. Opponents of the inter-sectionality of the AFT claim that the two entities, public and private unions, have different apparatus and needs for their members. Nonetheless, the AFT has a strong affiliation specifically with educators throughout the U.S.  </w:t>
      </w:r>
    </w:p>
    <w:p w14:paraId="68625E5A" w14:textId="77777777" w:rsidR="00B03557" w:rsidRPr="005D3F76" w:rsidRDefault="00B03557" w:rsidP="00DA365C">
      <w:pPr>
        <w:ind w:firstLine="720"/>
        <w:rPr>
          <w:rFonts w:cs="Times New Roman"/>
          <w:szCs w:val="24"/>
        </w:rPr>
      </w:pPr>
      <w:r w:rsidRPr="005D3F76">
        <w:rPr>
          <w:rFonts w:cs="Times New Roman"/>
          <w:szCs w:val="24"/>
        </w:rPr>
        <w:t xml:space="preserve">The early years of both the NEA and the AFT were rocky at best, as was seen by most public sector unions throughout the U.S. However, by the 1960’s, public service activism opened up countless opportunities for change, and teacher unions would be no different. A pivotal moment in teacher union history for these two unions came in 1961, when “the AFT won a representation election in New York City, giving it the right to represent that city’s teachers in collective bargaining negotiations”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&lt;EndNote&gt;&lt;Cite&gt;&lt;Author&gt;Moe&lt;/Author&gt;&lt;Year&gt;2011&lt;/Year&gt;&lt;RecNum&gt;74&lt;/RecNum&gt;&lt;Pages&gt;153&lt;/Pages&gt;&lt;DisplayText&gt;(Moe, 2011, p. 153)&lt;/DisplayText&gt;&lt;record&gt;&lt;rec-number&gt;74&lt;/rec-number&gt;&lt;foreign-keys&gt;&lt;key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 p. 153)</w:t>
      </w:r>
      <w:r w:rsidRPr="005D3F76">
        <w:rPr>
          <w:rFonts w:cs="Times New Roman"/>
          <w:szCs w:val="24"/>
        </w:rPr>
        <w:fldChar w:fldCharType="end"/>
      </w:r>
      <w:r w:rsidRPr="005D3F76">
        <w:rPr>
          <w:rFonts w:cs="Times New Roman"/>
          <w:szCs w:val="24"/>
        </w:rPr>
        <w:t xml:space="preserve">. Then, in 1962, the leader of the United Federation of Teachers (UFT), Al Shanker, a member of the AFT union in New York, in conjunction with David Seldon, the president of the AFT at the time, staged a teacher strike in New York City </w:t>
      </w:r>
      <w:r w:rsidRPr="005D3F76">
        <w:rPr>
          <w:rFonts w:cs="Times New Roman"/>
          <w:szCs w:val="24"/>
        </w:rPr>
        <w:fldChar w:fldCharType="begin"/>
      </w:r>
      <w:r w:rsidRPr="005D3F76">
        <w:rPr>
          <w:rFonts w:cs="Times New Roman"/>
          <w:szCs w:val="24"/>
        </w:rPr>
        <w:instrText xml:space="preserve"> ADDIN EN.CITE &lt;EndNote&gt;&lt;Cite&gt;&lt;Author&gt;Woodring&lt;/Author&gt;&lt;Year&gt;1962&lt;/Year&gt;&lt;RecNum&gt;82&lt;/RecNum&gt;&lt;DisplayText&gt;(Woodring &amp;amp; Scaslos, 1962)&lt;/DisplayText&gt;&lt;record&gt;&lt;rec-number&gt;82&lt;/rec-number&gt;&lt;foreign-keys&gt;&lt;key app="EN" db-id="etwareaz8xpxz3et59b50d9vxrata9z2w2zt" timestamp="1454259932"&gt;82&lt;/key&gt;&lt;/foreign-keys&gt;&lt;ref-type name="Edited Book"&gt;28&lt;/ref-type&gt;&lt;contributors&gt;&lt;authors&gt;&lt;author&gt;P. Woodring&lt;/author&gt;&lt;author&gt;J. Scaslos&lt;/author&gt;&lt;/authors&gt;&lt;/contributors&gt;&lt;titles&gt;&lt;title&gt;The New York Teachers&amp;apos; Strike&lt;/title&gt;&lt;secondary-title&gt;The Saturday Review&lt;/secondary-title&gt;&lt;/titles&gt;&lt;dates&gt;&lt;year&gt;1962&lt;/year&gt;&lt;/dates&gt;&lt;pub-location&gt;New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(Woodring &amp; Scaslos, 1962)</w:t>
      </w:r>
      <w:r w:rsidRPr="005D3F76">
        <w:rPr>
          <w:rFonts w:cs="Times New Roman"/>
          <w:szCs w:val="24"/>
        </w:rPr>
        <w:fldChar w:fldCharType="end"/>
      </w:r>
      <w:r w:rsidRPr="005D3F76">
        <w:rPr>
          <w:rFonts w:cs="Times New Roman"/>
          <w:szCs w:val="24"/>
        </w:rPr>
        <w:t xml:space="preserve">. Over 20,000 teachers walked off the job, even </w:t>
      </w:r>
      <w:r w:rsidRPr="005D3F76">
        <w:rPr>
          <w:rFonts w:cs="Times New Roman"/>
          <w:szCs w:val="24"/>
        </w:rPr>
        <w:lastRenderedPageBreak/>
        <w:t xml:space="preserve">though striking was illegal according to New York state law </w:t>
      </w:r>
      <w:r w:rsidRPr="005D3F76">
        <w:rPr>
          <w:rFonts w:cs="Times New Roman"/>
          <w:szCs w:val="24"/>
        </w:rPr>
        <w:fldChar w:fldCharType="begin"/>
      </w:r>
      <w:r w:rsidRPr="005D3F76">
        <w:rPr>
          <w:rFonts w:cs="Times New Roman"/>
          <w:szCs w:val="24"/>
        </w:rPr>
        <w:instrText xml:space="preserve"> ADDIN EN.CITE &lt;EndNote&gt;&lt;Cite&gt;&lt;Author&gt;Woodring&lt;/Author&gt;&lt;Year&gt;1962&lt;/Year&gt;&lt;RecNum&gt;82&lt;/RecNum&gt;&lt;DisplayText&gt;(Woodring &amp;amp; Scaslos, 1962)&lt;/DisplayText&gt;&lt;record&gt;&lt;rec-number&gt;82&lt;/rec-number&gt;&lt;foreign-keys&gt;&lt;key app="EN" db-id="etwareaz8xpxz3et59b50d9vxrata9z2w2zt" timestamp="1454259932"&gt;82&lt;/key&gt;&lt;/foreign-keys&gt;&lt;ref-type name="Edited Book"&gt;28&lt;/ref-type&gt;&lt;contributors&gt;&lt;authors&gt;&lt;author&gt;P. Woodring&lt;/author&gt;&lt;author&gt;J. Scaslos&lt;/author&gt;&lt;/authors&gt;&lt;/contributors&gt;&lt;titles&gt;&lt;title&gt;The New York Teachers&amp;apos; Strike&lt;/title&gt;&lt;secondary-title&gt;The Saturday Review&lt;/secondary-title&gt;&lt;/titles&gt;&lt;dates&gt;&lt;year&gt;1962&lt;/year&gt;&lt;/dates&gt;&lt;pub-location&gt;New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(Woodring &amp; Scaslos, 1962)</w:t>
      </w:r>
      <w:r w:rsidRPr="005D3F76">
        <w:rPr>
          <w:rFonts w:cs="Times New Roman"/>
          <w:szCs w:val="24"/>
        </w:rPr>
        <w:fldChar w:fldCharType="end"/>
      </w:r>
      <w:r w:rsidRPr="005D3F76">
        <w:rPr>
          <w:rFonts w:cs="Times New Roman"/>
          <w:szCs w:val="24"/>
        </w:rPr>
        <w:t xml:space="preserve">. The results of the strike were a successful negotiation of teacher demands on the New York education system, most notably done by the AFT. This win for the AFT set in motion the aggressive campaigning throughout the nation for membership, creating some inter-rivalry between the NEA and the AFT, but showing that when the teacher unions were willing to organize and fight, a common good could be accomplished. </w:t>
      </w:r>
    </w:p>
    <w:p w14:paraId="20CAA11A" w14:textId="77777777" w:rsidR="00B03557" w:rsidRPr="005D3F76" w:rsidRDefault="00B03557" w:rsidP="00DA365C">
      <w:pPr>
        <w:ind w:firstLine="720"/>
        <w:rPr>
          <w:rFonts w:cs="Times New Roman"/>
          <w:szCs w:val="24"/>
        </w:rPr>
      </w:pPr>
      <w:r w:rsidRPr="005D3F76">
        <w:rPr>
          <w:rFonts w:cs="Times New Roman"/>
          <w:szCs w:val="24"/>
        </w:rPr>
        <w:t xml:space="preserve">Continually throughout the 1960’s and 1970’s, the two unions went head to head for membership numbers. The NEA used its already nationwide presence, a presence the AFT did not have, to secure large union membership, especially outside of large urban areas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&lt;EndNote&gt;&lt;Cite&gt;&lt;Author&gt;Moe&lt;/Author&gt;&lt;Year&gt;2011&lt;/Year&gt;&lt;RecNum&gt;74&lt;/RecNum&gt;&lt;DisplayText&gt;(Moe, 2011)&lt;/DisplayText&gt;&lt;record&gt;&lt;rec-number&gt;74&lt;/rec-number&gt;&lt;foreign-keys&gt;&lt;key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w:t>
      </w:r>
      <w:r w:rsidRPr="005D3F76">
        <w:rPr>
          <w:rFonts w:cs="Times New Roman"/>
          <w:szCs w:val="24"/>
        </w:rPr>
        <w:fldChar w:fldCharType="end"/>
      </w:r>
      <w:r w:rsidRPr="005D3F76">
        <w:rPr>
          <w:rFonts w:cs="Times New Roman"/>
          <w:szCs w:val="24"/>
        </w:rPr>
        <w:t xml:space="preserve">. The NEA would be triumphant throughout this period as the leading force in the educational arena within the U.S. Nevertheless, after this point, the NEA would look very different than it had the past 100 years of its existence, changing in membership composition and stances to include minorities and issues pertaining to the teachers themselves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&lt;EndNote&gt;&lt;Cite&gt;&lt;Author&gt;Moe&lt;/Author&gt;&lt;Year&gt;2011&lt;/Year&gt;&lt;RecNum&gt;74&lt;/RecNum&gt;&lt;DisplayText&gt;(Moe, 2011)&lt;/DisplayText&gt;&lt;record&gt;&lt;rec-number&gt;74&lt;/rec-number&gt;&lt;foreign-keys&gt;&lt;key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w:t>
      </w:r>
      <w:r w:rsidRPr="005D3F76">
        <w:rPr>
          <w:rFonts w:cs="Times New Roman"/>
          <w:szCs w:val="24"/>
        </w:rPr>
        <w:fldChar w:fldCharType="end"/>
      </w:r>
      <w:r w:rsidRPr="005D3F76">
        <w:rPr>
          <w:rFonts w:cs="Times New Roman"/>
          <w:szCs w:val="24"/>
        </w:rPr>
        <w:t xml:space="preserve">. </w:t>
      </w:r>
    </w:p>
    <w:p w14:paraId="18932655" w14:textId="77777777" w:rsidR="00B03557" w:rsidRPr="005D3F76" w:rsidRDefault="00B03557" w:rsidP="00DA365C">
      <w:pPr>
        <w:ind w:firstLine="720"/>
        <w:rPr>
          <w:rFonts w:cs="Times New Roman"/>
          <w:szCs w:val="24"/>
        </w:rPr>
      </w:pPr>
      <w:r w:rsidRPr="005D3F76">
        <w:rPr>
          <w:rFonts w:cs="Times New Roman"/>
          <w:szCs w:val="24"/>
        </w:rPr>
        <w:t xml:space="preserve">Sometimes hostile organization by the NEA and the AFT, along with numerous teacher strikes, brought about the knowledge of teacher unions to most school districts within the U.S. by the early 1980’s. Much like other public sector unions by this time, member numbers within the teacher unions, especially within the AFT, had begun to level off as the transformation of public sector unionization became entrenched where “unionization and collective bargaining had become the norm” outside of the Southern U.S.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&lt;EndNote&gt;&lt;Cite&gt;&lt;Author&gt;Moe&lt;/Author&gt;&lt;Year&gt;2011&lt;/Year&gt;&lt;RecNum&gt;74&lt;/RecNum&gt;&lt;Pages&gt;154&lt;/Pages&gt;&lt;DisplayText&gt;(Moe, 2011, p. 154)&lt;/DisplayText&gt;&lt;record&gt;&lt;rec-number&gt;74&lt;/rec-number&gt;&lt;foreign-keys&gt;&lt;key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 p. 154)</w:t>
      </w:r>
      <w:r w:rsidRPr="005D3F76">
        <w:rPr>
          <w:rFonts w:cs="Times New Roman"/>
          <w:szCs w:val="24"/>
        </w:rPr>
        <w:fldChar w:fldCharType="end"/>
      </w:r>
      <w:r w:rsidRPr="005D3F76">
        <w:rPr>
          <w:rFonts w:cs="Times New Roman"/>
          <w:szCs w:val="24"/>
        </w:rPr>
        <w:t xml:space="preserve">. </w:t>
      </w:r>
    </w:p>
    <w:p w14:paraId="60325415" w14:textId="361E3653" w:rsidR="00B03557" w:rsidRPr="005D3F76" w:rsidRDefault="00B03557" w:rsidP="00DA365C">
      <w:pPr>
        <w:ind w:firstLine="720"/>
        <w:rPr>
          <w:rFonts w:cs="Times New Roman"/>
          <w:szCs w:val="24"/>
        </w:rPr>
      </w:pPr>
      <w:r w:rsidRPr="005D3F76">
        <w:rPr>
          <w:rFonts w:cs="Times New Roman"/>
          <w:szCs w:val="24"/>
        </w:rPr>
        <w:t xml:space="preserve">In 1961 the NEA had approximately 800,000 members, and by 2000 had a yearly membership of 3 million. However, by 2014, their numbers dropped by around 4% to 2.6 million, and have continued to do so for the last several years even though they are in fifty U.S. states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&lt;EndNote&gt;&lt;Cite&gt;&lt;Author&gt;Moe&lt;/Author&gt;&lt;Year&gt;2011&lt;/Year&gt;&lt;RecNum&gt;74&lt;/RecNum&gt;&lt;DisplayText&gt;(Moe, 2011; Sawchuk, 2013)&lt;/DisplayText&gt;&lt;record&gt;&lt;rec-number&gt;74&lt;/rec-number&gt;&lt;foreign-keys&gt;&lt;key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Press&lt;/publisher&gt;&lt;urls&gt;&lt;/urls&gt;&lt;/record&gt;&lt;/Cite&gt;&lt;Cite&gt;&lt;Author&gt;Sawchuk&lt;/Author&gt;&lt;Year&gt;2013&lt;/Year&gt;&lt;RecNum&gt;79&lt;/RecNum&gt;&lt;record&gt;&lt;rec-number&gt;79&lt;/rec-number&gt;&lt;foreign-keys&gt;&lt;key app="EN" db-id="etwareaz8xpxz3et59b50d9vxrata9z2w2zt" timestamp="1454098790"&gt;79&lt;/key&gt;&lt;/foreign-keys&gt;&lt;ref-type name="Magazine Article"&gt;19&lt;/ref-type&gt;&lt;contributors&gt;&lt;authors&gt;&lt;author&gt;Stephen Sawchuk&lt;/author&gt;&lt;/authors&gt;&lt;/contributors&gt;&lt;titles&gt;&lt;title&gt;Understanding NEA&amp;apos;s Current Membership Numbers&lt;/title&gt;&lt;secondary-title&gt;Education Week&lt;/secondary-title&gt;&lt;/titles&gt;&lt;dates&gt;&lt;year&gt;2013&lt;/year&gt;&lt;/dates&gt;&lt;pub-location&gt;Arlington, MD&lt;/pub-location&gt;&lt;publisher&gt;Editorial Projects in Education&lt;/publisher&gt;&lt;urls&gt;&lt;/urls&gt;&lt;/record&gt;&lt;/Cite&gt;&lt;/EndNote&gt;</w:instrText>
      </w:r>
      <w:r w:rsidRPr="005D3F76">
        <w:rPr>
          <w:rFonts w:cs="Times New Roman"/>
          <w:szCs w:val="24"/>
        </w:rPr>
        <w:fldChar w:fldCharType="separate"/>
      </w:r>
      <w:r w:rsidRPr="005D3F76">
        <w:rPr>
          <w:rFonts w:cs="Times New Roman"/>
          <w:noProof/>
          <w:szCs w:val="24"/>
        </w:rPr>
        <w:t>(Moe, 2011; Sawchuk, 2013)</w:t>
      </w:r>
      <w:r w:rsidRPr="005D3F76">
        <w:rPr>
          <w:rFonts w:cs="Times New Roman"/>
          <w:szCs w:val="24"/>
        </w:rPr>
        <w:fldChar w:fldCharType="end"/>
      </w:r>
      <w:r w:rsidRPr="005D3F76">
        <w:rPr>
          <w:rFonts w:cs="Times New Roman"/>
          <w:szCs w:val="24"/>
        </w:rPr>
        <w:t xml:space="preserve">. The AFT has fared roughly the same, with a membership </w:t>
      </w:r>
      <w:r w:rsidRPr="005D3F76">
        <w:rPr>
          <w:rFonts w:cs="Times New Roman"/>
          <w:szCs w:val="24"/>
        </w:rPr>
        <w:lastRenderedPageBreak/>
        <w:t xml:space="preserve">count of around 71,000 in 1961, to approximately 874,000 in 2012 as reported to the Department of Labor and Statistics; this is a drop from 2000 when the approximate number of members was sitting at around 1.3 million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&lt;EndNote&gt;&lt;Cite&gt;&lt;Author&gt;Moe&lt;/Author&gt;&lt;Year&gt;2011&lt;/Year&gt;&lt;RecNum&gt;74&lt;/RecNum&gt;&lt;DisplayText&gt;(Ed Notes Online, 2012; Moe, 2011)&lt;/DisplayText&gt;&lt;record&gt;&lt;rec-number&gt;74&lt;/rec-number&gt;&lt;foreign-keys&gt;&lt;key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Press&lt;/publisher&gt;&lt;urls&gt;&lt;/urls&gt;&lt;/record&gt;&lt;/Cite&gt;&lt;Cite&gt;&lt;Author&gt;Ed Notes Online&lt;/Author&gt;&lt;Year&gt;2012&lt;/Year&gt;&lt;RecNum&gt;315&lt;/RecNum&gt;&lt;record&gt;&lt;rec-number&gt;315&lt;/rec-number&gt;&lt;foreign-keys&gt;&lt;key app="EN" db-id="etwareaz8xpxz3et59b50d9vxrata9z2w2zt" timestamp="1465702213"&gt;315&lt;/key&gt;&lt;/foreign-keys&gt;&lt;ref-type name="Web Page"&gt;12&lt;/ref-type&gt;&lt;contributors&gt;&lt;authors&gt;&lt;author&gt;Ed Notes Online,&lt;/author&gt;&lt;/authors&gt;&lt;secondary-authors&gt;&lt;author&gt;Ed Notes Online&lt;/author&gt;&lt;/secondary-authors&gt;&lt;/contributors&gt;&lt;titles&gt;&lt;title&gt;AFT Membership: Do the Numbers Add Up?&lt;/title&gt;&lt;/titles&gt;&lt;volume&gt;2016&lt;/volume&gt;&lt;number&gt;January&lt;/number&gt;&lt;dates&gt;&lt;year&gt;2012&lt;/year&gt;&lt;/dates&gt;&lt;urls&gt;&lt;related-urls&gt;&lt;url&gt;http://ednotesonline.blogspot.com/2012/08/aft-membership-do-numbers-add-up.html&lt;/url&gt;&lt;/related-urls&gt;&lt;/urls&gt;&lt;/record&gt;&lt;/Cite&gt;&lt;/EndNote&gt;</w:instrText>
      </w:r>
      <w:r w:rsidRPr="005D3F76">
        <w:rPr>
          <w:rFonts w:cs="Times New Roman"/>
          <w:szCs w:val="24"/>
        </w:rPr>
        <w:fldChar w:fldCharType="separate"/>
      </w:r>
      <w:r w:rsidRPr="005D3F76">
        <w:rPr>
          <w:rFonts w:cs="Times New Roman"/>
          <w:noProof/>
          <w:szCs w:val="24"/>
        </w:rPr>
        <w:t>(Ed Notes Online, 2012; Moe, 2011)</w:t>
      </w:r>
      <w:r w:rsidRPr="005D3F76">
        <w:rPr>
          <w:rFonts w:cs="Times New Roman"/>
          <w:szCs w:val="24"/>
        </w:rPr>
        <w:fldChar w:fldCharType="end"/>
      </w:r>
      <w:r w:rsidRPr="005D3F76">
        <w:rPr>
          <w:rFonts w:cs="Times New Roman"/>
          <w:szCs w:val="24"/>
        </w:rPr>
        <w:t xml:space="preserve">. Only 50% of the AFT’s numbers account for teachers within their membership ranks; and the AFT only has affiliates in 40 states in the U.S.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&lt;EndNote&gt;&lt;Cite&gt;&lt;Author&gt;Moe&lt;/Author&gt;&lt;Year&gt;2011&lt;/Year&gt;&lt;RecNum&gt;74&lt;/RecNum&gt;&lt;DisplayText&gt;(Moe, 2011)&lt;/DisplayText&gt;&lt;record&gt;&lt;rec-number&gt;74&lt;/rec-number&gt;&lt;foreign-keys&gt;&lt;key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w:t>
      </w:r>
      <w:r w:rsidRPr="005D3F76">
        <w:rPr>
          <w:rFonts w:cs="Times New Roman"/>
          <w:szCs w:val="24"/>
        </w:rPr>
        <w:fldChar w:fldCharType="end"/>
      </w:r>
      <w:r w:rsidRPr="005D3F76">
        <w:rPr>
          <w:rFonts w:cs="Times New Roman"/>
          <w:szCs w:val="24"/>
        </w:rPr>
        <w:t xml:space="preserve">. The only states that the AFT dominates teacher union membership over the NEA is in New York and Rhode Island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&lt;EndNote&gt;&lt;Cite&gt;&lt;Author&gt;Moe&lt;/Author&gt;&lt;Year&gt;2011&lt;/Year&gt;&lt;RecNum&gt;74&lt;/RecNum&gt;&lt;DisplayText&gt;(Moe, 2011)&lt;/DisplayText&gt;&lt;record&gt;&lt;rec-number&gt;74&lt;/rec-number&gt;&lt;foreign-keys&gt;&lt;key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w:t>
      </w:r>
      <w:r w:rsidRPr="005D3F76">
        <w:rPr>
          <w:rFonts w:cs="Times New Roman"/>
          <w:szCs w:val="24"/>
        </w:rPr>
        <w:fldChar w:fldCharType="end"/>
      </w:r>
      <w:r w:rsidRPr="005D3F76">
        <w:rPr>
          <w:rFonts w:cs="Times New Roman"/>
          <w:szCs w:val="24"/>
        </w:rPr>
        <w:t xml:space="preserve">. These numbers are statistically similar to data provided by the Bureau of Labor Statistics in early 2016, whereby they report that the public sector union membership rate is currently at 35.2 %, or five times higher than private sector unionization at 6.7% </w:t>
      </w:r>
      <w:r w:rsidRPr="005D3F76">
        <w:rPr>
          <w:rFonts w:cs="Times New Roman"/>
          <w:szCs w:val="24"/>
        </w:rPr>
        <w:fldChar w:fldCharType="begin"/>
      </w:r>
      <w:r w:rsidRPr="005D3F76">
        <w:rPr>
          <w:rFonts w:cs="Times New Roman"/>
          <w:szCs w:val="24"/>
        </w:rPr>
        <w:instrText xml:space="preserve"> ADDIN EN.CITE &lt;EndNote&gt;&lt;Cite&gt;&lt;Author&gt;U. S. Department of Labor Bureau of Labor Statistics&lt;/Author&gt;&lt;Year&gt;2016&lt;/Year&gt;&lt;RecNum&gt;316&lt;/RecNum&gt;&lt;DisplayText&gt;(U. S. Department of Labor Bureau of Labor Statistics, 2016)&lt;/DisplayText&gt;&lt;record&gt;&lt;rec-number&gt;316&lt;/rec-number&gt;&lt;foreign-keys&gt;&lt;key app="EN" db-id="etwareaz8xpxz3et59b50d9vxrata9z2w2zt" timestamp="1465702213"&gt;316&lt;/key&gt;&lt;/foreign-keys&gt;&lt;ref-type name="Government Document"&gt;46&lt;/ref-type&gt;&lt;contributors&gt;&lt;authors&gt;&lt;author&gt;U. S. Department of Labor Bureau of Labor Statistics,&lt;/author&gt;&lt;/authors&gt;&lt;secondary-authors&gt;&lt;author&gt;U. S. Department of Labor&lt;/author&gt;&lt;/secondary-authors&gt;&lt;/contributors&gt;&lt;titles&gt;&lt;title&gt;Economic New Release&lt;/title&gt;&lt;/titles&gt;&lt;dates&gt;&lt;year&gt;2016&lt;/year&gt;&lt;/dates&gt;&lt;pub-location&gt;Washington D.C.&lt;/pub-location&gt;&lt;publisher&gt;Bureau of Labor Statistics&lt;/publisher&gt;&lt;urls&gt;&lt;/urls&gt;&lt;/record&gt;&lt;/Cite&gt;&lt;/EndNote&gt;</w:instrText>
      </w:r>
      <w:r w:rsidRPr="005D3F76">
        <w:rPr>
          <w:rFonts w:cs="Times New Roman"/>
          <w:szCs w:val="24"/>
        </w:rPr>
        <w:fldChar w:fldCharType="separate"/>
      </w:r>
      <w:r w:rsidRPr="005D3F76">
        <w:rPr>
          <w:rFonts w:cs="Times New Roman"/>
          <w:noProof/>
          <w:szCs w:val="24"/>
        </w:rPr>
        <w:t>(U. S. Department of Labor Bureau of Labor Statistics, 2016)</w:t>
      </w:r>
      <w:r w:rsidRPr="005D3F76">
        <w:rPr>
          <w:rFonts w:cs="Times New Roman"/>
          <w:szCs w:val="24"/>
        </w:rPr>
        <w:fldChar w:fldCharType="end"/>
      </w:r>
      <w:r w:rsidRPr="005D3F76">
        <w:rPr>
          <w:rFonts w:cs="Times New Roman"/>
          <w:szCs w:val="24"/>
        </w:rPr>
        <w:t xml:space="preserve">. They further reported that union membership was highest in public sector unionization at the local level, especially for teachers (35.5%) </w:t>
      </w:r>
      <w:r w:rsidRPr="005D3F76">
        <w:rPr>
          <w:rFonts w:cs="Times New Roman"/>
          <w:szCs w:val="24"/>
        </w:rPr>
        <w:fldChar w:fldCharType="begin"/>
      </w:r>
      <w:r w:rsidRPr="005D3F76">
        <w:rPr>
          <w:rFonts w:cs="Times New Roman"/>
          <w:szCs w:val="24"/>
        </w:rPr>
        <w:instrText xml:space="preserve"> ADDIN EN.CITE &lt;EndNote&gt;&lt;Cite&gt;&lt;Author&gt;U. S. Department of Labor Bureau of Labor Statistics&lt;/Author&gt;&lt;Year&gt;2016&lt;/Year&gt;&lt;RecNum&gt;316&lt;/RecNum&gt;&lt;DisplayText&gt;(U. S. Department of Labor Bureau of Labor Statistics, 2016)&lt;/DisplayText&gt;&lt;record&gt;&lt;rec-number&gt;316&lt;/rec-number&gt;&lt;foreign-keys&gt;&lt;key app="EN" db-id="etwareaz8xpxz3et59b50d9vxrata9z2w2zt" timestamp="1465702213"&gt;316&lt;/key&gt;&lt;/foreign-keys&gt;&lt;ref-type name="Government Document"&gt;46&lt;/ref-type&gt;&lt;contributors&gt;&lt;authors&gt;&lt;author&gt;U. S. Department of Labor Bureau of Labor Statistics,&lt;/author&gt;&lt;/authors&gt;&lt;secondary-authors&gt;&lt;author&gt;U. S. Department of Labor&lt;/author&gt;&lt;/secondary-authors&gt;&lt;/contributors&gt;&lt;titles&gt;&lt;title&gt;Economic New Release&lt;/title&gt;&lt;/titles&gt;&lt;dates&gt;&lt;year&gt;2016&lt;/year&gt;&lt;/dates&gt;&lt;pub-location&gt;Washington D.C.&lt;/pub-location&gt;&lt;publisher&gt;Bureau of Labor Statistics&lt;/publisher&gt;&lt;urls&gt;&lt;/urls&gt;&lt;/record&gt;&lt;/Cite&gt;&lt;/EndNote&gt;</w:instrText>
      </w:r>
      <w:r w:rsidRPr="005D3F76">
        <w:rPr>
          <w:rFonts w:cs="Times New Roman"/>
          <w:szCs w:val="24"/>
        </w:rPr>
        <w:fldChar w:fldCharType="separate"/>
      </w:r>
      <w:r w:rsidRPr="005D3F76">
        <w:rPr>
          <w:rFonts w:cs="Times New Roman"/>
          <w:noProof/>
          <w:szCs w:val="24"/>
        </w:rPr>
        <w:t>(U. S. Department of Labor Bureau of Labor Statistics, 2016)</w:t>
      </w:r>
      <w:r w:rsidRPr="005D3F76">
        <w:rPr>
          <w:rFonts w:cs="Times New Roman"/>
          <w:szCs w:val="24"/>
        </w:rPr>
        <w:fldChar w:fldCharType="end"/>
      </w:r>
      <w:r w:rsidRPr="005D3F76">
        <w:rPr>
          <w:rFonts w:cs="Times New Roman"/>
          <w:szCs w:val="24"/>
        </w:rPr>
        <w:t xml:space="preserve">. These statistics are important to demonstrate and give a sense of how public sector unionization have taken hold within the education field over the past one hundred plus years, and how the NEA and AFT compare in size and structure in the U.S. </w:t>
      </w:r>
    </w:p>
    <w:p w14:paraId="05D0953B" w14:textId="77777777" w:rsidR="00B03557" w:rsidRPr="005D3F76" w:rsidRDefault="00B03557" w:rsidP="00DA365C">
      <w:pPr>
        <w:ind w:firstLine="720"/>
        <w:rPr>
          <w:rFonts w:cs="Times New Roman"/>
          <w:szCs w:val="24"/>
        </w:rPr>
      </w:pPr>
      <w:r w:rsidRPr="005D3F76">
        <w:rPr>
          <w:rFonts w:cs="Times New Roman"/>
          <w:szCs w:val="24"/>
        </w:rPr>
        <w:t>Because of the sheer size of the teacher workforce and the subsequent size of the teacher unions within the U.S., these two unions are what comprise some of the most powerful voices in education and politics within the U.S. They play a central role in the</w:t>
      </w:r>
    </w:p>
    <w:p w14:paraId="2DF9A59E" w14:textId="77777777" w:rsidR="00B03557" w:rsidRPr="005D3F76" w:rsidRDefault="00B03557" w:rsidP="00DA365C">
      <w:pPr>
        <w:ind w:left="720"/>
        <w:rPr>
          <w:rFonts w:cs="Times New Roman"/>
          <w:szCs w:val="24"/>
        </w:rPr>
      </w:pPr>
      <w:r w:rsidRPr="005D3F76">
        <w:rPr>
          <w:rFonts w:cs="Times New Roman"/>
          <w:szCs w:val="24"/>
        </w:rPr>
        <w:t>way schools work; decision-making process; hiring, evaluation, and firing criteria, including grievance procedure; resource allocation (pay, benefits, promotion, increases, and supplements); teaching methods; career ladders and on-the-job training programs; and getting educational goals and standards and ways to evaluate them.</w:t>
      </w:r>
      <w:r w:rsidRPr="005D3F76">
        <w:rPr>
          <w:rFonts w:cs="Times New Roman"/>
          <w:i/>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&lt;EndNote&gt;&lt;Cite&gt;&lt;Author&gt;Torres&lt;/Author&gt;&lt;Year&gt;2000&lt;/Year&gt;&lt;RecNum&gt;51&lt;/RecNum&gt;&lt;Pages&gt;9&lt;/Pages&gt;&lt;DisplayText&gt;(Torres et al., 2000, p. 9)&lt;/DisplayText&gt;&lt;record&gt;&lt;rec-number&gt;51&lt;/rec-number&gt;&lt;foreign-keys&gt;&lt;key app="EN" db-id="etwareaz8xpxz3et59b50d9vxrata9z2w2zt" timestamp="1453223916"&gt;51&lt;/key&gt;&lt;/foreign-keys&gt;&lt;ref-type name="Report"&gt;27&lt;/ref-type&gt;&lt;contributors&gt;&lt;authors&gt;&lt;author&gt;C.A. Torres&lt;/author&gt;&lt;author&gt;S. Cho&lt;/author&gt;&lt;author&gt;J. Kachur&lt;/author&gt;&lt;author&gt;A Loyo&lt;/author&gt;&lt;author&gt;M Mollis&lt;/author&gt;&lt;author&gt;A Nagao&lt;/author&gt;&lt;author&gt;J.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California, Soka University, and the Spenser Foundation&lt;/publisher&gt;&lt;urls&gt;&lt;/urls&gt;&lt;/record&gt;&lt;/Cite&gt;&lt;/EndNote&gt;</w:instrText>
      </w:r>
      <w:r w:rsidRPr="005D3F76">
        <w:rPr>
          <w:rFonts w:cs="Times New Roman"/>
          <w:szCs w:val="24"/>
        </w:rPr>
        <w:fldChar w:fldCharType="separate"/>
      </w:r>
      <w:r w:rsidRPr="005D3F76">
        <w:rPr>
          <w:rFonts w:cs="Times New Roman"/>
          <w:noProof/>
          <w:szCs w:val="24"/>
        </w:rPr>
        <w:t>(Torres et al., 2000, p. 9)</w:t>
      </w:r>
      <w:r w:rsidRPr="005D3F76">
        <w:rPr>
          <w:rFonts w:cs="Times New Roman"/>
          <w:szCs w:val="24"/>
        </w:rPr>
        <w:fldChar w:fldCharType="end"/>
      </w:r>
      <w:r w:rsidRPr="005D3F76">
        <w:rPr>
          <w:rFonts w:cs="Times New Roman"/>
          <w:i/>
          <w:szCs w:val="24"/>
        </w:rPr>
        <w:t xml:space="preserve"> </w:t>
      </w:r>
    </w:p>
    <w:p w14:paraId="5D53662E" w14:textId="77777777" w:rsidR="00B03557" w:rsidRPr="005D3F76" w:rsidRDefault="00B03557" w:rsidP="00DA365C">
      <w:pPr>
        <w:rPr>
          <w:rFonts w:cs="Times New Roman"/>
          <w:szCs w:val="24"/>
        </w:rPr>
      </w:pPr>
      <w:r w:rsidRPr="005D3F76">
        <w:rPr>
          <w:rFonts w:cs="Times New Roman"/>
          <w:szCs w:val="24"/>
        </w:rPr>
        <w:lastRenderedPageBreak/>
        <w:t>Hence, throughout the 20</w:t>
      </w:r>
      <w:r w:rsidRPr="005D3F76">
        <w:rPr>
          <w:rFonts w:cs="Times New Roman"/>
          <w:szCs w:val="24"/>
          <w:vertAlign w:val="superscript"/>
        </w:rPr>
        <w:t>th</w:t>
      </w:r>
      <w:r w:rsidRPr="005D3F76">
        <w:rPr>
          <w:rFonts w:cs="Times New Roman"/>
          <w:szCs w:val="24"/>
        </w:rPr>
        <w:t xml:space="preserve"> and continuing into the 21</w:t>
      </w:r>
      <w:r w:rsidRPr="005D3F76">
        <w:rPr>
          <w:rFonts w:cs="Times New Roman"/>
          <w:szCs w:val="24"/>
          <w:vertAlign w:val="superscript"/>
        </w:rPr>
        <w:t>st</w:t>
      </w:r>
      <w:r w:rsidRPr="005D3F76">
        <w:rPr>
          <w:rFonts w:cs="Times New Roman"/>
          <w:szCs w:val="24"/>
        </w:rPr>
        <w:t xml:space="preserve"> century, teacher unions have been concerned with “improving employment rights, wages, and working conditions, and on pressuring the government to increase education budgets” of which they were highly effective up until the early 1980’s </w:t>
      </w:r>
      <w:r w:rsidRPr="005D3F76">
        <w:rPr>
          <w:rFonts w:cs="Times New Roman"/>
          <w:szCs w:val="24"/>
        </w:rPr>
        <w:fldChar w:fldCharType="begin"/>
      </w:r>
      <w:r w:rsidRPr="005D3F76">
        <w:rPr>
          <w:rFonts w:cs="Times New Roman"/>
          <w:szCs w:val="24"/>
        </w:rPr>
        <w:instrText xml:space="preserve"> ADDIN EN.CITE &lt;EndNote&gt;&lt;Cite&gt;&lt;Author&gt;Torres&lt;/Author&gt;&lt;Year&gt;2000&lt;/Year&gt;&lt;RecNum&gt;51&lt;/RecNum&gt;&lt;DisplayText&gt;(Torres et al., 2000)&lt;/DisplayText&gt;&lt;record&gt;&lt;rec-number&gt;51&lt;/rec-number&gt;&lt;foreign-keys&gt;&lt;key app="EN" db-id="etwareaz8xpxz3et59b50d9vxrata9z2w2zt" timestamp="1453223916"&gt;51&lt;/key&gt;&lt;/foreign-keys&gt;&lt;ref-type name="Report"&gt;27&lt;/ref-type&gt;&lt;contributors&gt;&lt;authors&gt;&lt;author&gt;C.A. Torres&lt;/author&gt;&lt;author&gt;S. Cho&lt;/author&gt;&lt;author&gt;J. Kachur&lt;/author&gt;&lt;author&gt;A Loyo&lt;/author&gt;&lt;author&gt;M Mollis&lt;/author&gt;&lt;author&gt;A Nagao&lt;/author&gt;&lt;author&gt;J.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California, Soka University, and the Spenser Foundation&lt;/publisher&gt;&lt;urls&gt;&lt;/urls&gt;&lt;/record&gt;&lt;/Cite&gt;&lt;/EndNote&gt;</w:instrText>
      </w:r>
      <w:r w:rsidRPr="005D3F76">
        <w:rPr>
          <w:rFonts w:cs="Times New Roman"/>
          <w:szCs w:val="24"/>
        </w:rPr>
        <w:fldChar w:fldCharType="separate"/>
      </w:r>
      <w:r w:rsidRPr="005D3F76">
        <w:rPr>
          <w:rFonts w:cs="Times New Roman"/>
          <w:noProof/>
          <w:szCs w:val="24"/>
        </w:rPr>
        <w:t>(Torres et al., 2000)</w:t>
      </w:r>
      <w:r w:rsidRPr="005D3F76">
        <w:rPr>
          <w:rFonts w:cs="Times New Roman"/>
          <w:szCs w:val="24"/>
        </w:rPr>
        <w:fldChar w:fldCharType="end"/>
      </w:r>
      <w:r w:rsidRPr="005D3F76">
        <w:rPr>
          <w:rFonts w:cs="Times New Roman"/>
          <w:szCs w:val="24"/>
        </w:rPr>
        <w:t xml:space="preserve">. </w:t>
      </w:r>
    </w:p>
    <w:p w14:paraId="6383CCFF" w14:textId="77777777" w:rsidR="00B03557" w:rsidRPr="005D3F76" w:rsidRDefault="00B03557" w:rsidP="00DA365C">
      <w:pPr>
        <w:rPr>
          <w:rFonts w:cs="Times New Roman"/>
          <w:szCs w:val="24"/>
        </w:rPr>
      </w:pPr>
      <w:r w:rsidRPr="005D3F76">
        <w:rPr>
          <w:rFonts w:cs="Times New Roman"/>
          <w:szCs w:val="24"/>
        </w:rPr>
        <w:tab/>
        <w:t xml:space="preserve">As was previously described, the election of President Reagan changed the landscape for public service unions. After two decades of legislation allowing and protecting the rights of public service workers through the allotment of labor unions, republicans suddenly began tightening control over what they considered inflammatory public spending, of which public education fell victim the hardest. Collective bargaining began to be put under scrutiny by conservative politicians, as were conditions of teachers pay and benefits </w:t>
      </w:r>
      <w:r w:rsidRPr="005D3F76">
        <w:rPr>
          <w:rFonts w:cs="Times New Roman"/>
          <w:szCs w:val="24"/>
        </w:rPr>
        <w:fldChar w:fldCharType="begin"/>
      </w:r>
      <w:r w:rsidRPr="005D3F76">
        <w:rPr>
          <w:rFonts w:cs="Times New Roman"/>
          <w:szCs w:val="24"/>
        </w:rPr>
        <w:instrText xml:space="preserve"> ADDIN EN.CITE &lt;EndNote&gt;&lt;Cite&gt;&lt;Author&gt;Baltodaro&lt;/Author&gt;&lt;Year&gt;2012&lt;/Year&gt;&lt;RecNum&gt;84&lt;/RecNum&gt;&lt;DisplayText&gt;(Baltodaro, 2012)&lt;/DisplayText&gt;&lt;record&gt;&lt;rec-number&gt;84&lt;/rec-number&gt;&lt;foreign-keys&gt;&lt;key app="EN" db-id="etwareaz8xpxz3et59b50d9vxrata9z2w2zt" timestamp="1454261667"&gt;84&lt;/key&gt;&lt;/foreign-keys&gt;&lt;ref-type name="Journal Article"&gt;17&lt;/ref-type&gt;&lt;contributors&gt;&lt;authors&gt;&lt;author&gt;M. Baltodaro&lt;/author&gt;&lt;/authors&gt;&lt;/contributors&gt;&lt;titles&gt;&lt;title&gt;Neoliberalism and the demise of public education: the corporatization of schools in education&lt;/title&gt;&lt;secondary-title&gt;International Journal of Qualitative Studies in Education&lt;/secondary-title&gt;&lt;/titles&gt;&lt;periodical&gt;&lt;full-title&gt;International Journal of Qualitative Studies in Education&lt;/full-title&gt;&lt;/periodical&gt;&lt;pages&gt;487-507&lt;/pages&gt;&lt;volume&gt;25&lt;/volume&gt;&lt;number&gt;4&lt;/number&gt;&lt;dates&gt;&lt;year&gt;2012&lt;/year&gt;&lt;/dates&gt;&lt;urls&gt;&lt;/urls&gt;&lt;/record&gt;&lt;/Cite&gt;&lt;/EndNote&gt;</w:instrText>
      </w:r>
      <w:r w:rsidRPr="005D3F76">
        <w:rPr>
          <w:rFonts w:cs="Times New Roman"/>
          <w:szCs w:val="24"/>
        </w:rPr>
        <w:fldChar w:fldCharType="separate"/>
      </w:r>
      <w:r w:rsidRPr="005D3F76">
        <w:rPr>
          <w:rFonts w:cs="Times New Roman"/>
          <w:noProof/>
          <w:szCs w:val="24"/>
        </w:rPr>
        <w:t>(Baltodaro, 2012)</w:t>
      </w:r>
      <w:r w:rsidRPr="005D3F76">
        <w:rPr>
          <w:rFonts w:cs="Times New Roman"/>
          <w:szCs w:val="24"/>
        </w:rPr>
        <w:fldChar w:fldCharType="end"/>
      </w:r>
      <w:r w:rsidRPr="005D3F76">
        <w:rPr>
          <w:rFonts w:cs="Times New Roman"/>
          <w:szCs w:val="24"/>
        </w:rPr>
        <w:t xml:space="preserve">. Not coincidentally, much of these restrictive measures were on the heels of the publication of </w:t>
      </w:r>
      <w:r w:rsidRPr="005D3F76">
        <w:rPr>
          <w:rFonts w:cs="Times New Roman"/>
          <w:i/>
          <w:szCs w:val="24"/>
        </w:rPr>
        <w:t>A Nation at Risk</w:t>
      </w:r>
      <w:r w:rsidRPr="005D3F76">
        <w:rPr>
          <w:rFonts w:cs="Times New Roman"/>
          <w:szCs w:val="24"/>
        </w:rPr>
        <w:t xml:space="preserve"> (1983), written by President Ronald Reagan’s National Commission on Excellence in Education highlighted the seemingly ineffective way teachers were instructing U.S. students. Teacher unions went on the defensive, trying to defend teachers against allegations of poor performance, all the while trying to salvage what gains they had made during the last thirty years for teachers and the educational systems throughout the U.S. </w:t>
      </w:r>
      <w:r w:rsidRPr="005D3F76">
        <w:rPr>
          <w:rFonts w:cs="Times New Roman"/>
          <w:szCs w:val="24"/>
        </w:rPr>
        <w:fldChar w:fldCharType="begin"/>
      </w:r>
      <w:r w:rsidRPr="005D3F76">
        <w:rPr>
          <w:rFonts w:cs="Times New Roman"/>
          <w:szCs w:val="24"/>
        </w:rPr>
        <w:instrText xml:space="preserve"> ADDIN EN.CITE &lt;EndNote&gt;&lt;Cite&gt;&lt;Author&gt;Torres&lt;/Author&gt;&lt;Year&gt;2000&lt;/Year&gt;&lt;RecNum&gt;51&lt;/RecNum&gt;&lt;DisplayText&gt;(Torres et al., 2000)&lt;/DisplayText&gt;&lt;record&gt;&lt;rec-number&gt;51&lt;/rec-number&gt;&lt;foreign-keys&gt;&lt;key app="EN" db-id="etwareaz8xpxz3et59b50d9vxrata9z2w2zt" timestamp="1453223916"&gt;51&lt;/key&gt;&lt;/foreign-keys&gt;&lt;ref-type name="Report"&gt;27&lt;/ref-type&gt;&lt;contributors&gt;&lt;authors&gt;&lt;author&gt;C.A. Torres&lt;/author&gt;&lt;author&gt;S. Cho&lt;/author&gt;&lt;author&gt;J. Kachur&lt;/author&gt;&lt;author&gt;A Loyo&lt;/author&gt;&lt;author&gt;M Mollis&lt;/author&gt;&lt;author&gt;A Nagao&lt;/author&gt;&lt;author&gt;J.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California, Soka University, and the Spenser Foundation&lt;/publisher&gt;&lt;urls&gt;&lt;/urls&gt;&lt;/record&gt;&lt;/Cite&gt;&lt;/EndNote&gt;</w:instrText>
      </w:r>
      <w:r w:rsidRPr="005D3F76">
        <w:rPr>
          <w:rFonts w:cs="Times New Roman"/>
          <w:szCs w:val="24"/>
        </w:rPr>
        <w:fldChar w:fldCharType="separate"/>
      </w:r>
      <w:r w:rsidRPr="005D3F76">
        <w:rPr>
          <w:rFonts w:cs="Times New Roman"/>
          <w:noProof/>
          <w:szCs w:val="24"/>
        </w:rPr>
        <w:t>(Torres et al., 2000)</w:t>
      </w:r>
      <w:r w:rsidRPr="005D3F76">
        <w:rPr>
          <w:rFonts w:cs="Times New Roman"/>
          <w:szCs w:val="24"/>
        </w:rPr>
        <w:fldChar w:fldCharType="end"/>
      </w:r>
      <w:r w:rsidRPr="005D3F76">
        <w:rPr>
          <w:rFonts w:cs="Times New Roman"/>
          <w:szCs w:val="24"/>
        </w:rPr>
        <w:t>. The government during the 1980’s and continuing on into the 21</w:t>
      </w:r>
      <w:r w:rsidRPr="005D3F76">
        <w:rPr>
          <w:rFonts w:cs="Times New Roman"/>
          <w:szCs w:val="24"/>
          <w:vertAlign w:val="superscript"/>
        </w:rPr>
        <w:t>st</w:t>
      </w:r>
      <w:r w:rsidRPr="005D3F76">
        <w:rPr>
          <w:rFonts w:cs="Times New Roman"/>
          <w:szCs w:val="24"/>
        </w:rPr>
        <w:t xml:space="preserve"> century has followed the:</w:t>
      </w:r>
    </w:p>
    <w:p w14:paraId="525C4E1E" w14:textId="77777777" w:rsidR="00B03557" w:rsidRPr="005D3F76" w:rsidRDefault="00B03557" w:rsidP="00DA365C">
      <w:pPr>
        <w:ind w:left="720"/>
        <w:rPr>
          <w:rFonts w:cs="Times New Roman"/>
          <w:szCs w:val="24"/>
        </w:rPr>
      </w:pPr>
      <w:r w:rsidRPr="005D3F76">
        <w:rPr>
          <w:rFonts w:cs="Times New Roman"/>
          <w:szCs w:val="24"/>
        </w:rPr>
        <w:t xml:space="preserve">[d]iscourse on education [that focuses] on concepts such as restructuring, excellence, decentralization, managerialism, and accountability. Moreover in order to increase control over unions, governments now use the very concepts of responsibility, service, expertise, and autonomy that were advanced by unions in the past to increase their power and prestige. (p. 11) </w:t>
      </w:r>
    </w:p>
    <w:p w14:paraId="3A2DBBED" w14:textId="77777777" w:rsidR="00B03557" w:rsidRPr="005D3F76" w:rsidRDefault="00B03557" w:rsidP="00DA365C">
      <w:pPr>
        <w:rPr>
          <w:rFonts w:cs="Times New Roman"/>
          <w:szCs w:val="24"/>
        </w:rPr>
      </w:pPr>
      <w:r w:rsidRPr="005D3F76">
        <w:rPr>
          <w:rFonts w:cs="Times New Roman"/>
          <w:szCs w:val="24"/>
        </w:rPr>
        <w:lastRenderedPageBreak/>
        <w:tab/>
        <w:t xml:space="preserve">Besides public schooling, teacher unions have also been concerned about other societal issues. The NEA has adopted resolutions on many different issues, including:  nuclear testing, universal health care, women’s rights, abortion, environmental regulation, and Native American and minority rights </w:t>
      </w:r>
      <w:r w:rsidRPr="005D3F76">
        <w:rPr>
          <w:rFonts w:cs="Times New Roman"/>
          <w:szCs w:val="24"/>
        </w:rPr>
        <w:fldChar w:fldCharType="begin"/>
      </w:r>
      <w:r w:rsidRPr="005D3F76">
        <w:rPr>
          <w:rFonts w:cs="Times New Roman"/>
          <w:szCs w:val="24"/>
        </w:rPr>
        <w:instrText xml:space="preserve"> ADDIN EN.CITE &lt;EndNote&gt;&lt;Cite&gt;&lt;Author&gt;National Education Association&lt;/Author&gt;&lt;Year&gt;2014&lt;/Year&gt;&lt;RecNum&gt;311&lt;/RecNum&gt;&lt;DisplayText&gt;(Moe, 2011; National Education Association, 2014)&lt;/DisplayText&gt;&lt;record&gt;&lt;rec-number&gt;311&lt;/rec-number&gt;&lt;foreign-keys&gt;&lt;key app="EN" db-id="etwareaz8xpxz3et59b50d9vxrata9z2w2zt" timestamp="1465702212"&gt;311&lt;/key&gt;&lt;/foreign-keys&gt;&lt;ref-type name="Web Page"&gt;12&lt;/ref-type&gt;&lt;contributors&gt;&lt;authors&gt;&lt;author&gt;National Education Association,&lt;/author&gt;&lt;/authors&gt;&lt;/contributors&gt;&lt;titles&gt;&lt;title&gt;Great Public Schools for Every Student&lt;/title&gt;&lt;/titles&gt;&lt;volume&gt;2015&lt;/volume&gt;&lt;number&gt;February 22&lt;/number&gt;&lt;dates&gt;&lt;year&gt;2014&lt;/year&gt;&lt;/dates&gt;&lt;urls&gt;&lt;related-urls&gt;&lt;url&gt;www.nea.org&lt;/url&gt;&lt;/related-urls&gt;&lt;/urls&gt;&lt;/record&gt;&lt;/Cite&gt;&lt;Cite&gt;&lt;Author&gt;Moe&lt;/Author&gt;&lt;Year&gt;2011&lt;/Year&gt;&lt;RecNum&gt;74&lt;/RecNum&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 National Education Association, 2014)</w:t>
      </w:r>
      <w:r w:rsidRPr="005D3F76">
        <w:rPr>
          <w:rFonts w:cs="Times New Roman"/>
          <w:szCs w:val="24"/>
        </w:rPr>
        <w:fldChar w:fldCharType="end"/>
      </w:r>
      <w:r w:rsidRPr="005D3F76">
        <w:rPr>
          <w:rFonts w:cs="Times New Roman"/>
          <w:szCs w:val="24"/>
        </w:rPr>
        <w:t xml:space="preserve">.  The AFT itself has taken stances on child labor in foreign nations, wars in various places such as Kosovo, Ireland, and Syria, and concerned itself with issues of democracy and power in places like Argentina and Northern Korea </w:t>
      </w:r>
      <w:r w:rsidRPr="005D3F76">
        <w:rPr>
          <w:rFonts w:cs="Times New Roman"/>
          <w:szCs w:val="24"/>
        </w:rPr>
        <w:fldChar w:fldCharType="begin"/>
      </w:r>
      <w:r w:rsidRPr="005D3F76">
        <w:rPr>
          <w:rFonts w:cs="Times New Roman"/>
          <w:szCs w:val="24"/>
        </w:rPr>
        <w:instrText xml:space="preserve"> ADDIN EN.CITE &lt;EndNote&gt;&lt;Cite&gt;&lt;Author&gt;American Federation of Teachers&lt;/Author&gt;&lt;Year&gt;2015&lt;/Year&gt;&lt;RecNum&gt;310&lt;/RecNum&gt;&lt;DisplayText&gt;(American Federation of Teachers, 2015b; Moe, 2011)&lt;/DisplayText&gt;&lt;record&gt;&lt;rec-number&gt;310&lt;/rec-number&gt;&lt;foreign-keys&gt;&lt;key app="EN" db-id="etwareaz8xpxz3et59b50d9vxrata9z2w2zt" timestamp="1465702212"&gt;310&lt;/key&gt;&lt;/foreign-keys&gt;&lt;ref-type name="Web Page"&gt;12&lt;/ref-type&gt;&lt;contributors&gt;&lt;authors&gt;&lt;author&gt;American Federation of Teachers,&lt;/author&gt;&lt;/authors&gt;&lt;/contributors&gt;&lt;titles&gt;&lt;title&gt;A Union of Professionals&lt;/title&gt;&lt;/titles&gt;&lt;volume&gt;2015&lt;/volume&gt;&lt;number&gt;Feburary 22&lt;/number&gt;&lt;dates&gt;&lt;year&gt;2015&lt;/year&gt;&lt;/dates&gt;&lt;publisher&gt;American Federation of Teachers&lt;/publisher&gt;&lt;urls&gt;&lt;related-urls&gt;&lt;url&gt;www.aft.org&lt;/url&gt;&lt;/related-urls&gt;&lt;/urls&gt;&lt;/record&gt;&lt;/Cite&gt;&lt;Cite&gt;&lt;Author&gt;Moe&lt;/Author&gt;&lt;Year&gt;2011&lt;/Year&gt;&lt;RecNum&gt;74&lt;/RecNum&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(American Federation of Teachers, 2015b; Moe, 2011)</w:t>
      </w:r>
      <w:r w:rsidRPr="005D3F76">
        <w:rPr>
          <w:rFonts w:cs="Times New Roman"/>
          <w:szCs w:val="24"/>
        </w:rPr>
        <w:fldChar w:fldCharType="end"/>
      </w:r>
      <w:r w:rsidRPr="005D3F76">
        <w:rPr>
          <w:rFonts w:cs="Times New Roman"/>
          <w:szCs w:val="24"/>
        </w:rPr>
        <w:t xml:space="preserve">. However, historically, teachers working conditions and the U.S. education system is their top priority that consumes the union’s agenda.  </w:t>
      </w:r>
    </w:p>
    <w:p w14:paraId="078F4393" w14:textId="5386B7D2" w:rsidR="00B03557" w:rsidRPr="005D3F76" w:rsidRDefault="00B03557" w:rsidP="00DA365C">
      <w:pPr>
        <w:rPr>
          <w:rFonts w:cs="Times New Roman"/>
          <w:szCs w:val="24"/>
        </w:rPr>
      </w:pPr>
      <w:r w:rsidRPr="005D3F76">
        <w:rPr>
          <w:rFonts w:cs="Times New Roman"/>
          <w:szCs w:val="24"/>
        </w:rPr>
        <w:tab/>
        <w:t xml:space="preserve">Teacher unions throughout their histories have helped to shape the political discourse on issues concerning education in the U.S. This is an important aspect of teacher unions that is largely overlooked within their histories. Essentially, they were created to help teachers in the workplace, so that teachers could concentrate on what is important-- the students.  However, teacher unions have always been situated politically and have had some influence over state and federal policy making. The NEA and AFT have “acted aggressively on incentives, and they have emerged as extraordinarily powerful players in both state and national politics”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&lt;EndNote&gt;&lt;Cite&gt;&lt;Author&gt;Moe&lt;/Author&gt;&lt;Year&gt;2011&lt;/Year&gt;&lt;RecNum&gt;74&lt;/RecNum&gt;&lt;Pages&gt;171&lt;/Pages&gt;&lt;DisplayText&gt;(Moe, 2011, p. 171)&lt;/DisplayText&gt;&lt;record&gt;&lt;rec-number&gt;74&lt;/rec-number&gt;&lt;foreign-keys&gt;&lt;key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 p. 171)</w:t>
      </w:r>
      <w:r w:rsidRPr="005D3F76">
        <w:rPr>
          <w:rFonts w:cs="Times New Roman"/>
          <w:szCs w:val="24"/>
        </w:rPr>
        <w:fldChar w:fldCharType="end"/>
      </w:r>
      <w:r w:rsidRPr="005D3F76">
        <w:rPr>
          <w:rFonts w:cs="Times New Roman"/>
          <w:szCs w:val="24"/>
        </w:rPr>
        <w:t xml:space="preserve">. According to Moe, experts were asked to rank interest groups according to influence on public policy, and teacher unions came out as number one on the list. Teacher unions influence was “regarded as high, moreover, in virtually every single state outside the South; a measure of the remarkable breadth and uniformity of their political power” </w:t>
      </w:r>
      <w:r w:rsidRPr="005D3F76">
        <w:rPr>
          <w:rFonts w:cs="Times New Roman"/>
          <w:szCs w:val="24"/>
        </w:rPr>
        <w:fldChar w:fldCharType="begin"/>
      </w:r>
      <w:r w:rsidRPr="005D3F76">
        <w:rPr>
          <w:rFonts w:cs="Times New Roman"/>
          <w:szCs w:val="24"/>
        </w:rPr>
        <w:instrText xml:space="preserve"> ADDIN EN.CITE &lt;EndNote&gt;&lt;Cite ExcludeAuth="1" ExcludeYear="1"&gt;&lt;Author&gt;Moe&lt;/Author&gt;&lt;Year&gt;2011&lt;/Year&gt;&lt;RecNum&gt;74&lt;/RecNum&gt;&lt;Pages&gt;171&lt;/Pages&gt;&lt;DisplayText&gt;(p. 171)&lt;/DisplayText&gt;&lt;record&gt;&lt;rec-number&gt;74&lt;/rec-number&gt;&lt;foreign-keys&gt;&lt;key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(p. 171)</w:t>
      </w:r>
      <w:r w:rsidRPr="005D3F76">
        <w:rPr>
          <w:rFonts w:cs="Times New Roman"/>
          <w:szCs w:val="24"/>
        </w:rPr>
        <w:fldChar w:fldCharType="end"/>
      </w:r>
      <w:r w:rsidRPr="005D3F76">
        <w:rPr>
          <w:rFonts w:cs="Times New Roman"/>
          <w:szCs w:val="24"/>
        </w:rPr>
        <w:t xml:space="preserve">. The vast issues that teacher unions face today seem to be related to their histories and issues of social justice, all of which culminate into the need to organize into a single united body, much like the Mother Jones’ comment at the beginning of the chapter.  However, </w:t>
      </w:r>
      <w:r w:rsidR="007F5582" w:rsidRPr="005D3F76">
        <w:rPr>
          <w:rFonts w:cs="Times New Roman"/>
          <w:szCs w:val="24"/>
        </w:rPr>
        <w:t>teacher’s</w:t>
      </w:r>
      <w:r w:rsidRPr="005D3F76">
        <w:rPr>
          <w:rFonts w:cs="Times New Roman"/>
          <w:szCs w:val="24"/>
        </w:rPr>
        <w:t xml:space="preserve"> unions sit a bit uneasy within U.S. </w:t>
      </w:r>
      <w:r w:rsidRPr="005D3F76">
        <w:rPr>
          <w:rFonts w:cs="Times New Roman"/>
          <w:szCs w:val="24"/>
        </w:rPr>
        <w:lastRenderedPageBreak/>
        <w:t xml:space="preserve">society. The unsteady line teacher union’s face seems to be playing out within the media in current times. </w:t>
      </w:r>
    </w:p>
    <w:p w14:paraId="1E201507" w14:textId="77777777" w:rsidR="00B03557" w:rsidRPr="005D3F76" w:rsidRDefault="00B03557" w:rsidP="0012433F">
      <w:pPr>
        <w:pStyle w:val="Heading2"/>
        <w:rPr>
          <w:rFonts w:cs="Times New Roman"/>
        </w:rPr>
      </w:pPr>
      <w:bookmarkStart w:id="8" w:name="_Toc462843628"/>
      <w:r w:rsidRPr="005D3F76">
        <w:rPr>
          <w:rFonts w:cs="Times New Roman"/>
        </w:rPr>
        <w:t>History Culmination</w:t>
      </w:r>
      <w:bookmarkEnd w:id="8"/>
    </w:p>
    <w:p w14:paraId="4FD370FA" w14:textId="77777777" w:rsidR="00B03557" w:rsidRPr="005D3F76" w:rsidRDefault="00B03557" w:rsidP="00DA365C">
      <w:pPr>
        <w:rPr>
          <w:rFonts w:cs="Times New Roman"/>
          <w:szCs w:val="24"/>
        </w:rPr>
      </w:pPr>
      <w:r w:rsidRPr="005D3F76">
        <w:rPr>
          <w:rFonts w:cs="Times New Roman"/>
          <w:szCs w:val="24"/>
        </w:rPr>
        <w:tab/>
        <w:t>There seems to lie within U.S. society a discontent with public sector unions, including public school teacher unions, which largely began within the early 1980’s and continues today, although we have seen from my description above public sector unions were not perceived favorably in the first half of the 20</w:t>
      </w:r>
      <w:r w:rsidRPr="005D3F76">
        <w:rPr>
          <w:rFonts w:cs="Times New Roman"/>
          <w:szCs w:val="24"/>
          <w:vertAlign w:val="superscript"/>
        </w:rPr>
        <w:t>th</w:t>
      </w:r>
      <w:r w:rsidRPr="005D3F76">
        <w:rPr>
          <w:rFonts w:cs="Times New Roman"/>
          <w:szCs w:val="24"/>
        </w:rPr>
        <w:t xml:space="preserve"> century as well.  Today’s disfavor seems to be due in large part because of the garnered power and influence they received within society over the first half of the 20</w:t>
      </w:r>
      <w:r w:rsidRPr="005D3F76">
        <w:rPr>
          <w:rFonts w:cs="Times New Roman"/>
          <w:szCs w:val="24"/>
          <w:vertAlign w:val="superscript"/>
        </w:rPr>
        <w:t>th</w:t>
      </w:r>
      <w:r w:rsidRPr="005D3F76">
        <w:rPr>
          <w:rFonts w:cs="Times New Roman"/>
          <w:szCs w:val="24"/>
        </w:rPr>
        <w:t xml:space="preserve"> century, even if it was bumpy. There is an uneasy acceptance of public sector unions within the U.S., even in places like Wisconsin where public sector unionization was garnered and continued to flourish even before laws were officially put into place within the federal government. However, some polls would suggest that Americans, even those within right-to-work states, might not want to see public sector unions disbanded or stripped of abilities, such as collective bargaining, and rights that were fought over and hard won. A 2012 </w:t>
      </w:r>
      <w:r w:rsidRPr="005D3F76">
        <w:rPr>
          <w:rFonts w:cs="Times New Roman"/>
          <w:i/>
          <w:szCs w:val="24"/>
        </w:rPr>
        <w:t>Wall Street Journal</w:t>
      </w:r>
      <w:r w:rsidRPr="005D3F76">
        <w:rPr>
          <w:rFonts w:cs="Times New Roman"/>
          <w:szCs w:val="24"/>
        </w:rPr>
        <w:t xml:space="preserve">/NBC poll revealed that while “Americans want public employees to pay more for retirement benefits and health care, 77 % said unionized state and municipal employees should have the same rights as union members who work in the private sector” </w:t>
      </w:r>
      <w:r w:rsidRPr="005D3F76">
        <w:rPr>
          <w:rFonts w:cs="Times New Roman"/>
          <w:szCs w:val="24"/>
        </w:rPr>
        <w:fldChar w:fldCharType="begin"/>
      </w:r>
      <w:r w:rsidRPr="005D3F76">
        <w:rPr>
          <w:rFonts w:cs="Times New Roman"/>
          <w:szCs w:val="24"/>
        </w:rPr>
        <w:instrText xml:space="preserve"> ADDIN EN.CITE &lt;EndNote&gt;&lt;Cite&gt;&lt;Author&gt;Kohlenberg&lt;/Author&gt;&lt;Year&gt;2012&lt;/Year&gt;&lt;RecNum&gt;75&lt;/RecNum&gt;&lt;Suffix&gt; para. 3&lt;/Suffix&gt;&lt;DisplayText&gt;(Kohlenberg &amp;amp; Greene, 2012 para. 3)&lt;/DisplayText&gt;&lt;record&gt;&lt;rec-number&gt;75&lt;/rec-number&gt;&lt;foreign-keys&gt;&lt;key app="EN" db-id="etwareaz8xpxz3et59b50d9vxrata9z2w2zt" timestamp="1453824847"&gt;75&lt;/key&gt;&lt;/foreign-keys&gt;&lt;ref-type name="Journal Article"&gt;17&lt;/ref-type&gt;&lt;contributors&gt;&lt;authors&gt;&lt;author&gt;Richard D. Kohlenberg&lt;/author&gt;&lt;author&gt;Jay P. Greene&lt;/author&gt;&lt;/authors&gt;&lt;/contributors&gt;&lt;titles&gt;&lt;title&gt;Unions and the Public Interest: Is collective bargaining for teachers good for students?&lt;/title&gt;&lt;secondary-title&gt;Education Next&lt;/secondary-title&gt;&lt;/titles&gt;&lt;periodical&gt;&lt;full-title&gt;Education Next&lt;/full-title&gt;&lt;/periodical&gt;&lt;pages&gt;1-9&lt;/pages&gt;&lt;volume&gt;12&lt;/volume&gt;&lt;number&gt;1&lt;/number&gt;&lt;dates&gt;&lt;year&gt;2012&lt;/year&gt;&lt;/dates&gt;&lt;urls&gt;&lt;/urls&gt;&lt;/record&gt;&lt;/Cite&gt;&lt;/EndNote&gt;</w:instrText>
      </w:r>
      <w:r w:rsidRPr="005D3F76">
        <w:rPr>
          <w:rFonts w:cs="Times New Roman"/>
          <w:szCs w:val="24"/>
        </w:rPr>
        <w:fldChar w:fldCharType="separate"/>
      </w:r>
      <w:r w:rsidRPr="005D3F76">
        <w:rPr>
          <w:rFonts w:cs="Times New Roman"/>
          <w:noProof/>
          <w:szCs w:val="24"/>
        </w:rPr>
        <w:t>(Kohlenberg &amp; Greene, 2012 para. 3)</w:t>
      </w:r>
      <w:r w:rsidRPr="005D3F76">
        <w:rPr>
          <w:rFonts w:cs="Times New Roman"/>
          <w:szCs w:val="24"/>
        </w:rPr>
        <w:fldChar w:fldCharType="end"/>
      </w:r>
      <w:r w:rsidRPr="005D3F76">
        <w:rPr>
          <w:rFonts w:cs="Times New Roman"/>
          <w:szCs w:val="24"/>
        </w:rPr>
        <w:t xml:space="preserve">. This would stand to reason since free societies all over the world, from Finland to Japan, allow teachers and other public sector workers the right to unionize and engage in activities such as collective bargaining and discretionary input </w:t>
      </w:r>
      <w:r w:rsidRPr="005D3F76">
        <w:rPr>
          <w:rFonts w:cs="Times New Roman"/>
          <w:szCs w:val="24"/>
        </w:rPr>
        <w:fldChar w:fldCharType="begin"/>
      </w:r>
      <w:r w:rsidRPr="005D3F76">
        <w:rPr>
          <w:rFonts w:cs="Times New Roman"/>
          <w:szCs w:val="24"/>
        </w:rPr>
        <w:instrText xml:space="preserve"> ADDIN EN.CITE &lt;EndNote&gt;&lt;Cite&gt;&lt;Author&gt;Kohlenberg&lt;/Author&gt;&lt;Year&gt;2012&lt;/Year&gt;&lt;RecNum&gt;75&lt;/RecNum&gt;&lt;DisplayText&gt;(Kohlenberg &amp;amp; Greene, 2012)&lt;/DisplayText&gt;&lt;record&gt;&lt;rec-number&gt;75&lt;/rec-number&gt;&lt;foreign-keys&gt;&lt;key app="EN" db-id="etwareaz8xpxz3et59b50d9vxrata9z2w2zt" timestamp="1453824847"&gt;75&lt;/key&gt;&lt;/foreign-keys&gt;&lt;ref-type name="Journal Article"&gt;17&lt;/ref-type&gt;&lt;contributors&gt;&lt;authors&gt;&lt;author&gt;Richard D. Kohlenberg&lt;/author&gt;&lt;author&gt;Jay P. Greene&lt;/author&gt;&lt;/authors&gt;&lt;/contributors&gt;&lt;titles&gt;&lt;title&gt;Unions and the Public Interest: Is collective bargaining for teachers good for students?&lt;/title&gt;&lt;secondary-title&gt;Education Next&lt;/secondary-title&gt;&lt;/titles&gt;&lt;periodical&gt;&lt;full-title&gt;Education Next&lt;/full-title&gt;&lt;/periodical&gt;&lt;pages&gt;1-9&lt;/pages&gt;&lt;volume&gt;12&lt;/volume&gt;&lt;number&gt;1&lt;/number&gt;&lt;dates&gt;&lt;year&gt;2012&lt;/year&gt;&lt;/dates&gt;&lt;urls&gt;&lt;/urls&gt;&lt;/record&gt;&lt;/Cite&gt;&lt;/EndNote&gt;</w:instrText>
      </w:r>
      <w:r w:rsidRPr="005D3F76">
        <w:rPr>
          <w:rFonts w:cs="Times New Roman"/>
          <w:szCs w:val="24"/>
        </w:rPr>
        <w:fldChar w:fldCharType="separate"/>
      </w:r>
      <w:r w:rsidRPr="005D3F76">
        <w:rPr>
          <w:rFonts w:cs="Times New Roman"/>
          <w:noProof/>
          <w:szCs w:val="24"/>
        </w:rPr>
        <w:t>(Kohlenberg &amp; Greene, 2012)</w:t>
      </w:r>
      <w:r w:rsidRPr="005D3F76">
        <w:rPr>
          <w:rFonts w:cs="Times New Roman"/>
          <w:szCs w:val="24"/>
        </w:rPr>
        <w:fldChar w:fldCharType="end"/>
      </w:r>
      <w:r w:rsidRPr="005D3F76">
        <w:rPr>
          <w:rFonts w:cs="Times New Roman"/>
          <w:szCs w:val="24"/>
        </w:rPr>
        <w:t>. Have teacher unions, more than any other public union (police, fire-fighters, postal workers, etc.) been more publicly ridiculed or picked apart in the 21</w:t>
      </w:r>
      <w:r w:rsidRPr="005D3F76">
        <w:rPr>
          <w:rFonts w:cs="Times New Roman"/>
          <w:szCs w:val="24"/>
          <w:vertAlign w:val="superscript"/>
        </w:rPr>
        <w:t>st</w:t>
      </w:r>
      <w:r w:rsidRPr="005D3F76">
        <w:rPr>
          <w:rFonts w:cs="Times New Roman"/>
          <w:szCs w:val="24"/>
        </w:rPr>
        <w:t xml:space="preserve"> century? Has the media helped promulgate this belief if this is in fact the case? </w:t>
      </w:r>
    </w:p>
    <w:p w14:paraId="7DA212F0" w14:textId="77777777" w:rsidR="00B03557" w:rsidRPr="005D3F76" w:rsidRDefault="00B03557" w:rsidP="00C56DF5">
      <w:pPr>
        <w:rPr>
          <w:rFonts w:cs="Times New Roman"/>
          <w:szCs w:val="24"/>
        </w:rPr>
        <w:sectPr w:rsidR="00B03557" w:rsidRPr="005D3F76" w:rsidSect="00B03557">
          <w:endnotePr>
            <w:numRestart w:val="eachSect"/>
          </w:endnotePr>
          <w:pgSz w:w="12240" w:h="15840"/>
          <w:pgMar w:top="1440" w:right="1440" w:bottom="1440" w:left="1440" w:header="720" w:footer="720" w:gutter="0"/>
          <w:cols w:space="720"/>
          <w:docGrid w:linePitch="360"/>
        </w:sectPr>
      </w:pPr>
      <w:r w:rsidRPr="005D3F76">
        <w:rPr>
          <w:rFonts w:cs="Times New Roman"/>
          <w:szCs w:val="24"/>
        </w:rPr>
        <w:lastRenderedPageBreak/>
        <w:tab/>
        <w:t xml:space="preserve">Much of the literature on teacher unions has been “macro-level and institutional in focus, written from the perspectives of administrators, policy analysts, and organizational theorists” </w:t>
      </w:r>
      <w:r w:rsidRPr="005D3F76">
        <w:rPr>
          <w:rFonts w:cs="Times New Roman"/>
          <w:szCs w:val="24"/>
        </w:rPr>
        <w:fldChar w:fldCharType="begin"/>
      </w:r>
      <w:r w:rsidRPr="005D3F76">
        <w:rPr>
          <w:rFonts w:cs="Times New Roman"/>
          <w:szCs w:val="24"/>
        </w:rPr>
        <w:instrText xml:space="preserve"> ADDIN EN.CITE &lt;EndNote&gt;&lt;Cite&gt;&lt;Author&gt;Bascia&lt;/Author&gt;&lt;Year&gt;1990&lt;/Year&gt;&lt;RecNum&gt;68&lt;/RecNum&gt;&lt;Pages&gt;302&lt;/Pages&gt;&lt;DisplayText&gt;(Bascia, 1990, p. 302)&lt;/DisplayText&gt;&lt;record&gt;&lt;rec-number&gt;68&lt;/rec-number&gt;&lt;foreign-keys&gt;&lt;key app="EN" db-id="etwareaz8xpxz3et59b50d9vxrata9z2w2zt" timestamp="1453824216"&gt;68&lt;/key&gt;&lt;/foreign-keys&gt;&lt;ref-type name="Journal Article"&gt;17&lt;/ref-type&gt;&lt;contributors&gt;&lt;authors&gt;&lt;author&gt;Nina Bascia&lt;/author&gt;&lt;/authors&gt;&lt;/contributors&gt;&lt;titles&gt;&lt;title&gt;Teachers&amp;apos; evaluations of unions&lt;/title&gt;&lt;secondary-title&gt;Journal of Education Policy&lt;/secondary-title&gt;&lt;/titles&gt;&lt;periodical&gt;&lt;full-title&gt;Journal of Education Policy&lt;/full-title&gt;&lt;/periodical&gt;&lt;pages&gt;301-313&lt;/pages&gt;&lt;volume&gt;5&lt;/volume&gt;&lt;number&gt;4&lt;/number&gt;&lt;dates&gt;&lt;year&gt;1990&lt;/year&gt;&lt;/dates&gt;&lt;urls&gt;&lt;/urls&gt;&lt;/record&gt;&lt;/Cite&gt;&lt;/EndNote&gt;</w:instrText>
      </w:r>
      <w:r w:rsidRPr="005D3F76">
        <w:rPr>
          <w:rFonts w:cs="Times New Roman"/>
          <w:szCs w:val="24"/>
        </w:rPr>
        <w:fldChar w:fldCharType="separate"/>
      </w:r>
      <w:r w:rsidRPr="005D3F76">
        <w:rPr>
          <w:rFonts w:cs="Times New Roman"/>
          <w:noProof/>
          <w:szCs w:val="24"/>
        </w:rPr>
        <w:t>(Bascia, 1990, p. 302)</w:t>
      </w:r>
      <w:r w:rsidRPr="005D3F76">
        <w:rPr>
          <w:rFonts w:cs="Times New Roman"/>
          <w:szCs w:val="24"/>
        </w:rPr>
        <w:fldChar w:fldCharType="end"/>
      </w:r>
      <w:r w:rsidRPr="005D3F76">
        <w:rPr>
          <w:rFonts w:cs="Times New Roman"/>
          <w:szCs w:val="24"/>
        </w:rPr>
        <w:t>. Unions in recent years have been held responsible for everything from “increased bureaucratization,” to “ineffective implementation of reform policies,” to the “simplification of conceptions of teaching from professional to labor models” (p. 302). Wisconsin is no different in the blame game. Unlike what the 2011 Gallop Poll demonstrated above, teacher unions’ actions in particular have been viewed most recently by society as “unprofessional, irrelevant, or harmful” (p. 302). So, why the change in U.S. society concerning teacher unions? Are the media outlets adding or even intensifying the negative impact to teacher unions and policy? Is history bound to reverse itself in terms of public sector unions, especially in regards to teacher unions who seem to be on the sharp edge of the media’s attempts at curtailing public sector unionization? Even if public service unions have had a contentious history, it would seem they should be given some credit for what they have accomplished within U.S. educational systems. However, we shall begin to unravel the assault on teacher unions as to see if the media’s overtness, history’s influence, and a possibility of other factor’s lead to present day criticisms of teacher unions.</w:t>
      </w:r>
    </w:p>
    <w:p w14:paraId="4DBD8583" w14:textId="57B2D914" w:rsidR="00B03557" w:rsidRPr="005D3F76" w:rsidRDefault="00A3521D" w:rsidP="006F28A3">
      <w:pPr>
        <w:pStyle w:val="Heading1"/>
        <w:rPr>
          <w:rFonts w:cs="Times New Roman"/>
        </w:rPr>
      </w:pPr>
      <w:bookmarkStart w:id="9" w:name="_Toc462843629"/>
      <w:r w:rsidRPr="005D3F76">
        <w:rPr>
          <w:rFonts w:cs="Times New Roman"/>
        </w:rPr>
        <w:lastRenderedPageBreak/>
        <w:t>CHAPTER THREE:</w:t>
      </w:r>
      <w:r w:rsidRPr="005D3F76">
        <w:rPr>
          <w:rFonts w:cs="Times New Roman"/>
        </w:rPr>
        <w:br/>
        <w:t>METHODOLOGY</w:t>
      </w:r>
      <w:bookmarkEnd w:id="9"/>
    </w:p>
    <w:p w14:paraId="76E8781D" w14:textId="77777777" w:rsidR="00B03557" w:rsidRPr="005D3F76" w:rsidRDefault="00B03557" w:rsidP="001B1E2A">
      <w:pPr>
        <w:spacing w:before="480" w:after="480" w:line="240" w:lineRule="auto"/>
        <w:ind w:left="720"/>
        <w:rPr>
          <w:rFonts w:cs="Times New Roman"/>
          <w:b/>
          <w:i/>
          <w:szCs w:val="24"/>
        </w:rPr>
      </w:pPr>
      <w:r w:rsidRPr="005D3F76">
        <w:rPr>
          <w:rFonts w:cs="Times New Roman"/>
          <w:b/>
          <w:szCs w:val="24"/>
        </w:rPr>
        <w:t xml:space="preserve">We live in an age of great change and instability in which the forms of power and domination are being radically reshaped. ~ </w:t>
      </w:r>
      <w:r w:rsidRPr="005D3F76">
        <w:rPr>
          <w:rFonts w:cs="Times New Roman"/>
          <w:b/>
          <w:i/>
          <w:szCs w:val="24"/>
        </w:rPr>
        <w:t>Norman Fairclough from The Critical Study of Language (1995)</w:t>
      </w:r>
    </w:p>
    <w:p w14:paraId="4E93F0D4" w14:textId="7934FD1F" w:rsidR="00B03557" w:rsidRPr="005D3F76" w:rsidRDefault="00B03557" w:rsidP="00C56DF5">
      <w:pPr>
        <w:ind w:firstLine="720"/>
        <w:rPr>
          <w:rFonts w:cs="Times New Roman"/>
          <w:szCs w:val="24"/>
        </w:rPr>
      </w:pPr>
      <w:r w:rsidRPr="005D3F76">
        <w:rPr>
          <w:rFonts w:cs="Times New Roman"/>
          <w:szCs w:val="24"/>
        </w:rPr>
        <w:t>Undergirding much public opinion</w:t>
      </w:r>
      <w:r w:rsidR="007F5582" w:rsidRPr="005D3F76">
        <w:rPr>
          <w:rFonts w:cs="Times New Roman"/>
          <w:szCs w:val="24"/>
        </w:rPr>
        <w:t xml:space="preserve"> within the United States in regard</w:t>
      </w:r>
      <w:r w:rsidRPr="005D3F76">
        <w:rPr>
          <w:rFonts w:cs="Times New Roman"/>
          <w:szCs w:val="24"/>
        </w:rPr>
        <w:t xml:space="preserve"> to public sector unions, specifically teacher unions, lies in the power of the media through the use of ‘elite discourse</w:t>
      </w:r>
      <w:r w:rsidRPr="005D3F76">
        <w:rPr>
          <w:rStyle w:val="EndnoteReference"/>
          <w:rFonts w:cs="Times New Roman"/>
          <w:szCs w:val="24"/>
        </w:rPr>
        <w:endnoteReference w:id="8"/>
      </w:r>
      <w:r w:rsidRPr="005D3F76">
        <w:rPr>
          <w:rFonts w:cs="Times New Roman"/>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&lt;EndNote&gt;&lt;Cite&gt;&lt;Author&gt;Simon&lt;/Author&gt;&lt;Year&gt;2000&lt;/Year&gt;&lt;RecNum&gt;153&lt;/RecNum&gt;&lt;DisplayText&gt;(Norman Fairclough, 1992; Simon &amp;amp; Xenos, 2000)&lt;/DisplayText&gt;&lt;record&gt;&lt;rec-number&gt;153&lt;/rec-number&gt;&lt;foreign-keys&gt;&lt;key app="EN" db-id="etwareaz8xpxz3et59b50d9vxrata9z2w2zt" timestamp="1456252890"&gt;153&lt;/key&gt;&lt;/foreign-keys&gt;&lt;ref-type name="Journal Article"&gt;17&lt;/ref-type&gt;&lt;contributors&gt;&lt;authors&gt;&lt;author&gt;Adam Simon&lt;/author&gt;&lt;author&gt;Michael Xenos&lt;/author&gt;&lt;/authors&gt;&lt;/contributors&gt;&lt;titles&gt;&lt;title&gt;Media Framing and Effective Public Deliberation&lt;/title&gt;&lt;secondary-title&gt;Political Communication&lt;/secondary-title&gt;&lt;/titles&gt;&lt;periodical&gt;&lt;full-title&gt;Political Communication&lt;/full-title&gt;&lt;/periodical&gt;&lt;pages&gt;363-378&lt;/pages&gt;&lt;volume&gt;17&lt;/volume&gt;&lt;number&gt;4&lt;/number&gt;&lt;dates&gt;&lt;year&gt;2000&lt;/year&gt;&lt;/dates&gt;&lt;urls&gt;&lt;/urls&gt;&lt;/record&gt;&lt;/Cite&gt;&lt;Cite&gt;&lt;Author&gt;Fairclough&lt;/Author&gt;&lt;Year&gt;1992&lt;/Year&gt;&lt;RecNum&gt;7&lt;/RecNum&gt;&lt;record&gt;&lt;rec-number&gt;7&lt;/rec-number&gt;&lt;foreign-keys&gt;&lt;key app="EN" db-id="etwareaz8xpxz3et59b50d9vxrata9z2w2zt" timestamp="1444572256"&gt;7&lt;/key&gt;&lt;/foreign-keys&gt;&lt;ref-type name="Book"&gt;6&lt;/ref-type&gt;&lt;contributors&gt;&lt;authors&gt;&lt;author&gt;Norman Fairclough&lt;/author&gt;&lt;/authors&gt;&lt;/contributors&gt;&lt;titles&gt;&lt;title&gt;Discourse and Social Change&lt;/title&gt;&lt;/titles&gt;&lt;dates&gt;&lt;year&gt;1992&lt;/year&gt;&lt;/dates&gt;&lt;pub-location&gt;Cambridge, MA&lt;/pub-location&gt;&lt;publisher&gt;Polity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(Norman Fairclough, 1992; Simon &amp; Xenos, 2000)</w:t>
      </w:r>
      <w:r w:rsidRPr="005D3F76">
        <w:rPr>
          <w:rFonts w:cs="Times New Roman"/>
          <w:szCs w:val="24"/>
        </w:rPr>
        <w:fldChar w:fldCharType="end"/>
      </w:r>
      <w:r w:rsidRPr="005D3F76">
        <w:rPr>
          <w:rFonts w:cs="Times New Roman"/>
          <w:szCs w:val="24"/>
        </w:rPr>
        <w:t xml:space="preserve">. Scholars argue that “elite discourse represents a powerful hegemonic force for indoctrinating the masses with the ideas of the ruling class” </w:t>
      </w:r>
      <w:r w:rsidRPr="005D3F76">
        <w:rPr>
          <w:rFonts w:cs="Times New Roman"/>
          <w:szCs w:val="24"/>
        </w:rPr>
        <w:fldChar w:fldCharType="begin"/>
      </w:r>
      <w:r w:rsidRPr="005D3F76">
        <w:rPr>
          <w:rFonts w:cs="Times New Roman"/>
          <w:szCs w:val="24"/>
        </w:rPr>
        <w:instrText xml:space="preserve"> ADDIN EN.CITE &lt;EndNote&gt;&lt;Cite&gt;&lt;Author&gt;Simon&lt;/Author&gt;&lt;Year&gt;2000&lt;/Year&gt;&lt;RecNum&gt;153&lt;/RecNum&gt;&lt;Pages&gt;364&lt;/Pages&gt;&lt;DisplayText&gt;(Simon &amp;amp; Xenos, 2000, p. 364)&lt;/DisplayText&gt;&lt;record&gt;&lt;rec-number&gt;153&lt;/rec-number&gt;&lt;foreign-keys&gt;&lt;key app="EN" db-id="etwareaz8xpxz3et59b50d9vxrata9z2w2zt" timestamp="1456252890"&gt;153&lt;/key&gt;&lt;/foreign-keys&gt;&lt;ref-type name="Journal Article"&gt;17&lt;/ref-type&gt;&lt;contributors&gt;&lt;authors&gt;&lt;author&gt;Adam Simon&lt;/author&gt;&lt;author&gt;Michael Xenos&lt;/author&gt;&lt;/authors&gt;&lt;/contributors&gt;&lt;titles&gt;&lt;title&gt;Media Framing and Effective Public Deliberation&lt;/title&gt;&lt;secondary-title&gt;Political Communication&lt;/secondary-title&gt;&lt;/titles&gt;&lt;periodical&gt;&lt;full-title&gt;Political Communication&lt;/full-title&gt;&lt;/periodical&gt;&lt;pages&gt;363-378&lt;/pages&gt;&lt;volume&gt;17&lt;/volume&gt;&lt;number&gt;4&lt;/number&gt;&lt;dates&gt;&lt;year&gt;2000&lt;/year&gt;&lt;/dates&gt;&lt;urls&gt;&lt;/urls&gt;&lt;/record&gt;&lt;/Cite&gt;&lt;/EndNote&gt;</w:instrText>
      </w:r>
      <w:r w:rsidRPr="005D3F76">
        <w:rPr>
          <w:rFonts w:cs="Times New Roman"/>
          <w:szCs w:val="24"/>
        </w:rPr>
        <w:fldChar w:fldCharType="separate"/>
      </w:r>
      <w:r w:rsidRPr="005D3F76">
        <w:rPr>
          <w:rFonts w:cs="Times New Roman"/>
          <w:noProof/>
          <w:szCs w:val="24"/>
        </w:rPr>
        <w:t>(Simon &amp; Xenos, 2000, p. 364)</w:t>
      </w:r>
      <w:r w:rsidRPr="005D3F76">
        <w:rPr>
          <w:rFonts w:cs="Times New Roman"/>
          <w:szCs w:val="24"/>
        </w:rPr>
        <w:fldChar w:fldCharType="end"/>
      </w:r>
      <w:r w:rsidRPr="005D3F76">
        <w:rPr>
          <w:rFonts w:cs="Times New Roman"/>
          <w:szCs w:val="24"/>
        </w:rPr>
        <w:t xml:space="preserve">. In this claim, it is maintained that what is discussed within the media responds to, and conditions itself to the material world leading to the precipitation of the ideas themselves coming to fruition. According to Norman Fairclough </w:t>
      </w:r>
      <w:r w:rsidRPr="005D3F76">
        <w:rPr>
          <w:rFonts w:cs="Times New Roman"/>
          <w:szCs w:val="24"/>
        </w:rPr>
        <w:fldChar w:fldCharType="begin"/>
      </w:r>
      <w:r w:rsidRPr="005D3F76">
        <w:rPr>
          <w:rFonts w:cs="Times New Roman"/>
          <w:szCs w:val="24"/>
        </w:rPr>
        <w:instrText xml:space="preserve"> ADDIN EN.CITE &lt;EndNote&gt;&lt;Cite ExcludeAuth="1"&gt;&lt;Author&gt;Fairclough&lt;/Author&gt;&lt;Year&gt;1992&lt;/Year&gt;&lt;RecNum&gt;7&lt;/RecNum&gt;&lt;DisplayText&gt;(1992)&lt;/DisplayText&gt;&lt;record&gt;&lt;rec-number&gt;7&lt;/rec-number&gt;&lt;foreign-keys&gt;&lt;key app="EN" db-id="etwareaz8xpxz3et59b50d9vxrata9z2w2zt" timestamp="1444572256"&gt;7&lt;/key&gt;&lt;/foreign-keys&gt;&lt;ref-type name="Book"&gt;6&lt;/ref-type&gt;&lt;contributors&gt;&lt;authors&gt;&lt;author&gt;Norman Fairclough&lt;/author&gt;&lt;/authors&gt;&lt;/contributors&gt;&lt;titles&gt;&lt;title&gt;Discourse and Social Change&lt;/title&gt;&lt;/titles&gt;&lt;dates&gt;&lt;year&gt;1992&lt;/year&gt;&lt;/dates&gt;&lt;pub-location&gt;Cambridge, MA&lt;/pub-location&gt;&lt;publisher&gt;Polity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(1992)</w:t>
      </w:r>
      <w:r w:rsidRPr="005D3F76">
        <w:rPr>
          <w:rFonts w:cs="Times New Roman"/>
          <w:szCs w:val="24"/>
        </w:rPr>
        <w:fldChar w:fldCharType="end"/>
      </w:r>
      <w:r w:rsidRPr="005D3F76">
        <w:rPr>
          <w:rFonts w:cs="Times New Roman"/>
          <w:szCs w:val="24"/>
        </w:rPr>
        <w:t xml:space="preserve"> “the power of the media to shape governments and parties, to transform suffering . . . to influence knowledge, beliefs, values, social relations [and] social identities” is significant to understanding the impact the media has within the U.S. </w:t>
      </w:r>
      <w:r w:rsidRPr="005D3F76">
        <w:rPr>
          <w:rFonts w:cs="Times New Roman"/>
          <w:szCs w:val="24"/>
        </w:rPr>
        <w:fldChar w:fldCharType="begin"/>
      </w:r>
      <w:r w:rsidRPr="005D3F76">
        <w:rPr>
          <w:rFonts w:cs="Times New Roman"/>
          <w:szCs w:val="24"/>
        </w:rPr>
        <w:instrText xml:space="preserve"> ADDIN EN.CITE &lt;EndNote&gt;&lt;Cite ExcludeAuth="1" ExcludeYear="1"&gt;&lt;Author&gt;Fairclough&lt;/Author&gt;&lt;Year&gt;1992&lt;/Year&gt;&lt;RecNum&gt;7&lt;/RecNum&gt;&lt;Pages&gt;2&lt;/Pages&gt;&lt;DisplayText&gt;(p. 2)&lt;/DisplayText&gt;&lt;record&gt;&lt;rec-number&gt;7&lt;/rec-number&gt;&lt;foreign-keys&gt;&lt;key app="EN" db-id="etwareaz8xpxz3et59b50d9vxrata9z2w2zt" timestamp="1444572256"&gt;7&lt;/key&gt;&lt;/foreign-keys&gt;&lt;ref-type name="Book"&gt;6&lt;/ref-type&gt;&lt;contributors&gt;&lt;authors&gt;&lt;author&gt;Norman Fairclough&lt;/author&gt;&lt;/authors&gt;&lt;/contributors&gt;&lt;titles&gt;&lt;title&gt;Discourse and Social Change&lt;/title&gt;&lt;/titles&gt;&lt;dates&gt;&lt;year&gt;1992&lt;/year&gt;&lt;/dates&gt;&lt;pub-location&gt;Cambridge, MA&lt;/pub-location&gt;&lt;publisher&gt;Polity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(p. 2)</w:t>
      </w:r>
      <w:r w:rsidRPr="005D3F76">
        <w:rPr>
          <w:rFonts w:cs="Times New Roman"/>
          <w:szCs w:val="24"/>
        </w:rPr>
        <w:fldChar w:fldCharType="end"/>
      </w:r>
      <w:r w:rsidRPr="005D3F76">
        <w:rPr>
          <w:rFonts w:cs="Times New Roman"/>
          <w:szCs w:val="24"/>
        </w:rPr>
        <w:t>. However, more importantly, the media is a “signifying power (the power to represent things in particular ways) which is largely a matter of how language is used,” but also the purposes it goes to serve—the domination</w:t>
      </w:r>
      <w:r w:rsidRPr="005D3F76">
        <w:rPr>
          <w:rStyle w:val="EndnoteReference"/>
          <w:rFonts w:cs="Times New Roman"/>
          <w:szCs w:val="24"/>
        </w:rPr>
        <w:endnoteReference w:id="9"/>
      </w:r>
      <w:r w:rsidRPr="005D3F76">
        <w:rPr>
          <w:rFonts w:cs="Times New Roman"/>
          <w:szCs w:val="24"/>
        </w:rPr>
        <w:t xml:space="preserve"> and inequality it may or may not create (p. 3). In this capacity, g</w:t>
      </w:r>
      <w:r w:rsidR="007F5582" w:rsidRPr="005D3F76">
        <w:rPr>
          <w:rFonts w:cs="Times New Roman"/>
          <w:szCs w:val="24"/>
        </w:rPr>
        <w:t>iven the prominent position</w:t>
      </w:r>
      <w:r w:rsidRPr="005D3F76">
        <w:rPr>
          <w:rFonts w:cs="Times New Roman"/>
          <w:szCs w:val="24"/>
        </w:rPr>
        <w:t xml:space="preserve"> of the media within U.S. social systems, there can be little argument that they can indeed foster sociocultural change within the mass population. The question becomes in this research whether or not the media is doing this where teacher unions are concerned?</w:t>
      </w:r>
    </w:p>
    <w:p w14:paraId="1C8AC39E" w14:textId="6B8E8183" w:rsidR="00B03557" w:rsidRPr="005D3F76" w:rsidRDefault="00B03557" w:rsidP="00C56DF5">
      <w:pPr>
        <w:ind w:firstLine="720"/>
        <w:rPr>
          <w:rFonts w:cs="Times New Roman"/>
          <w:szCs w:val="24"/>
        </w:rPr>
      </w:pPr>
      <w:r w:rsidRPr="005D3F76">
        <w:rPr>
          <w:rFonts w:cs="Times New Roman"/>
          <w:szCs w:val="24"/>
        </w:rPr>
        <w:t xml:space="preserve">I will be advancing the multifaceted dimensions of the media by concentrating on the way in which discourse reproduces and confronts the role of dominance </w:t>
      </w:r>
      <w:r w:rsidR="007F5582" w:rsidRPr="005D3F76">
        <w:rPr>
          <w:rFonts w:cs="Times New Roman"/>
          <w:szCs w:val="24"/>
        </w:rPr>
        <w:t>by the media over teacher unions within Wisconsin.</w:t>
      </w:r>
      <w:r w:rsidRPr="005D3F76">
        <w:rPr>
          <w:rFonts w:cs="Times New Roman"/>
          <w:szCs w:val="24"/>
        </w:rPr>
        <w:t xml:space="preserve"> The best avenue for doing so can be found within the </w:t>
      </w:r>
      <w:r w:rsidRPr="005D3F76">
        <w:rPr>
          <w:rFonts w:cs="Times New Roman"/>
          <w:szCs w:val="24"/>
        </w:rPr>
        <w:lastRenderedPageBreak/>
        <w:t xml:space="preserve">methodological framework of critical discourse analysis </w:t>
      </w:r>
      <w:r w:rsidRPr="005D3F76">
        <w:rPr>
          <w:rFonts w:cs="Times New Roman"/>
          <w:szCs w:val="24"/>
        </w:rPr>
        <w:fldChar w:fldCharType="begin"/>
      </w:r>
      <w:r w:rsidRPr="005D3F76">
        <w:rPr>
          <w:rFonts w:cs="Times New Roman"/>
          <w:szCs w:val="24"/>
        </w:rPr>
        <w:instrText xml:space="preserve"> ADDIN EN.CITE &lt;EndNote&gt;&lt;Cite&gt;&lt;Author&gt;Dijk&lt;/Author&gt;&lt;Year&gt;1993&lt;/Year&gt;&lt;RecNum&gt;154&lt;/RecNum&gt;&lt;Pages&gt;249&lt;/Pages&gt;&lt;DisplayText&gt;(van Dijk, 1993, p. 249)&lt;/DisplayText&gt;&lt;record&gt;&lt;rec-number&gt;154&lt;/rec-number&gt;&lt;foreign-keys&gt;&lt;key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Society&lt;/full-title&gt;&lt;/periodical&gt;&lt;dates&gt;&lt;year&gt;1993&lt;/year&gt;&lt;/dates&gt;&lt;urls&gt;&lt;/urls&gt;&lt;/record&gt;&lt;/Cite&gt;&lt;/EndNote&gt;</w:instrText>
      </w:r>
      <w:r w:rsidRPr="005D3F76">
        <w:rPr>
          <w:rFonts w:cs="Times New Roman"/>
          <w:szCs w:val="24"/>
        </w:rPr>
        <w:fldChar w:fldCharType="separate"/>
      </w:r>
      <w:r w:rsidRPr="005D3F76">
        <w:rPr>
          <w:rFonts w:cs="Times New Roman"/>
          <w:noProof/>
          <w:szCs w:val="24"/>
        </w:rPr>
        <w:t>(van Dijk, 1993, p. 249)</w:t>
      </w:r>
      <w:r w:rsidRPr="005D3F76">
        <w:rPr>
          <w:rFonts w:cs="Times New Roman"/>
          <w:szCs w:val="24"/>
        </w:rPr>
        <w:fldChar w:fldCharType="end"/>
      </w:r>
      <w:r w:rsidRPr="005D3F76">
        <w:rPr>
          <w:rFonts w:cs="Times New Roman"/>
          <w:szCs w:val="24"/>
        </w:rPr>
        <w:t>. Critical discourse analysis helps with description of language variations within certain social institutions. It also engages understanding of semiotic modalities that run through interdiscursivity that can be couched in ideological discourse. It is also a way to speak to recognizing</w:t>
      </w:r>
      <w:r w:rsidRPr="005D3F76" w:rsidDel="00E306D5">
        <w:rPr>
          <w:rFonts w:cs="Times New Roman"/>
          <w:szCs w:val="24"/>
        </w:rPr>
        <w:t xml:space="preserve"> </w:t>
      </w:r>
      <w:r w:rsidRPr="005D3F76">
        <w:rPr>
          <w:rFonts w:cs="Times New Roman"/>
          <w:szCs w:val="24"/>
        </w:rPr>
        <w:t xml:space="preserve">focal themes of social institutions, such as, the media. What follows in this chapter is a framework to set up systematically researching the way language is viewed as social practice concerning teacher unions through communication via the media and critical discourse analysis (CDA).     </w:t>
      </w:r>
    </w:p>
    <w:p w14:paraId="127F4CA2" w14:textId="77777777" w:rsidR="00B03557" w:rsidRPr="005D3F76" w:rsidRDefault="00B03557" w:rsidP="0012433F">
      <w:pPr>
        <w:pStyle w:val="Heading2"/>
        <w:rPr>
          <w:rFonts w:cs="Times New Roman"/>
        </w:rPr>
      </w:pPr>
      <w:bookmarkStart w:id="10" w:name="_Toc462843630"/>
      <w:r w:rsidRPr="005D3F76">
        <w:rPr>
          <w:rFonts w:cs="Times New Roman"/>
        </w:rPr>
        <w:t>Critical Discourse Analysis: A Brief History</w:t>
      </w:r>
      <w:bookmarkEnd w:id="10"/>
    </w:p>
    <w:p w14:paraId="38AB9A39" w14:textId="3247BD96" w:rsidR="00B03557" w:rsidRPr="005D3F76" w:rsidRDefault="00B03557" w:rsidP="00C56DF5">
      <w:pPr>
        <w:rPr>
          <w:rFonts w:cs="Times New Roman"/>
          <w:szCs w:val="24"/>
        </w:rPr>
      </w:pPr>
      <w:r w:rsidRPr="005D3F76">
        <w:rPr>
          <w:rFonts w:cs="Times New Roman"/>
          <w:b/>
          <w:szCs w:val="24"/>
        </w:rPr>
        <w:tab/>
      </w:r>
      <w:r w:rsidRPr="005D3F76">
        <w:rPr>
          <w:rFonts w:cs="Times New Roman"/>
          <w:szCs w:val="24"/>
        </w:rPr>
        <w:t xml:space="preserve">To understand what critical discourse analysis is and how to use it as a working theoretical and methodological framework for researching the media’s reporting of teacher unions, it is important to first briefly explain the origins of CDA and a little of the history behind it. CDA can be considered a heterogeneous movement of sorts, with differing schools oriented toward different epistemologies </w:t>
      </w:r>
      <w:r w:rsidRPr="005D3F76">
        <w:rPr>
          <w:rFonts w:cs="Times New Roman"/>
          <w:szCs w:val="24"/>
        </w:rPr>
        <w:fldChar w:fldCharType="begin"/>
      </w:r>
      <w:r w:rsidRPr="005D3F76">
        <w:rPr>
          <w:rFonts w:cs="Times New Roman"/>
          <w:szCs w:val="24"/>
        </w:rPr>
        <w:instrText xml:space="preserve"> ADDIN EN.CITE &lt;EndNote&gt;&lt;Cite&gt;&lt;Author&gt;Forchtner&lt;/Author&gt;&lt;Year&gt;2010&lt;/Year&gt;&lt;RecNum&gt;163&lt;/RecNum&gt;&lt;DisplayText&gt;(Forchtner, 2010)&lt;/DisplayText&gt;&lt;record&gt;&lt;rec-number&gt;163&lt;/rec-number&gt;&lt;foreign-keys&gt;&lt;key app="EN" db-id="etwareaz8xpxz3et59b50d9vxrata9z2w2zt" timestamp="1456771920"&gt;163&lt;/key&gt;&lt;/foreign-keys&gt;&lt;ref-type name="Journal Article"&gt;17&lt;/ref-type&gt;&lt;contributors&gt;&lt;authors&gt;&lt;author&gt;Bernhard Forchtner&lt;/author&gt;&lt;/authors&gt;&lt;/contributors&gt;&lt;titles&gt;&lt;title&gt;Jurgen Habermas&amp;apos; Language-Philosophy and the Critical Study of Language&lt;/title&gt;&lt;secondary-title&gt;Critical Approaches to Discourse Analysis Across Disciplines&lt;/secondary-title&gt;&lt;/titles&gt;&lt;periodical&gt;&lt;full-title&gt;Critical Approaches to Discourse Analysis across Disciplines&lt;/full-title&gt;&lt;/periodical&gt;&lt;pages&gt;18-37&lt;/pages&gt;&lt;volume&gt;4&lt;/volume&gt;&lt;number&gt;1&lt;/number&gt;&lt;dates&gt;&lt;year&gt;2010&lt;/year&gt;&lt;/dates&gt;&lt;urls&gt;&lt;/urls&gt;&lt;/record&gt;&lt;/Cite&gt;&lt;/EndNote&gt;</w:instrText>
      </w:r>
      <w:r w:rsidRPr="005D3F76">
        <w:rPr>
          <w:rFonts w:cs="Times New Roman"/>
          <w:szCs w:val="24"/>
        </w:rPr>
        <w:fldChar w:fldCharType="separate"/>
      </w:r>
      <w:r w:rsidRPr="005D3F76">
        <w:rPr>
          <w:rFonts w:cs="Times New Roman"/>
          <w:noProof/>
          <w:szCs w:val="24"/>
        </w:rPr>
        <w:t>(Forchtner, 2010)</w:t>
      </w:r>
      <w:r w:rsidRPr="005D3F76">
        <w:rPr>
          <w:rFonts w:cs="Times New Roman"/>
          <w:szCs w:val="24"/>
        </w:rPr>
        <w:fldChar w:fldCharType="end"/>
      </w:r>
      <w:r w:rsidRPr="005D3F76">
        <w:rPr>
          <w:rFonts w:cs="Times New Roman"/>
          <w:szCs w:val="24"/>
        </w:rPr>
        <w:t>. Therefore, depending on the discipline and hypothesis used to trace CDA, at least some of the lines of development can be sketched back to philosophers such as</w:t>
      </w:r>
      <w:r w:rsidR="006F28A3" w:rsidRPr="005D3F76">
        <w:rPr>
          <w:rFonts w:cs="Times New Roman"/>
          <w:szCs w:val="24"/>
        </w:rPr>
        <w:t xml:space="preserve"> </w:t>
      </w:r>
      <w:r w:rsidRPr="005D3F76">
        <w:rPr>
          <w:rFonts w:cs="Times New Roman"/>
          <w:szCs w:val="24"/>
        </w:rPr>
        <w:t>Marx, and then to the Frankfurt School where theorists such as Max Horkheimer, Theodor Adorno, and Herbert Marcuse first developed the preliminary forms of what we now call CDA. Further, Jurgen Habermas’ work which encompasses discussions of rationalization and his embrace of critical theory,</w:t>
      </w:r>
      <w:r w:rsidRPr="005D3F76">
        <w:rPr>
          <w:rStyle w:val="EndnoteReference"/>
          <w:rFonts w:cs="Times New Roman"/>
          <w:szCs w:val="24"/>
        </w:rPr>
        <w:endnoteReference w:id="10"/>
      </w:r>
      <w:r w:rsidRPr="005D3F76">
        <w:rPr>
          <w:rFonts w:cs="Times New Roman"/>
          <w:szCs w:val="24"/>
        </w:rPr>
        <w:t xml:space="preserve"> seems to play a key role in the further development of CDA after the 1960’s </w:t>
      </w:r>
      <w:r w:rsidRPr="005D3F76">
        <w:rPr>
          <w:rFonts w:cs="Times New Roman"/>
          <w:szCs w:val="24"/>
        </w:rPr>
        <w:fldChar w:fldCharType="begin"/>
      </w:r>
      <w:r w:rsidRPr="005D3F76">
        <w:rPr>
          <w:rFonts w:cs="Times New Roman"/>
          <w:szCs w:val="24"/>
        </w:rPr>
        <w:instrText xml:space="preserve"> ADDIN EN.CITE &lt;EndNote&gt;&lt;Cite&gt;&lt;Author&gt;Slater&lt;/Author&gt;&lt;Year&gt;1977&lt;/Year&gt;&lt;RecNum&gt;160&lt;/RecNum&gt;&lt;DisplayText&gt;(Geuss, 1981; P. Slater, 1977)&lt;/DisplayText&gt;&lt;record&gt;&lt;rec-number&gt;160&lt;/rec-number&gt;&lt;foreign-keys&gt;&lt;key app="EN" db-id="etwareaz8xpxz3et59b50d9vxrata9z2w2zt" timestamp="1456766152"&gt;160&lt;/key&gt;&lt;/foreign-keys&gt;&lt;ref-type name="Book"&gt;6&lt;/ref-type&gt;&lt;contributors&gt;&lt;authors&gt;&lt;author&gt;P. Slater&lt;/author&gt;&lt;/authors&gt;&lt;/contributors&gt;&lt;titles&gt;&lt;title&gt;Origin and Significance of the Frankfurt School: A Marxist Perspective&lt;/title&gt;&lt;/titles&gt;&lt;dates&gt;&lt;year&gt;1977&lt;/year&gt;&lt;/dates&gt;&lt;pub-location&gt;London&lt;/pub-location&gt;&lt;publisher&gt;Routledge &amp;amp; Kegan paul&lt;/publisher&gt;&lt;urls&gt;&lt;/urls&gt;&lt;/record&gt;&lt;/Cite&gt;&lt;Cite&gt;&lt;Author&gt;Geuss&lt;/Author&gt;&lt;Year&gt;1981&lt;/Year&gt;&lt;RecNum&gt;161&lt;/RecNum&gt;&lt;record&gt;&lt;rec-number&gt;161&lt;/rec-number&gt;&lt;foreign-keys&gt;&lt;key app="EN" db-id="etwareaz8xpxz3et59b50d9vxrata9z2w2zt" timestamp="1456766223"&gt;161&lt;/key&gt;&lt;/foreign-keys&gt;&lt;ref-type name="Book"&gt;6&lt;/ref-type&gt;&lt;contributors&gt;&lt;authors&gt;&lt;author&gt;R. Geuss&lt;/author&gt;&lt;/authors&gt;&lt;/contributors&gt;&lt;titles&gt;&lt;title&gt;The Idea of Critical Theory: Habermas and the Frankfurt School&lt;/title&gt;&lt;/titles&gt;&lt;dates&gt;&lt;year&gt;1981&lt;/year&gt;&lt;/dates&gt;&lt;pub-location&gt;Cambridge&lt;/pub-location&gt;&lt;publisher&gt;Cambridge University Press&lt;/publisher&gt;&lt;urls&gt;&lt;/urls&gt;&lt;/record&gt;&lt;/Cite&gt;&lt;/EndNote&gt;</w:instrText>
      </w:r>
      <w:r w:rsidRPr="005D3F76">
        <w:rPr>
          <w:rFonts w:cs="Times New Roman"/>
          <w:szCs w:val="24"/>
        </w:rPr>
        <w:fldChar w:fldCharType="separate"/>
      </w:r>
      <w:r w:rsidRPr="005D3F76">
        <w:rPr>
          <w:rFonts w:cs="Times New Roman"/>
          <w:noProof/>
          <w:szCs w:val="24"/>
        </w:rPr>
        <w:t>(Geuss, 1981; P. Slater, 1977)</w:t>
      </w:r>
      <w:r w:rsidRPr="005D3F76">
        <w:rPr>
          <w:rFonts w:cs="Times New Roman"/>
          <w:szCs w:val="24"/>
        </w:rPr>
        <w:fldChar w:fldCharType="end"/>
      </w:r>
      <w:r w:rsidRPr="005D3F76">
        <w:rPr>
          <w:rFonts w:cs="Times New Roman"/>
          <w:szCs w:val="24"/>
        </w:rPr>
        <w:t xml:space="preserve">. </w:t>
      </w:r>
    </w:p>
    <w:p w14:paraId="2A485F77" w14:textId="6F552BCF" w:rsidR="00B03557" w:rsidRPr="005D3F76" w:rsidRDefault="00B03557" w:rsidP="00C56DF5">
      <w:pPr>
        <w:ind w:firstLine="720"/>
        <w:rPr>
          <w:rFonts w:cs="Times New Roman"/>
          <w:szCs w:val="24"/>
        </w:rPr>
      </w:pPr>
      <w:r w:rsidRPr="005D3F76">
        <w:rPr>
          <w:rFonts w:cs="Times New Roman"/>
          <w:szCs w:val="24"/>
        </w:rPr>
        <w:t>A different theoretical line that is decidedly more neo-Marxist</w:t>
      </w:r>
      <w:r w:rsidRPr="005D3F76">
        <w:rPr>
          <w:rStyle w:val="EndnoteReference"/>
          <w:rFonts w:cs="Times New Roman"/>
          <w:szCs w:val="24"/>
        </w:rPr>
        <w:endnoteReference w:id="11"/>
      </w:r>
      <w:r w:rsidRPr="005D3F76">
        <w:rPr>
          <w:rFonts w:cs="Times New Roman"/>
          <w:szCs w:val="24"/>
        </w:rPr>
        <w:t xml:space="preserve"> in its foundation is that coming from France and the United Kingdom and includes work from Stuart Hall and other members of the Centre for Contemporary Cultural Studies </w:t>
      </w:r>
      <w:r w:rsidRPr="005D3F76">
        <w:rPr>
          <w:rFonts w:cs="Times New Roman"/>
          <w:szCs w:val="24"/>
        </w:rPr>
        <w:fldChar w:fldCharType="begin"/>
      </w:r>
      <w:r w:rsidRPr="005D3F76">
        <w:rPr>
          <w:rFonts w:cs="Times New Roman"/>
          <w:szCs w:val="24"/>
        </w:rPr>
        <w:instrText xml:space="preserve"> ADDIN EN.CITE &lt;EndNote&gt;&lt;Cite&gt;&lt;Author&gt;Hall&lt;/Author&gt;&lt;Year&gt;1981&lt;/Year&gt;&lt;RecNum&gt;162&lt;/RecNum&gt;&lt;DisplayText&gt;(S. Hall, 1981; van Dijk, 1993)&lt;/DisplayText&gt;&lt;record&gt;&lt;rec-number&gt;162&lt;/rec-number&gt;&lt;foreign-keys&gt;&lt;key app="EN" db-id="etwareaz8xpxz3et59b50d9vxrata9z2w2zt" timestamp="1456766519"&gt;162&lt;/key&gt;&lt;/foreign-keys&gt;&lt;ref-type name="Book Section"&gt;5&lt;/ref-type&gt;&lt;contributors&gt;&lt;authors&gt;&lt;author&gt;Stuart Hall&lt;/author&gt;&lt;/authors&gt;&lt;secondary-authors&gt;&lt;author&gt;T. Bennett&lt;/author&gt;&lt;author&gt;G. Martin&lt;/author&gt;&lt;author&gt;C. Mercer&lt;/author&gt;&lt;author&gt;J. Woollacott&lt;/author&gt;&lt;/secondary-authors&gt;&lt;/contributors&gt;&lt;titles&gt;&lt;title&gt;Cultural Studies: Two Paradigms&lt;/title&gt;&lt;secondary-title&gt;Culture, Ideology and Social Process&lt;/secondary-title&gt;&lt;/titles&gt;&lt;pages&gt;19-37&lt;/pages&gt;&lt;dates&gt;&lt;year&gt;1981&lt;/year&gt;&lt;/dates&gt;&lt;pub-location&gt;London&lt;/pub-location&gt;&lt;publisher&gt;Batsford Academic and Educational&lt;/publisher&gt;&lt;urls&gt;&lt;/urls&gt;&lt;/record&gt;&lt;/Cite&gt;&lt;Cite&gt;&lt;Author&gt;Dijk&lt;/Author&gt;&lt;Year&gt;1993&lt;/Year&gt;&lt;RecNum&gt;154&lt;/RecNum&gt;&lt;record&gt;&lt;rec-number&gt;154&lt;/rec-number&gt;&lt;foreign-keys&gt;&lt;key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Society&lt;/full-title&gt;&lt;/periodical&gt;&lt;dates&gt;&lt;year&gt;1993&lt;/year&gt;&lt;/dates&gt;&lt;urls&gt;&lt;/urls&gt;&lt;/record&gt;&lt;/Cite&gt;&lt;/EndNote&gt;</w:instrText>
      </w:r>
      <w:r w:rsidRPr="005D3F76">
        <w:rPr>
          <w:rFonts w:cs="Times New Roman"/>
          <w:szCs w:val="24"/>
        </w:rPr>
        <w:fldChar w:fldCharType="separate"/>
      </w:r>
      <w:r w:rsidRPr="005D3F76">
        <w:rPr>
          <w:rFonts w:cs="Times New Roman"/>
          <w:noProof/>
          <w:szCs w:val="24"/>
        </w:rPr>
        <w:t>(S. Hall, 1981; van Dijk, 1993)</w:t>
      </w:r>
      <w:r w:rsidRPr="005D3F76">
        <w:rPr>
          <w:rFonts w:cs="Times New Roman"/>
          <w:szCs w:val="24"/>
        </w:rPr>
        <w:fldChar w:fldCharType="end"/>
      </w:r>
      <w:r w:rsidRPr="005D3F76">
        <w:rPr>
          <w:rFonts w:cs="Times New Roman"/>
          <w:szCs w:val="24"/>
        </w:rPr>
        <w:t xml:space="preserve">. Interestingly enough, cultural studies also has roots in generalized theoretical research </w:t>
      </w:r>
      <w:r w:rsidRPr="005D3F76">
        <w:rPr>
          <w:rFonts w:cs="Times New Roman"/>
          <w:szCs w:val="24"/>
        </w:rPr>
        <w:lastRenderedPageBreak/>
        <w:t>concerning the media which will be developed further in this chapter. However, this second line was influenced by scholars such as Antonio Gramsci and his work on hegemony</w:t>
      </w:r>
      <w:r w:rsidRPr="005D3F76">
        <w:rPr>
          <w:rStyle w:val="EndnoteReference"/>
          <w:rFonts w:cs="Times New Roman"/>
          <w:szCs w:val="24"/>
        </w:rPr>
        <w:endnoteReference w:id="12"/>
      </w:r>
      <w:r w:rsidRPr="005D3F76">
        <w:rPr>
          <w:rFonts w:cs="Times New Roman"/>
          <w:szCs w:val="24"/>
        </w:rPr>
        <w:t xml:space="preserve"> and domination. After the 1960’s, these varying lines of influence converged into efforts that have since surrounded CDA, which includes work from noted scholars of social justice such as Louis Althusser, Michel Foucault, and Michel </w:t>
      </w:r>
      <w:r w:rsidR="006F28A3" w:rsidRPr="005D3F76">
        <w:rPr>
          <w:rFonts w:cs="Times New Roman"/>
          <w:szCs w:val="24"/>
        </w:rPr>
        <w:t>Pecheux.</w:t>
      </w:r>
      <w:r w:rsidRPr="005D3F76">
        <w:rPr>
          <w:rFonts w:cs="Times New Roman"/>
          <w:szCs w:val="24"/>
        </w:rPr>
        <w:t xml:space="preserve"> </w:t>
      </w:r>
    </w:p>
    <w:p w14:paraId="35831B24" w14:textId="3FB315A0" w:rsidR="00B03557" w:rsidRPr="005D3F76" w:rsidRDefault="00B03557" w:rsidP="00C56DF5">
      <w:pPr>
        <w:ind w:firstLine="720"/>
        <w:rPr>
          <w:rFonts w:cs="Times New Roman"/>
          <w:szCs w:val="24"/>
        </w:rPr>
      </w:pPr>
      <w:r w:rsidRPr="005D3F76">
        <w:rPr>
          <w:rFonts w:cs="Times New Roman"/>
          <w:szCs w:val="24"/>
        </w:rPr>
        <w:t xml:space="preserve">It was in the 1990’s that CDA became the theoretical and methodological tool that it is today, and the one that I will be using within my research concerning the media. Through support from the University of Amsterdam, Teun van Dijk, Norman Fairclough, Gunther Kress, Theo van Leeuwen, and Ruth Wodak came together to help solidify the theories and methods now associated with CDA </w:t>
      </w:r>
      <w:r w:rsidRPr="005D3F76">
        <w:rPr>
          <w:rFonts w:cs="Times New Roman"/>
          <w:szCs w:val="24"/>
        </w:rPr>
        <w:fldChar w:fldCharType="begin"/>
      </w:r>
      <w:r w:rsidRPr="005D3F76">
        <w:rPr>
          <w:rFonts w:cs="Times New Roman"/>
          <w:szCs w:val="24"/>
        </w:rPr>
        <w:instrText xml:space="preserve"> ADDIN EN.CITE &lt;EndNote&gt;&lt;Cite&gt;&lt;Author&gt;Wodak&lt;/Author&gt;&lt;Year&gt;2009&lt;/Year&gt;&lt;RecNum&gt;159&lt;/RecNum&gt;&lt;DisplayText&gt;(Ruth Wodak &amp;amp; Michael Meyer, 2009)&lt;/DisplayText&gt;&lt;record&gt;&lt;rec-number&gt;159&lt;/rec-number&gt;&lt;foreign-keys&gt;&lt;key app="EN" db-id="etwareaz8xpxz3et59b50d9vxrata9z2w2zt" timestamp="1456765653"&gt;159&lt;/key&gt;&lt;/foreign-keys&gt;&lt;ref-type name="Book"&gt;6&lt;/ref-type&gt;&lt;contributors&gt;&lt;authors&gt;&lt;author&gt;Ruth Wodak&lt;/author&gt;&lt;author&gt;Michael Meyer&lt;/author&gt;&lt;/authors&gt;&lt;/contributors&gt;&lt;titles&gt;&lt;title&gt;Critical Discourse Analysis: History, Agenda, Theory, and Methodology&lt;/title&gt;&lt;/titles&gt;&lt;volume&gt;2&lt;/volume&gt;&lt;section&gt;1-33&lt;/section&gt;&lt;dates&gt;&lt;year&gt;2009&lt;/year&gt;&lt;/dates&gt;&lt;pub-location&gt;London&lt;/pub-location&gt;&lt;publisher&gt;Sage&lt;/publisher&gt;&lt;urls&gt;&lt;/urls&gt;&lt;/record&gt;&lt;/Cite&gt;&lt;/EndNote&gt;</w:instrText>
      </w:r>
      <w:r w:rsidRPr="005D3F76">
        <w:rPr>
          <w:rFonts w:cs="Times New Roman"/>
          <w:szCs w:val="24"/>
        </w:rPr>
        <w:fldChar w:fldCharType="separate"/>
      </w:r>
      <w:r w:rsidRPr="005D3F76">
        <w:rPr>
          <w:rFonts w:cs="Times New Roman"/>
          <w:noProof/>
          <w:szCs w:val="24"/>
        </w:rPr>
        <w:t>(Ruth Wodak &amp; Michael Meyer, 2009)</w:t>
      </w:r>
      <w:r w:rsidRPr="005D3F76">
        <w:rPr>
          <w:rFonts w:cs="Times New Roman"/>
          <w:szCs w:val="24"/>
        </w:rPr>
        <w:fldChar w:fldCharType="end"/>
      </w:r>
      <w:r w:rsidRPr="005D3F76">
        <w:rPr>
          <w:rFonts w:cs="Times New Roman"/>
          <w:szCs w:val="24"/>
        </w:rPr>
        <w:t xml:space="preserve">. In 1990, Van Dijk began the journal </w:t>
      </w:r>
      <w:r w:rsidRPr="005D3F76">
        <w:rPr>
          <w:rFonts w:cs="Times New Roman"/>
          <w:i/>
          <w:szCs w:val="24"/>
        </w:rPr>
        <w:t>Discourse and Society</w:t>
      </w:r>
      <w:r w:rsidRPr="005D3F76">
        <w:rPr>
          <w:rFonts w:cs="Times New Roman"/>
          <w:szCs w:val="24"/>
        </w:rPr>
        <w:t xml:space="preserve">, which has significantly helped to propel the further research endeavors of those who wish to use CDA in their own work. In the years since a theoretical and methodological framework has been set out that distinguishes CDA from other frameworks; however, newer approaches to the use of CDA are continually being introduced and used within scholarly research. In sum, CDA has been established as a reputable and reliable research method across many departments and disciplines for exploring social issues that are impacting the world around us, such as those of public school teacher unions </w:t>
      </w:r>
      <w:r w:rsidRPr="005D3F76">
        <w:rPr>
          <w:rFonts w:cs="Times New Roman"/>
          <w:szCs w:val="24"/>
        </w:rPr>
        <w:fldChar w:fldCharType="begin"/>
      </w:r>
      <w:r w:rsidRPr="005D3F76">
        <w:rPr>
          <w:rFonts w:cs="Times New Roman"/>
          <w:szCs w:val="24"/>
        </w:rPr>
        <w:instrText xml:space="preserve"> ADDIN EN.CITE &lt;EndNote&gt;&lt;Cite&gt;&lt;Author&gt;Wodak&lt;/Author&gt;&lt;Year&gt;2009&lt;/Year&gt;&lt;RecNum&gt;159&lt;/RecNum&gt;&lt;DisplayText&gt;(Ruth Wodak &amp;amp; Michael Meyer, 2009)&lt;/DisplayText&gt;&lt;record&gt;&lt;rec-number&gt;159&lt;/rec-number&gt;&lt;foreign-keys&gt;&lt;key app="EN" db-id="etwareaz8xpxz3et59b50d9vxrata9z2w2zt" timestamp="1456765653"&gt;159&lt;/key&gt;&lt;/foreign-keys&gt;&lt;ref-type name="Book"&gt;6&lt;/ref-type&gt;&lt;contributors&gt;&lt;authors&gt;&lt;author&gt;Ruth Wodak&lt;/author&gt;&lt;author&gt;Michael Meyer&lt;/author&gt;&lt;/authors&gt;&lt;/contributors&gt;&lt;titles&gt;&lt;title&gt;Critical Discourse Analysis: History, Agenda, Theory, and Methodology&lt;/title&gt;&lt;/titles&gt;&lt;volume&gt;2&lt;/volume&gt;&lt;section&gt;1-33&lt;/section&gt;&lt;dates&gt;&lt;year&gt;2009&lt;/year&gt;&lt;/dates&gt;&lt;pub-location&gt;London&lt;/pub-location&gt;&lt;publisher&gt;Sage&lt;/publisher&gt;&lt;urls&gt;&lt;/urls&gt;&lt;/record&gt;&lt;/Cite&gt;&lt;/EndNote&gt;</w:instrText>
      </w:r>
      <w:r w:rsidRPr="005D3F76">
        <w:rPr>
          <w:rFonts w:cs="Times New Roman"/>
          <w:szCs w:val="24"/>
        </w:rPr>
        <w:fldChar w:fldCharType="separate"/>
      </w:r>
      <w:r w:rsidRPr="005D3F76">
        <w:rPr>
          <w:rFonts w:cs="Times New Roman"/>
          <w:noProof/>
          <w:szCs w:val="24"/>
        </w:rPr>
        <w:t>(Ruth Wodak &amp; Michael Meyer, 2009)</w:t>
      </w:r>
      <w:r w:rsidRPr="005D3F76">
        <w:rPr>
          <w:rFonts w:cs="Times New Roman"/>
          <w:szCs w:val="24"/>
        </w:rPr>
        <w:fldChar w:fldCharType="end"/>
      </w:r>
      <w:r w:rsidRPr="005D3F76">
        <w:rPr>
          <w:rFonts w:cs="Times New Roman"/>
          <w:szCs w:val="24"/>
        </w:rPr>
        <w:t xml:space="preserve">.  </w:t>
      </w:r>
    </w:p>
    <w:p w14:paraId="01B515CA" w14:textId="77777777" w:rsidR="00B03557" w:rsidRPr="005D3F76" w:rsidRDefault="00B03557" w:rsidP="0012433F">
      <w:pPr>
        <w:pStyle w:val="Heading2"/>
        <w:rPr>
          <w:rFonts w:cs="Times New Roman"/>
        </w:rPr>
      </w:pPr>
      <w:bookmarkStart w:id="11" w:name="_Toc462843631"/>
      <w:r w:rsidRPr="005D3F76">
        <w:rPr>
          <w:rFonts w:cs="Times New Roman"/>
        </w:rPr>
        <w:t>The Undergirding of Critical Discourse Analysis (CDA)</w:t>
      </w:r>
      <w:bookmarkEnd w:id="11"/>
    </w:p>
    <w:p w14:paraId="1B119477" w14:textId="631F917D" w:rsidR="00B03557" w:rsidRPr="005D3F76" w:rsidRDefault="00B03557" w:rsidP="00C56DF5">
      <w:pPr>
        <w:ind w:firstLine="720"/>
        <w:rPr>
          <w:rFonts w:cs="Times New Roman"/>
          <w:szCs w:val="24"/>
        </w:rPr>
      </w:pPr>
      <w:r w:rsidRPr="005D3F76">
        <w:rPr>
          <w:rFonts w:cs="Times New Roman"/>
          <w:szCs w:val="24"/>
        </w:rPr>
        <w:t xml:space="preserve">Critical discourse analysis (CDA) is derived from two fields, discourse analysis (DA) and critical theory (CT) whereby exploration of written language or discourse is researched with an eye toward the critical aspects of the social. However, it is essential to note up front that CDA is not a “critical perspective in the study of language, discourse [or] communication,” rather the </w:t>
      </w:r>
      <w:r w:rsidRPr="005D3F76">
        <w:rPr>
          <w:rFonts w:cs="Times New Roman"/>
          <w:szCs w:val="24"/>
        </w:rPr>
        <w:lastRenderedPageBreak/>
        <w:t xml:space="preserve">importance is in the issues found within such discourse that matters </w:t>
      </w:r>
      <w:r w:rsidRPr="005D3F76">
        <w:rPr>
          <w:rFonts w:cs="Times New Roman"/>
          <w:szCs w:val="24"/>
        </w:rPr>
        <w:fldChar w:fldCharType="begin"/>
      </w:r>
      <w:r w:rsidRPr="005D3F76">
        <w:rPr>
          <w:rFonts w:cs="Times New Roman"/>
          <w:szCs w:val="24"/>
        </w:rPr>
        <w:instrText xml:space="preserve"> ADDIN EN.CITE &lt;EndNote&gt;&lt;Cite&gt;&lt;Author&gt;Dijk&lt;/Author&gt;&lt;Year&gt;1993&lt;/Year&gt;&lt;RecNum&gt;154&lt;/RecNum&gt;&lt;Pages&gt;253&lt;/Pages&gt;&lt;DisplayText&gt;(van Dijk, 1993, p. 253)&lt;/DisplayText&gt;&lt;record&gt;&lt;rec-number&gt;154&lt;/rec-number&gt;&lt;foreign-keys&gt;&lt;key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Society&lt;/full-title&gt;&lt;/periodical&gt;&lt;dates&gt;&lt;year&gt;1993&lt;/year&gt;&lt;/dates&gt;&lt;urls&gt;&lt;/urls&gt;&lt;/record&gt;&lt;/Cite&gt;&lt;/EndNote&gt;</w:instrText>
      </w:r>
      <w:r w:rsidRPr="005D3F76">
        <w:rPr>
          <w:rFonts w:cs="Times New Roman"/>
          <w:szCs w:val="24"/>
        </w:rPr>
        <w:fldChar w:fldCharType="separate"/>
      </w:r>
      <w:r w:rsidRPr="005D3F76">
        <w:rPr>
          <w:rFonts w:cs="Times New Roman"/>
          <w:noProof/>
          <w:szCs w:val="24"/>
        </w:rPr>
        <w:t>(van Dijk, 1993, p. 253)</w:t>
      </w:r>
      <w:r w:rsidRPr="005D3F76">
        <w:rPr>
          <w:rFonts w:cs="Times New Roman"/>
          <w:szCs w:val="24"/>
        </w:rPr>
        <w:fldChar w:fldCharType="end"/>
      </w:r>
      <w:r w:rsidRPr="005D3F76">
        <w:rPr>
          <w:rFonts w:cs="Times New Roman"/>
          <w:szCs w:val="24"/>
        </w:rPr>
        <w:t xml:space="preserve">. Essentially what CDA is interested in is “de-mystifying ideologies and power through the systematic and reproducible investigation of semiotic data (written, spoken or visual)” </w:t>
      </w:r>
      <w:r w:rsidRPr="005D3F76">
        <w:rPr>
          <w:rFonts w:cs="Times New Roman"/>
          <w:szCs w:val="24"/>
        </w:rPr>
        <w:fldChar w:fldCharType="begin"/>
      </w:r>
      <w:r w:rsidRPr="005D3F76">
        <w:rPr>
          <w:rFonts w:cs="Times New Roman"/>
          <w:szCs w:val="24"/>
        </w:rPr>
        <w:instrText xml:space="preserve"> ADDIN EN.CITE &lt;EndNote&gt;&lt;Cite&gt;&lt;Author&gt;Wodak&lt;/Author&gt;&lt;Year&gt;2009&lt;/Year&gt;&lt;RecNum&gt;159&lt;/RecNum&gt;&lt;Pages&gt;3&lt;/Pages&gt;&lt;DisplayText&gt;(Ruth Wodak &amp;amp; Michael Meyer, 2009, p. 3)&lt;/DisplayText&gt;&lt;record&gt;&lt;rec-number&gt;159&lt;/rec-number&gt;&lt;foreign-keys&gt;&lt;key app="EN" db-id="etwareaz8xpxz3et59b50d9vxrata9z2w2zt" timestamp="1456765653"&gt;159&lt;/key&gt;&lt;/foreign-keys&gt;&lt;ref-type name="Book"&gt;6&lt;/ref-type&gt;&lt;contributors&gt;&lt;authors&gt;&lt;author&gt;Ruth Wodak&lt;/author&gt;&lt;author&gt;Michael Meyer&lt;/author&gt;&lt;/authors&gt;&lt;/contributors&gt;&lt;titles&gt;&lt;title&gt;Critical Discourse Analysis: History, Agenda, Theory, and Methodology&lt;/title&gt;&lt;/titles&gt;&lt;volume&gt;2&lt;/volume&gt;&lt;section&gt;1-33&lt;/section&gt;&lt;dates&gt;&lt;year&gt;2009&lt;/year&gt;&lt;/dates&gt;&lt;pub-location&gt;London&lt;/pub-location&gt;&lt;publisher&gt;Sage&lt;/publisher&gt;&lt;urls&gt;&lt;/urls&gt;&lt;/record&gt;&lt;/Cite&gt;&lt;/EndNote&gt;</w:instrText>
      </w:r>
      <w:r w:rsidRPr="005D3F76">
        <w:rPr>
          <w:rFonts w:cs="Times New Roman"/>
          <w:szCs w:val="24"/>
        </w:rPr>
        <w:fldChar w:fldCharType="separate"/>
      </w:r>
      <w:r w:rsidRPr="005D3F76">
        <w:rPr>
          <w:rFonts w:cs="Times New Roman"/>
          <w:noProof/>
          <w:szCs w:val="24"/>
        </w:rPr>
        <w:t>(Ruth Wodak &amp; Michael Meyer, 2009, p. 3)</w:t>
      </w:r>
      <w:r w:rsidRPr="005D3F76">
        <w:rPr>
          <w:rFonts w:cs="Times New Roman"/>
          <w:szCs w:val="24"/>
        </w:rPr>
        <w:fldChar w:fldCharType="end"/>
      </w:r>
      <w:r w:rsidRPr="005D3F76">
        <w:rPr>
          <w:rFonts w:cs="Times New Roman"/>
          <w:szCs w:val="24"/>
        </w:rPr>
        <w:t xml:space="preserve">. The terms ‘discourse’ and ‘critical’ then are all important aspects of the widely used, but often confusing aspect of using DA, especially since differing fields use it in various contexts, with varying definitions </w:t>
      </w:r>
      <w:r w:rsidRPr="005D3F76">
        <w:rPr>
          <w:rFonts w:cs="Times New Roman"/>
          <w:szCs w:val="24"/>
        </w:rPr>
        <w:fldChar w:fldCharType="begin"/>
      </w:r>
      <w:r w:rsidRPr="005D3F76">
        <w:rPr>
          <w:rFonts w:cs="Times New Roman"/>
          <w:szCs w:val="24"/>
        </w:rPr>
        <w:instrText xml:space="preserve"> ADDIN EN.CITE &lt;EndNote&gt;&lt;Cite&gt;&lt;Author&gt;Dijk&lt;/Author&gt;&lt;Year&gt;1985&lt;/Year&gt;&lt;RecNum&gt;157&lt;/RecNum&gt;&lt;DisplayText&gt;(Norman Fairclough, 1992; van Dijk, 1985)&lt;/DisplayText&gt;&lt;record&gt;&lt;rec-number&gt;157&lt;/rec-number&gt;&lt;foreign-keys&gt;&lt;key app="EN" db-id="etwareaz8xpxz3et59b50d9vxrata9z2w2zt" timestamp="1456694320"&gt;157&lt;/key&gt;&lt;/foreign-keys&gt;&lt;ref-type name="Edited Book"&gt;28&lt;/ref-type&gt;&lt;contributors&gt;&lt;authors&gt;&lt;author&gt;van Dijk, Teun&lt;/author&gt;&lt;/authors&gt;&lt;/contributors&gt;&lt;titles&gt;&lt;title&gt;Handbook of Discourse Analysis&lt;/title&gt;&lt;/titles&gt;&lt;volume&gt;4&lt;/volume&gt;&lt;dates&gt;&lt;year&gt;1985&lt;/year&gt;&lt;/dates&gt;&lt;pub-location&gt;Cleveland, OH&lt;/pub-location&gt;&lt;publisher&gt;Academic Press&lt;/publisher&gt;&lt;urls&gt;&lt;/urls&gt;&lt;/record&gt;&lt;/Cite&gt;&lt;Cite&gt;&lt;Author&gt;Fairclough&lt;/Author&gt;&lt;Year&gt;1992&lt;/Year&gt;&lt;RecNum&gt;7&lt;/RecNum&gt;&lt;record&gt;&lt;rec-number&gt;7&lt;/rec-number&gt;&lt;foreign-keys&gt;&lt;key app="EN" db-id="etwareaz8xpxz3et59b50d9vxrata9z2w2zt" timestamp="1444572256"&gt;7&lt;/key&gt;&lt;/foreign-keys&gt;&lt;ref-type name="Book"&gt;6&lt;/ref-type&gt;&lt;contributors&gt;&lt;authors&gt;&lt;author&gt;Norman Fairclough&lt;/author&gt;&lt;/authors&gt;&lt;/contributors&gt;&lt;titles&gt;&lt;title&gt;Discourse and Social Change&lt;/title&gt;&lt;/titles&gt;&lt;dates&gt;&lt;year&gt;1992&lt;/year&gt;&lt;/dates&gt;&lt;pub-location&gt;Cambridge, MA&lt;/pub-location&gt;&lt;publisher&gt;Polity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(Norman Fairclough, 1992; van Dijk, 1985)</w:t>
      </w:r>
      <w:r w:rsidRPr="005D3F76">
        <w:rPr>
          <w:rFonts w:cs="Times New Roman"/>
          <w:szCs w:val="24"/>
        </w:rPr>
        <w:fldChar w:fldCharType="end"/>
      </w:r>
      <w:r w:rsidRPr="005D3F76">
        <w:rPr>
          <w:rFonts w:cs="Times New Roman"/>
          <w:szCs w:val="24"/>
        </w:rPr>
        <w:t xml:space="preserve">. However, it is important to note that both DA and CDA are multidisciplinary research theories and methodologies, both originating from the same background of language and discourse research, just with varying characteristics. </w:t>
      </w:r>
    </w:p>
    <w:p w14:paraId="0C7967E9" w14:textId="77777777" w:rsidR="00B03557" w:rsidRPr="005D3F76" w:rsidRDefault="00B03557" w:rsidP="00C56DF5">
      <w:pPr>
        <w:ind w:firstLine="720"/>
        <w:rPr>
          <w:rFonts w:cs="Times New Roman"/>
          <w:szCs w:val="24"/>
        </w:rPr>
      </w:pPr>
      <w:r w:rsidRPr="005D3F76">
        <w:rPr>
          <w:rFonts w:cs="Times New Roman"/>
          <w:szCs w:val="24"/>
        </w:rPr>
        <w:t xml:space="preserve">First, we can turn to the notion of ‘discourse’ within CDA. Fairclough </w:t>
      </w:r>
      <w:r w:rsidRPr="005D3F76">
        <w:rPr>
          <w:rFonts w:cs="Times New Roman"/>
          <w:szCs w:val="24"/>
        </w:rPr>
        <w:fldChar w:fldCharType="begin"/>
      </w:r>
      <w:r w:rsidRPr="005D3F76">
        <w:rPr>
          <w:rFonts w:cs="Times New Roman"/>
          <w:szCs w:val="24"/>
        </w:rPr>
        <w:instrText xml:space="preserve"> ADDIN EN.CITE &lt;EndNote&gt;&lt;Cite ExcludeAuth="1"&gt;&lt;Author&gt;Fairclough&lt;/Author&gt;&lt;Year&gt;1995&lt;/Year&gt;&lt;RecNum&gt;158&lt;/RecNum&gt;&lt;DisplayText&gt;(1995)&lt;/DisplayText&gt;&lt;record&gt;&lt;rec-number&gt;158&lt;/rec-number&gt;&lt;foreign-keys&gt;&lt;key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(1995)</w:t>
      </w:r>
      <w:r w:rsidRPr="005D3F76">
        <w:rPr>
          <w:rFonts w:cs="Times New Roman"/>
          <w:szCs w:val="24"/>
        </w:rPr>
        <w:fldChar w:fldCharType="end"/>
      </w:r>
      <w:r w:rsidRPr="005D3F76">
        <w:rPr>
          <w:rFonts w:cs="Times New Roman"/>
          <w:szCs w:val="24"/>
        </w:rPr>
        <w:t xml:space="preserve"> has distinguished two main senses of discourse related to analysis of written information that can transpose varying disciplines un-problematically. The first is in language studies: essentially discourse acts as “social action and interaction, [and] people acting together in real social situations” </w:t>
      </w:r>
      <w:r w:rsidRPr="005D3F76">
        <w:rPr>
          <w:rFonts w:cs="Times New Roman"/>
          <w:szCs w:val="24"/>
        </w:rPr>
        <w:fldChar w:fldCharType="begin"/>
      </w:r>
      <w:r w:rsidRPr="005D3F76">
        <w:rPr>
          <w:rFonts w:cs="Times New Roman"/>
          <w:szCs w:val="24"/>
        </w:rPr>
        <w:instrText xml:space="preserve"> ADDIN EN.CITE &lt;EndNote&gt;&lt;Cite ExcludeAuth="1" ExcludeYear="1"&gt;&lt;Author&gt;Fairclough&lt;/Author&gt;&lt;Year&gt;1995&lt;/Year&gt;&lt;RecNum&gt;158&lt;/RecNum&gt;&lt;Pages&gt;18&lt;/Pages&gt;&lt;DisplayText&gt;(p. 18)&lt;/DisplayText&gt;&lt;record&gt;&lt;rec-number&gt;158&lt;/rec-number&gt;&lt;foreign-keys&gt;&lt;key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(p. 18)</w:t>
      </w:r>
      <w:r w:rsidRPr="005D3F76">
        <w:rPr>
          <w:rFonts w:cs="Times New Roman"/>
          <w:szCs w:val="24"/>
        </w:rPr>
        <w:fldChar w:fldCharType="end"/>
      </w:r>
      <w:r w:rsidRPr="005D3F76">
        <w:rPr>
          <w:rFonts w:cs="Times New Roman"/>
          <w:szCs w:val="24"/>
        </w:rPr>
        <w:t>. And the second takes precedence predominantly in social theory through post-structuralist</w:t>
      </w:r>
      <w:r w:rsidRPr="005D3F76">
        <w:rPr>
          <w:rStyle w:val="EndnoteReference"/>
          <w:rFonts w:cs="Times New Roman"/>
          <w:szCs w:val="24"/>
        </w:rPr>
        <w:endnoteReference w:id="13"/>
      </w:r>
      <w:r w:rsidRPr="005D3F76">
        <w:rPr>
          <w:rFonts w:cs="Times New Roman"/>
          <w:szCs w:val="24"/>
        </w:rPr>
        <w:t xml:space="preserve"> models where “a discourse [is] a social construction of reality, [and] a form of knowledge” </w:t>
      </w:r>
      <w:r w:rsidRPr="005D3F76">
        <w:rPr>
          <w:rFonts w:cs="Times New Roman"/>
          <w:szCs w:val="24"/>
        </w:rPr>
        <w:fldChar w:fldCharType="begin"/>
      </w:r>
      <w:r w:rsidRPr="005D3F76">
        <w:rPr>
          <w:rFonts w:cs="Times New Roman"/>
          <w:szCs w:val="24"/>
        </w:rPr>
        <w:instrText xml:space="preserve"> ADDIN EN.CITE &lt;EndNote&gt;&lt;Cite ExcludeAuth="1" ExcludeYear="1"&gt;&lt;Author&gt;Fairclough&lt;/Author&gt;&lt;Year&gt;1995&lt;/Year&gt;&lt;RecNum&gt;158&lt;/RecNum&gt;&lt;Pages&gt;18&lt;/Pages&gt;&lt;DisplayText&gt;(p. 18)&lt;/DisplayText&gt;&lt;record&gt;&lt;rec-number&gt;158&lt;/rec-number&gt;&lt;foreign-keys&gt;&lt;key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(p. 18)</w:t>
      </w:r>
      <w:r w:rsidRPr="005D3F76">
        <w:rPr>
          <w:rFonts w:cs="Times New Roman"/>
          <w:szCs w:val="24"/>
        </w:rPr>
        <w:fldChar w:fldCharType="end"/>
      </w:r>
      <w:r w:rsidRPr="005D3F76">
        <w:rPr>
          <w:rFonts w:cs="Times New Roman"/>
          <w:szCs w:val="24"/>
        </w:rPr>
        <w:t xml:space="preserve">. Discourse in this sense and for all intents and purposes throughout the rest of this research will rely heavily on the assumption that within CDA, discourse subsumes both of these components. </w:t>
      </w:r>
    </w:p>
    <w:p w14:paraId="2894157C" w14:textId="77777777" w:rsidR="00B03557" w:rsidRPr="005D3F76" w:rsidRDefault="00B03557" w:rsidP="00C56DF5">
      <w:pPr>
        <w:ind w:firstLine="720"/>
        <w:rPr>
          <w:rFonts w:cs="Times New Roman"/>
          <w:szCs w:val="24"/>
        </w:rPr>
      </w:pPr>
      <w:r w:rsidRPr="005D3F76">
        <w:rPr>
          <w:rFonts w:cs="Times New Roman"/>
          <w:szCs w:val="24"/>
        </w:rPr>
        <w:t xml:space="preserve">The second part of CDA, the ‘critical’ has been central to further developing the theory and methodology surrounding CDA. David Machin and Andrea Mayr </w:t>
      </w:r>
      <w:r w:rsidRPr="005D3F76">
        <w:rPr>
          <w:rFonts w:cs="Times New Roman"/>
          <w:szCs w:val="24"/>
        </w:rPr>
        <w:fldChar w:fldCharType="begin"/>
      </w:r>
      <w:r w:rsidRPr="005D3F76">
        <w:rPr>
          <w:rFonts w:cs="Times New Roman"/>
          <w:szCs w:val="24"/>
        </w:rPr>
        <w:instrText xml:space="preserve"> ADDIN EN.CITE &lt;EndNote&gt;&lt;Cite ExcludeAuth="1"&gt;&lt;Author&gt;Machin&lt;/Author&gt;&lt;Year&gt;2012&lt;/Year&gt;&lt;RecNum&gt;170&lt;/RecNum&gt;&lt;DisplayText&gt;(2012)&lt;/DisplayText&gt;&lt;record&gt;&lt;rec-number&gt;170&lt;/rec-number&gt;&lt;foreign-keys&gt;&lt;key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(2012)</w:t>
      </w:r>
      <w:r w:rsidRPr="005D3F76">
        <w:rPr>
          <w:rFonts w:cs="Times New Roman"/>
          <w:szCs w:val="24"/>
        </w:rPr>
        <w:fldChar w:fldCharType="end"/>
      </w:r>
      <w:r w:rsidRPr="005D3F76">
        <w:rPr>
          <w:rFonts w:cs="Times New Roman"/>
          <w:szCs w:val="24"/>
        </w:rPr>
        <w:t xml:space="preserve"> state that “CDA points to a departure from the more descriptive goals of linguistics and discourse analysis, where the focus has been more on describing and detailing linguistic features than about why and how these features are produced and what possible ideological goals they might serve” (p. 5). CDA in </w:t>
      </w:r>
      <w:r w:rsidRPr="005D3F76">
        <w:rPr>
          <w:rFonts w:cs="Times New Roman"/>
          <w:szCs w:val="24"/>
        </w:rPr>
        <w:lastRenderedPageBreak/>
        <w:t xml:space="preserve">this sense analyzes text such as newspapers, books, political speeches and the like that appear to be neutral on the surface, but in fact contain ideological premises that seek to influence people and certain events for meticulous ends. Machin and Mayr (2012) go on to explain that the “term ‘critical’ therefore means ‘denaturalising’ the language to reveal the kinds of ideas, absences, and taken-for-granted assumption in texts” we come to see often times through lofty research (p.5). The idea of the ‘critical’ within CDA is that the action being researched is ongoing and reflective of an intellectual relationship to the world, essentially taking on a critical orientation. </w:t>
      </w:r>
    </w:p>
    <w:p w14:paraId="54090698" w14:textId="493B0895" w:rsidR="00B03557" w:rsidRPr="005D3F76" w:rsidRDefault="00B03557" w:rsidP="00C56DF5">
      <w:pPr>
        <w:ind w:firstLine="720"/>
        <w:rPr>
          <w:rFonts w:cs="Times New Roman"/>
          <w:szCs w:val="24"/>
        </w:rPr>
      </w:pPr>
      <w:r w:rsidRPr="005D3F76">
        <w:rPr>
          <w:rFonts w:cs="Times New Roman"/>
          <w:szCs w:val="24"/>
        </w:rPr>
        <w:t xml:space="preserve">Understanding how ‘discourse’ and ‘critical’ come together to contribute to CDA is important; however, there are other characteristics of CDA that are apart of these terms that are also important to recognize. Most notably, CDA deals with the discourse dimension of social justice issues that surface surrounding questions of power exploitation and the social inequalities that may arise from it  </w:t>
      </w:r>
      <w:r w:rsidRPr="005D3F76">
        <w:rPr>
          <w:rFonts w:cs="Times New Roman"/>
          <w:szCs w:val="24"/>
        </w:rPr>
        <w:fldChar w:fldCharType="begin"/>
      </w:r>
      <w:r w:rsidRPr="005D3F76">
        <w:rPr>
          <w:rFonts w:cs="Times New Roman"/>
          <w:szCs w:val="24"/>
        </w:rPr>
        <w:instrText xml:space="preserve"> ADDIN EN.CITE &lt;EndNote&gt;&lt;Cite&gt;&lt;Author&gt;Dijk&lt;/Author&gt;&lt;Year&gt;1993&lt;/Year&gt;&lt;RecNum&gt;154&lt;/RecNum&gt;&lt;DisplayText&gt;(van Dijk, 1993)&lt;/DisplayText&gt;&lt;record&gt;&lt;rec-number&gt;154&lt;/rec-number&gt;&lt;foreign-keys&gt;&lt;key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Society&lt;/full-title&gt;&lt;/periodical&gt;&lt;dates&gt;&lt;year&gt;1993&lt;/year&gt;&lt;/dates&gt;&lt;urls&gt;&lt;/urls&gt;&lt;/record&gt;&lt;/Cite&gt;&lt;/EndNote&gt;</w:instrText>
      </w:r>
      <w:r w:rsidRPr="005D3F76">
        <w:rPr>
          <w:rFonts w:cs="Times New Roman"/>
          <w:szCs w:val="24"/>
        </w:rPr>
        <w:fldChar w:fldCharType="separate"/>
      </w:r>
      <w:r w:rsidRPr="005D3F76">
        <w:rPr>
          <w:rFonts w:cs="Times New Roman"/>
          <w:noProof/>
          <w:szCs w:val="24"/>
        </w:rPr>
        <w:t>(van Dijk, 1993)</w:t>
      </w:r>
      <w:r w:rsidRPr="005D3F76">
        <w:rPr>
          <w:rFonts w:cs="Times New Roman"/>
          <w:szCs w:val="24"/>
        </w:rPr>
        <w:fldChar w:fldCharType="end"/>
      </w:r>
      <w:r w:rsidRPr="005D3F76">
        <w:rPr>
          <w:rFonts w:cs="Times New Roman"/>
          <w:szCs w:val="24"/>
        </w:rPr>
        <w:t xml:space="preserve">. This focus on injustice and inequality implies that although other approaches in DA may seemingly have the same characteristics, those who research using CDA are interested in researching topics that take on social justice issues, hence the critical component of CDA. The ‘critical’ part of CDA comes largely from the Frankfurt School and the scholars working with the ideas surrounding power, domination, and hegemony. </w:t>
      </w:r>
    </w:p>
    <w:p w14:paraId="794ED92B" w14:textId="7ACD9927" w:rsidR="00B03557" w:rsidRPr="005D3F76" w:rsidRDefault="00B03557" w:rsidP="00C56DF5">
      <w:pPr>
        <w:ind w:firstLine="720"/>
        <w:rPr>
          <w:rFonts w:cs="Times New Roman"/>
          <w:szCs w:val="24"/>
        </w:rPr>
      </w:pPr>
      <w:r w:rsidRPr="005D3F76">
        <w:rPr>
          <w:rFonts w:cs="Times New Roman"/>
          <w:szCs w:val="24"/>
        </w:rPr>
        <w:t xml:space="preserve">Once we recognize what is meant by social power and dominance, it is easier ‘to verbalize the influences that contribute to their reproduction’ </w:t>
      </w:r>
      <w:r w:rsidRPr="005D3F76">
        <w:rPr>
          <w:rFonts w:cs="Times New Roman"/>
          <w:szCs w:val="24"/>
        </w:rPr>
        <w:fldChar w:fldCharType="begin"/>
      </w:r>
      <w:r w:rsidRPr="005D3F76">
        <w:rPr>
          <w:rFonts w:cs="Times New Roman"/>
          <w:szCs w:val="24"/>
        </w:rPr>
        <w:instrText xml:space="preserve"> ADDIN EN.CITE &lt;EndNote&gt;&lt;Cite&gt;&lt;Author&gt;Dijk&lt;/Author&gt;&lt;Year&gt;1993&lt;/Year&gt;&lt;RecNum&gt;154&lt;/RecNum&gt;&lt;Pages&gt;254&lt;/Pages&gt;&lt;DisplayText&gt;(van Dijk, 1993, p. 254)&lt;/DisplayText&gt;&lt;record&gt;&lt;rec-number&gt;154&lt;/rec-number&gt;&lt;foreign-keys&gt;&lt;key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Society&lt;/full-title&gt;&lt;/periodical&gt;&lt;dates&gt;&lt;year&gt;1993&lt;/year&gt;&lt;/dates&gt;&lt;urls&gt;&lt;/urls&gt;&lt;/record&gt;&lt;/Cite&gt;&lt;/EndNote&gt;</w:instrText>
      </w:r>
      <w:r w:rsidRPr="005D3F76">
        <w:rPr>
          <w:rFonts w:cs="Times New Roman"/>
          <w:szCs w:val="24"/>
        </w:rPr>
        <w:fldChar w:fldCharType="separate"/>
      </w:r>
      <w:r w:rsidRPr="005D3F76">
        <w:rPr>
          <w:rFonts w:cs="Times New Roman"/>
          <w:noProof/>
          <w:szCs w:val="24"/>
        </w:rPr>
        <w:t>(van Dijk, 1993, p. 254)</w:t>
      </w:r>
      <w:r w:rsidRPr="005D3F76">
        <w:rPr>
          <w:rFonts w:cs="Times New Roman"/>
          <w:szCs w:val="24"/>
        </w:rPr>
        <w:fldChar w:fldCharType="end"/>
      </w:r>
      <w:r w:rsidRPr="005D3F76">
        <w:rPr>
          <w:rFonts w:cs="Times New Roman"/>
          <w:szCs w:val="24"/>
        </w:rPr>
        <w:t xml:space="preserve">. With the use of CDA, the analyst deals with relations between social groups. In this sense, the idea of elite discourse once again becomes important as the researcher begins to focus on social power, not on personal power. The idea of social power and the elite discourse that comes from it is based on favored access to valuable resources found within certain societal positions, such as those </w:t>
      </w:r>
      <w:r w:rsidRPr="005D3F76">
        <w:rPr>
          <w:rFonts w:cs="Times New Roman"/>
          <w:szCs w:val="24"/>
        </w:rPr>
        <w:lastRenderedPageBreak/>
        <w:t>found with the gaining of education, wealth, position, etc. Van Dijk (1995) writes best about this view of power within CDA:</w:t>
      </w:r>
    </w:p>
    <w:p w14:paraId="31E609F8" w14:textId="77777777" w:rsidR="00B03557" w:rsidRPr="005D3F76" w:rsidRDefault="00B03557" w:rsidP="00C56DF5">
      <w:pPr>
        <w:ind w:left="720"/>
        <w:rPr>
          <w:rFonts w:cs="Times New Roman"/>
          <w:szCs w:val="24"/>
        </w:rPr>
      </w:pPr>
      <w:r w:rsidRPr="005D3F76">
        <w:rPr>
          <w:rFonts w:cs="Times New Roman"/>
          <w:szCs w:val="24"/>
        </w:rPr>
        <w:t xml:space="preserve">Power involves control namely by (members of) one group over (those of) other groups. Such control may pertain to action and cognition: that is, a powerful group may limit the freedom of action of others, but also influence their minds. Besides the elementary recourse to force to directly control action (as in police violence against demonstrators, or male violence against women), ‘modern’ and often more effective power is mostly cognitive, and enacted by persuasion, dissimulation or manipulation, among other strategic ways to change the mind of others in one’s own interests. It is at this crucial point where discourse and critical discourse analysis come in: managing the mind of others is essentially a function of text and talk. Note, though that such mind management is not always bluntly manipulative. On the contrary, dominance may be enacted and reproduced by subtle, routine, everyday forms of text and talk that appear ‘natural’ and quite ‘acceptable.’ Hence, CDA also needs to focus on the discursive strategies that legitimate control, or otherwise ‘naturalize’ the social order, and especially in relation of inequality (p. 254). </w:t>
      </w:r>
    </w:p>
    <w:p w14:paraId="61192A23" w14:textId="43A9EB3E" w:rsidR="00B03557" w:rsidRPr="005D3F76" w:rsidRDefault="00B03557" w:rsidP="00C56DF5">
      <w:pPr>
        <w:rPr>
          <w:rFonts w:cs="Times New Roman"/>
          <w:szCs w:val="24"/>
        </w:rPr>
      </w:pPr>
      <w:r w:rsidRPr="005D3F76">
        <w:rPr>
          <w:rFonts w:cs="Times New Roman"/>
          <w:szCs w:val="24"/>
        </w:rPr>
        <w:t xml:space="preserve">Although not all power can be denounced as negative whether meaning social or personal power; however, CDA is interested in issues of abuse of such power, such that if there are disruptions in laws, rules concerning the principles of democracy, equality, or justice by those who brandish power, then CDA is interested in uncovering and researching such issues </w:t>
      </w:r>
      <w:r w:rsidRPr="005D3F76">
        <w:rPr>
          <w:rFonts w:cs="Times New Roman"/>
          <w:szCs w:val="24"/>
        </w:rPr>
        <w:fldChar w:fldCharType="begin"/>
      </w:r>
      <w:r w:rsidRPr="005D3F76">
        <w:rPr>
          <w:rFonts w:cs="Times New Roman"/>
          <w:szCs w:val="24"/>
        </w:rPr>
        <w:instrText xml:space="preserve"> ADDIN EN.CITE &lt;EndNote&gt;&lt;Cite&gt;&lt;Author&gt;Dijk&lt;/Author&gt;&lt;Year&gt;1993&lt;/Year&gt;&lt;RecNum&gt;154&lt;/RecNum&gt;&lt;DisplayText&gt;(Norman Fairclough, 1992; van Dijk, 1993)&lt;/DisplayText&gt;&lt;record&gt;&lt;rec-number&gt;154&lt;/rec-number&gt;&lt;foreign-keys&gt;&lt;key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Cite&gt;&lt;Author&gt;Fairclough&lt;/Author&gt;&lt;Year&gt;1992&lt;/Year&gt;&lt;RecNum&gt;7&lt;/RecNum&gt;&lt;record&gt;&lt;rec-number&gt;7&lt;/rec-number&gt;&lt;foreign-keys&gt;&lt;key app="EN" db-id="etwareaz8xpxz3et59b50d9vxrata9z2w2zt" timestamp="1444572256"&gt;7&lt;/key&gt;&lt;/foreign-keys&gt;&lt;ref-type name="Book"&gt;6&lt;/ref-type&gt;&lt;contributors&gt;&lt;authors&gt;&lt;author&gt;Norman Fairclough&lt;/author&gt;&lt;/authors&gt;&lt;/contributors&gt;&lt;titles&gt;&lt;title&gt;Discourse and Social Change&lt;/title&gt;&lt;/titles&gt;&lt;dates&gt;&lt;year&gt;1992&lt;/year&gt;&lt;/dates&gt;&lt;pub-location&gt;Cambridge, MA&lt;/pub-location&gt;&lt;publisher&gt;Polity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(Norman Fairclough, 1992; van Dijk, 1993)</w:t>
      </w:r>
      <w:r w:rsidRPr="005D3F76">
        <w:rPr>
          <w:rFonts w:cs="Times New Roman"/>
          <w:szCs w:val="24"/>
        </w:rPr>
        <w:fldChar w:fldCharType="end"/>
      </w:r>
      <w:r w:rsidRPr="005D3F76">
        <w:rPr>
          <w:rFonts w:cs="Times New Roman"/>
          <w:szCs w:val="24"/>
        </w:rPr>
        <w:t>. Further issues of hegemony will be discussed concerning the media in the section that follows as it pertains directly to the institution itself.</w:t>
      </w:r>
    </w:p>
    <w:p w14:paraId="1D725FA7" w14:textId="63357EC0" w:rsidR="00B03557" w:rsidRPr="005D3F76" w:rsidRDefault="00B03557" w:rsidP="00C56DF5">
      <w:pPr>
        <w:rPr>
          <w:rFonts w:cs="Times New Roman"/>
          <w:szCs w:val="24"/>
        </w:rPr>
      </w:pPr>
      <w:r w:rsidRPr="005D3F76">
        <w:rPr>
          <w:rFonts w:cs="Times New Roman"/>
          <w:szCs w:val="24"/>
        </w:rPr>
        <w:lastRenderedPageBreak/>
        <w:tab/>
        <w:t xml:space="preserve">As with power, issues pertaining to domination are also topics of interest to those who do CDA research and analysis. Domination, like issues of power, are never totalitarian in nature, but rather are seen as naturalized, unless they begin to become questioned or challenged, as in such cases as white over black, rich over poor, or in the case of this research, anti-union (possible neoliberal/corporatist/ultra-conservative models) over union. Further, if the minds of the dominated can be persuaded or manipulated in such a way that they more or less blindly accept the dominance being given to them, the term hegemony can be used to describe what is transpiring </w:t>
      </w:r>
      <w:r w:rsidRPr="005D3F76">
        <w:rPr>
          <w:rFonts w:cs="Times New Roman"/>
          <w:szCs w:val="24"/>
        </w:rPr>
        <w:fldChar w:fldCharType="begin"/>
      </w:r>
      <w:r w:rsidRPr="005D3F76">
        <w:rPr>
          <w:rFonts w:cs="Times New Roman"/>
          <w:szCs w:val="24"/>
        </w:rPr>
        <w:instrText xml:space="preserve"> ADDIN EN.CITE &lt;EndNote&gt;&lt;Cite&gt;&lt;Author&gt;Gramsci&lt;/Author&gt;&lt;Year&gt;1971&lt;/Year&gt;&lt;RecNum&gt;3&lt;/RecNum&gt;&lt;DisplayText&gt;(Gramsci, 1971)&lt;/DisplayText&gt;&lt;record&gt;&lt;rec-number&gt;3&lt;/rec-number&gt;&lt;foreign-keys&gt;&lt;key app="EN" db-id="etwareaz8xpxz3et59b50d9vxrata9z2w2zt" timestamp="1444522353"&gt;3&lt;/key&gt;&lt;/foreign-keys&gt;&lt;ref-type name="Book"&gt;6&lt;/ref-type&gt;&lt;contributors&gt;&lt;authors&gt;&lt;author&gt;Antonio Gramsci&lt;/author&gt;&lt;/authors&gt;&lt;/contributors&gt;&lt;titles&gt;&lt;title&gt;Selections from the Prison Notebooks&lt;/title&gt;&lt;/titles&gt;&lt;dates&gt;&lt;year&gt;1971&lt;/year&gt;&lt;/dates&gt;&lt;pub-location&gt;London&lt;/pub-location&gt;&lt;publisher&gt;Lawrence and Wishart&lt;/publisher&gt;&lt;urls&gt;&lt;/urls&gt;&lt;/record&gt;&lt;/Cite&gt;&lt;/EndNote&gt;</w:instrText>
      </w:r>
      <w:r w:rsidRPr="005D3F76">
        <w:rPr>
          <w:rFonts w:cs="Times New Roman"/>
          <w:szCs w:val="24"/>
        </w:rPr>
        <w:fldChar w:fldCharType="separate"/>
      </w:r>
      <w:r w:rsidRPr="005D3F76">
        <w:rPr>
          <w:rFonts w:cs="Times New Roman"/>
          <w:noProof/>
          <w:szCs w:val="24"/>
        </w:rPr>
        <w:t>(Gramsci, 1971)</w:t>
      </w:r>
      <w:r w:rsidRPr="005D3F76">
        <w:rPr>
          <w:rFonts w:cs="Times New Roman"/>
          <w:szCs w:val="24"/>
        </w:rPr>
        <w:fldChar w:fldCharType="end"/>
      </w:r>
      <w:r w:rsidRPr="005D3F76">
        <w:rPr>
          <w:rFonts w:cs="Times New Roman"/>
          <w:szCs w:val="24"/>
        </w:rPr>
        <w:t xml:space="preserve">. Dominant discourse then produces acceptance and legitimacy of dominance </w:t>
      </w:r>
      <w:r w:rsidRPr="005D3F76">
        <w:rPr>
          <w:rFonts w:cs="Times New Roman"/>
          <w:szCs w:val="24"/>
        </w:rPr>
        <w:fldChar w:fldCharType="begin"/>
      </w:r>
      <w:r w:rsidRPr="005D3F76">
        <w:rPr>
          <w:rFonts w:cs="Times New Roman"/>
          <w:szCs w:val="24"/>
        </w:rPr>
        <w:instrText xml:space="preserve"> ADDIN EN.CITE &lt;EndNote&gt;&lt;Cite&gt;&lt;Author&gt;Dijk&lt;/Author&gt;&lt;Year&gt;1993&lt;/Year&gt;&lt;RecNum&gt;154&lt;/RecNum&gt;&lt;DisplayText&gt;(E.S. Herman &amp;amp; N. Chomsky, 1988; van Dijk, 1993)&lt;/DisplayText&gt;&lt;record&gt;&lt;rec-number&gt;154&lt;/rec-number&gt;&lt;foreign-keys&gt;&lt;key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Cite&gt;&lt;Author&gt;Herman&lt;/Author&gt;&lt;Year&gt;1988&lt;/Year&gt;&lt;RecNum&gt;173&lt;/RecNum&gt;&lt;record&gt;&lt;rec-number&gt;173&lt;/rec-number&gt;&lt;foreign-keys&gt;&lt;key app="EN" db-id="etwareaz8xpxz3et59b50d9vxrata9z2w2zt" timestamp="1457292149"&gt;173&lt;/key&gt;&lt;/foreign-keys&gt;&lt;ref-type name="Book"&gt;6&lt;/ref-type&gt;&lt;contributors&gt;&lt;authors&gt;&lt;author&gt;E.S. Herman&lt;/author&gt;&lt;author&gt;N. Chomsky&lt;/author&gt;&lt;/authors&gt;&lt;/contributors&gt;&lt;titles&gt;&lt;title&gt;Manufacturing Consent: The Political Economy of the Mass Media&lt;/title&gt;&lt;/titles&gt;&lt;dates&gt;&lt;year&gt;1988&lt;/year&gt;&lt;/dates&gt;&lt;pub-location&gt;New York&lt;/pub-location&gt;&lt;publisher&gt;Pantheon Books&lt;/publisher&gt;&lt;urls&gt;&lt;/urls&gt;&lt;/record&gt;&lt;/Cite&gt;&lt;/EndNote&gt;</w:instrText>
      </w:r>
      <w:r w:rsidRPr="005D3F76">
        <w:rPr>
          <w:rFonts w:cs="Times New Roman"/>
          <w:szCs w:val="24"/>
        </w:rPr>
        <w:fldChar w:fldCharType="separate"/>
      </w:r>
      <w:r w:rsidRPr="005D3F76">
        <w:rPr>
          <w:rFonts w:cs="Times New Roman"/>
          <w:noProof/>
          <w:szCs w:val="24"/>
        </w:rPr>
        <w:t>(E.S. Herman &amp; N. Chomsky, 1988; van Dijk, 1993)</w:t>
      </w:r>
      <w:r w:rsidRPr="005D3F76">
        <w:rPr>
          <w:rFonts w:cs="Times New Roman"/>
          <w:szCs w:val="24"/>
        </w:rPr>
        <w:fldChar w:fldCharType="end"/>
      </w:r>
      <w:r w:rsidRPr="005D3F76">
        <w:rPr>
          <w:rFonts w:cs="Times New Roman"/>
          <w:szCs w:val="24"/>
        </w:rPr>
        <w:t xml:space="preserve">. </w:t>
      </w:r>
    </w:p>
    <w:p w14:paraId="47CC4277" w14:textId="77777777" w:rsidR="00B03557" w:rsidRPr="005D3F76" w:rsidRDefault="00B03557" w:rsidP="00C56DF5">
      <w:pPr>
        <w:rPr>
          <w:rFonts w:cs="Times New Roman"/>
          <w:szCs w:val="24"/>
        </w:rPr>
      </w:pPr>
      <w:r w:rsidRPr="005D3F76">
        <w:rPr>
          <w:rFonts w:cs="Times New Roman"/>
          <w:szCs w:val="24"/>
        </w:rPr>
        <w:tab/>
        <w:t xml:space="preserve">In concern with the ideas behind CDA and power, domination and hegemony, all of which are in regards to the ‘critical’ part concerning CDA, these ideas are not always so clear cut and easy to define and determine. According to Van Dijk (1995), </w:t>
      </w:r>
    </w:p>
    <w:p w14:paraId="021E9CEF" w14:textId="77777777" w:rsidR="00B03557" w:rsidRPr="005D3F76" w:rsidRDefault="00B03557" w:rsidP="00C56DF5">
      <w:pPr>
        <w:ind w:left="720"/>
        <w:rPr>
          <w:rFonts w:cs="Times New Roman"/>
          <w:szCs w:val="24"/>
        </w:rPr>
      </w:pPr>
      <w:r w:rsidRPr="005D3F76">
        <w:rPr>
          <w:rFonts w:cs="Times New Roman"/>
          <w:szCs w:val="24"/>
        </w:rPr>
        <w:t>The concept of hegemony, and its associated concepts of consensus, acceptance and the management of the mind, also suggest that a critical analysis of discourse and dominance is far from straightforward, and does not always imply a clear picture of villains and victims. Indeed, we have already suggested that many forms of dominance appear to be ‘jointly produced’ through intricate forms of social interaction, communication and discourse. [The hope is that] critical discourse analysis will be able to contribute to [the] understanding of such intricacies (p. 255).</w:t>
      </w:r>
    </w:p>
    <w:p w14:paraId="6B773E29" w14:textId="7AD0CC2E" w:rsidR="00B03557" w:rsidRPr="005D3F76" w:rsidRDefault="00B03557" w:rsidP="00C56DF5">
      <w:pPr>
        <w:rPr>
          <w:rFonts w:cs="Times New Roman"/>
          <w:szCs w:val="24"/>
        </w:rPr>
      </w:pPr>
      <w:r w:rsidRPr="005D3F76">
        <w:rPr>
          <w:rFonts w:cs="Times New Roman"/>
          <w:szCs w:val="24"/>
        </w:rPr>
        <w:t xml:space="preserve">As stated above, dominance and power are generally thought of as being organized and institutionalized </w:t>
      </w:r>
      <w:r w:rsidRPr="005D3F76">
        <w:rPr>
          <w:rFonts w:cs="Times New Roman"/>
          <w:szCs w:val="24"/>
        </w:rPr>
        <w:fldChar w:fldCharType="begin"/>
      </w:r>
      <w:r w:rsidRPr="005D3F76">
        <w:rPr>
          <w:rFonts w:cs="Times New Roman"/>
          <w:szCs w:val="24"/>
        </w:rPr>
        <w:instrText xml:space="preserve"> ADDIN EN.CITE &lt;EndNote&gt;&lt;Cite&gt;&lt;Author&gt;Sidanius&lt;/Author&gt;&lt;Year&gt;1999&lt;/Year&gt;&lt;RecNum&gt;174&lt;/RecNum&gt;&lt;DisplayText&gt;(Sidanius &amp;amp; Pratto, 1999)&lt;/DisplayText&gt;&lt;record&gt;&lt;rec-number&gt;174&lt;/rec-number&gt;&lt;foreign-keys&gt;&lt;key app="EN" db-id="etwareaz8xpxz3et59b50d9vxrata9z2w2zt" timestamp="1457293741"&gt;174&lt;/key&gt;&lt;/foreign-keys&gt;&lt;ref-type name="Book"&gt;6&lt;/ref-type&gt;&lt;contributors&gt;&lt;authors&gt;&lt;author&gt;Jim Sidanius&lt;/author&gt;&lt;author&gt;Felicia Pratto&lt;/author&gt;&lt;/authors&gt;&lt;/contributors&gt;&lt;titles&gt;&lt;title&gt;Social Dominance: An Intergroup Theory of Social Hierarchy and Oppression&lt;/title&gt;&lt;/titles&gt;&lt;dates&gt;&lt;year&gt;1999&lt;/year&gt;&lt;/dates&gt;&lt;pub-location&gt;Cambridge&lt;/pub-location&gt;&lt;publisher&gt;Cambridge University Press&lt;/publisher&gt;&lt;urls&gt;&lt;/urls&gt;&lt;/record&gt;&lt;/Cite&gt;&lt;/EndNote&gt;</w:instrText>
      </w:r>
      <w:r w:rsidRPr="005D3F76">
        <w:rPr>
          <w:rFonts w:cs="Times New Roman"/>
          <w:szCs w:val="24"/>
        </w:rPr>
        <w:fldChar w:fldCharType="separate"/>
      </w:r>
      <w:r w:rsidRPr="005D3F76">
        <w:rPr>
          <w:rFonts w:cs="Times New Roman"/>
          <w:noProof/>
          <w:szCs w:val="24"/>
        </w:rPr>
        <w:t>(Sidanius &amp; Pratto, 1999)</w:t>
      </w:r>
      <w:r w:rsidRPr="005D3F76">
        <w:rPr>
          <w:rFonts w:cs="Times New Roman"/>
          <w:szCs w:val="24"/>
        </w:rPr>
        <w:fldChar w:fldCharType="end"/>
      </w:r>
      <w:r w:rsidRPr="005D3F76">
        <w:rPr>
          <w:rFonts w:cs="Times New Roman"/>
          <w:szCs w:val="24"/>
        </w:rPr>
        <w:t xml:space="preserve">. According to CDA, social domination of groups are not just a manufactured existence by individual group members necessarily, although this can sometimes be the case, but rather, they are supported and/or condoned by many group members, </w:t>
      </w:r>
      <w:r w:rsidRPr="005D3F76">
        <w:rPr>
          <w:rFonts w:cs="Times New Roman"/>
          <w:szCs w:val="24"/>
        </w:rPr>
        <w:lastRenderedPageBreak/>
        <w:t xml:space="preserve">“sanctioned by the courts, legitimated by laws, enforced by the police, and ideologically sustained and reproduced by the media” in which they are often times a part of </w:t>
      </w:r>
      <w:r w:rsidRPr="005D3F76">
        <w:rPr>
          <w:rFonts w:cs="Times New Roman"/>
          <w:szCs w:val="24"/>
        </w:rPr>
        <w:fldChar w:fldCharType="begin"/>
      </w:r>
      <w:r w:rsidRPr="005D3F76">
        <w:rPr>
          <w:rFonts w:cs="Times New Roman"/>
          <w:szCs w:val="24"/>
        </w:rPr>
        <w:instrText xml:space="preserve"> ADDIN EN.CITE &lt;EndNote&gt;&lt;Cite&gt;&lt;Author&gt;Dijk&lt;/Author&gt;&lt;Year&gt;1993&lt;/Year&gt;&lt;RecNum&gt;154&lt;/RecNum&gt;&lt;DisplayText&gt;(van Dijk, 1993)&lt;/DisplayText&gt;&lt;record&gt;&lt;rec-number&gt;154&lt;/rec-number&gt;&lt;foreign-keys&gt;&lt;key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Society&lt;/full-title&gt;&lt;/periodical&gt;&lt;dates&gt;&lt;year&gt;1993&lt;/year&gt;&lt;/dates&gt;&lt;urls&gt;&lt;/urls&gt;&lt;/record&gt;&lt;/Cite&gt;&lt;/EndNote&gt;</w:instrText>
      </w:r>
      <w:r w:rsidRPr="005D3F76">
        <w:rPr>
          <w:rFonts w:cs="Times New Roman"/>
          <w:szCs w:val="24"/>
        </w:rPr>
        <w:fldChar w:fldCharType="separate"/>
      </w:r>
      <w:r w:rsidRPr="005D3F76">
        <w:rPr>
          <w:rFonts w:cs="Times New Roman"/>
          <w:noProof/>
          <w:szCs w:val="24"/>
        </w:rPr>
        <w:t>(van Dijk, 1993)</w:t>
      </w:r>
      <w:r w:rsidRPr="005D3F76">
        <w:rPr>
          <w:rFonts w:cs="Times New Roman"/>
          <w:szCs w:val="24"/>
        </w:rPr>
        <w:fldChar w:fldCharType="end"/>
      </w:r>
      <w:r w:rsidRPr="005D3F76">
        <w:rPr>
          <w:rFonts w:cs="Times New Roman"/>
          <w:szCs w:val="24"/>
        </w:rPr>
        <w:t xml:space="preserve">. It is through these means that certain individuals within these ‘elite’ groups have special access to the discourse that is disseminated unto the larger society—they are literally the ones who have the say in what becomes part of the ideology. This ‘symbolic power’ is what measures the extent of “their discursive and communicative scope and resources” (p. 255). </w:t>
      </w:r>
    </w:p>
    <w:p w14:paraId="589893B8" w14:textId="477ED927" w:rsidR="00B03557" w:rsidRPr="005D3F76" w:rsidRDefault="00B03557" w:rsidP="00C56DF5">
      <w:pPr>
        <w:rPr>
          <w:rFonts w:cs="Times New Roman"/>
          <w:szCs w:val="24"/>
        </w:rPr>
      </w:pPr>
      <w:r w:rsidRPr="005D3F76">
        <w:rPr>
          <w:rFonts w:cs="Times New Roman"/>
          <w:szCs w:val="24"/>
        </w:rPr>
        <w:tab/>
        <w:t xml:space="preserve">For scholars such as Norman Fairclough (1995), his emphasis is on how these power relations and issues of domination are exchanged in the discourse. It is assumed that relations of power are discursive, and therefore, are transmitted and practiced through discourse </w:t>
      </w:r>
      <w:r w:rsidRPr="005D3F76">
        <w:rPr>
          <w:rFonts w:cs="Times New Roman"/>
          <w:szCs w:val="24"/>
        </w:rPr>
        <w:fldChar w:fldCharType="begin"/>
      </w:r>
      <w:r w:rsidRPr="005D3F76">
        <w:rPr>
          <w:rFonts w:cs="Times New Roman"/>
          <w:szCs w:val="24"/>
        </w:rPr>
        <w:instrText xml:space="preserve"> ADDIN EN.CITE &lt;EndNote&gt;&lt;Cite&gt;&lt;Author&gt;Fairclough&lt;/Author&gt;&lt;Year&gt;1997&lt;/Year&gt;&lt;RecNum&gt;172&lt;/RecNum&gt;&lt;DisplayText&gt;(Norman Fairclough &amp;amp; Wodak, 1997)&lt;/DisplayText&gt;&lt;record&gt;&lt;rec-number&gt;172&lt;/rec-number&gt;&lt;foreign-keys&gt;&lt;key app="EN" db-id="etwareaz8xpxz3et59b50d9vxrata9z2w2zt" timestamp="1457291217"&gt;172&lt;/key&gt;&lt;/foreign-keys&gt;&lt;ref-type name="Book Section"&gt;5&lt;/ref-type&gt;&lt;contributors&gt;&lt;authors&gt;&lt;author&gt;Fairclough, Norman&lt;/author&gt;&lt;author&gt;Wodak, Ruth&lt;/author&gt;&lt;/authors&gt;&lt;secondary-authors&gt;&lt;author&gt;van Dijk, Teun&lt;/author&gt;&lt;/secondary-authors&gt;&lt;/contributors&gt;&lt;titles&gt;&lt;title&gt;Critical Discourse Analysis&lt;/title&gt;&lt;secondary-title&gt;Discourse as Social Interaction&lt;/secondary-title&gt;&lt;/titles&gt;&lt;pages&gt;258-285&lt;/pages&gt;&lt;dates&gt;&lt;year&gt;1997&lt;/year&gt;&lt;/dates&gt;&lt;pub-location&gt;London&lt;/pub-location&gt;&lt;publisher&gt;Sage&lt;/publisher&gt;&lt;urls&gt;&lt;/urls&gt;&lt;/record&gt;&lt;/Cite&gt;&lt;/EndNote&gt;</w:instrText>
      </w:r>
      <w:r w:rsidRPr="005D3F76">
        <w:rPr>
          <w:rFonts w:cs="Times New Roman"/>
          <w:szCs w:val="24"/>
        </w:rPr>
        <w:fldChar w:fldCharType="separate"/>
      </w:r>
      <w:r w:rsidRPr="005D3F76">
        <w:rPr>
          <w:rFonts w:cs="Times New Roman"/>
          <w:noProof/>
          <w:szCs w:val="24"/>
        </w:rPr>
        <w:t>(Norman Fairclough &amp; Wodak, 1997)</w:t>
      </w:r>
      <w:r w:rsidRPr="005D3F76">
        <w:rPr>
          <w:rFonts w:cs="Times New Roman"/>
          <w:szCs w:val="24"/>
        </w:rPr>
        <w:fldChar w:fldCharType="end"/>
      </w:r>
      <w:r w:rsidRPr="005D3F76">
        <w:rPr>
          <w:rFonts w:cs="Times New Roman"/>
          <w:szCs w:val="24"/>
        </w:rPr>
        <w:t xml:space="preserve">. CDA analysis in this sense can demonstrate how the forms of power relations involved in various social issues are maintained through various communication means, such as newspaper stories and television broadcasts, among other things such as, political speeches, advertising, etc. </w:t>
      </w:r>
      <w:r w:rsidRPr="005D3F76">
        <w:rPr>
          <w:rFonts w:cs="Times New Roman"/>
          <w:szCs w:val="24"/>
        </w:rPr>
        <w:fldChar w:fldCharType="begin"/>
      </w:r>
      <w:r w:rsidRPr="005D3F76">
        <w:rPr>
          <w:rFonts w:cs="Times New Roman"/>
          <w:szCs w:val="24"/>
        </w:rPr>
        <w:instrText xml:space="preserve"> ADDIN EN.CITE &lt;EndNote&gt;&lt;Cite&gt;&lt;Author&gt;Machin&lt;/Author&gt;&lt;Year&gt;2012&lt;/Year&gt;&lt;RecNum&gt;170&lt;/RecNum&gt;&lt;DisplayText&gt;(Machin &amp;amp; Mayr, 2012)&lt;/DisplayText&gt;&lt;record&gt;&lt;rec-number&gt;170&lt;/rec-number&gt;&lt;foreign-keys&gt;&lt;key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w:t>
      </w:r>
      <w:r w:rsidRPr="005D3F76">
        <w:rPr>
          <w:rFonts w:cs="Times New Roman"/>
          <w:szCs w:val="24"/>
        </w:rPr>
        <w:fldChar w:fldCharType="end"/>
      </w:r>
      <w:r w:rsidRPr="005D3F76">
        <w:rPr>
          <w:rFonts w:cs="Times New Roman"/>
          <w:szCs w:val="24"/>
        </w:rPr>
        <w:t xml:space="preserve">. Analysis on text and talk can demonstrate how entities such as newspapers seek to promote certain ideologies such as, ‘anti-unionism’ in order to distract society from the real forces that are underpinning greater inequality and poor life experiences for those that are most greatly affected by the removal of the unions within American society. I have used anti-unionism as the example here because this work deals with teacher unions, but this notion of distraction away from important social justice issues can be spread to many different facets in our society including racism, gender discrimination issues, etc. </w:t>
      </w:r>
    </w:p>
    <w:p w14:paraId="7067EF1B" w14:textId="77777777" w:rsidR="00B03557" w:rsidRPr="005D3F76" w:rsidRDefault="00B03557" w:rsidP="00C56DF5">
      <w:pPr>
        <w:rPr>
          <w:rFonts w:cs="Times New Roman"/>
          <w:szCs w:val="24"/>
        </w:rPr>
      </w:pPr>
      <w:r w:rsidRPr="005D3F76">
        <w:rPr>
          <w:rFonts w:cs="Times New Roman"/>
          <w:szCs w:val="24"/>
        </w:rPr>
        <w:tab/>
        <w:t xml:space="preserve">Critical discourse analysis then has to take an overt sociopolitical stance. According to Van Dijk (1995), CDA analysists have to “spell out their point of view, perspective, principles and aims, both within their discipline and within society at large” (p. 252). The work that a researcher using CDA does is ultimately political. The hope is that change may become possible. </w:t>
      </w:r>
      <w:r w:rsidRPr="005D3F76">
        <w:rPr>
          <w:rFonts w:cs="Times New Roman"/>
          <w:szCs w:val="24"/>
        </w:rPr>
        <w:lastRenderedPageBreak/>
        <w:t xml:space="preserve">The problems that CDA deal with are real and are more often than not serious societal problems, faced by real people. </w:t>
      </w:r>
    </w:p>
    <w:p w14:paraId="5E4CC2E9" w14:textId="77777777" w:rsidR="00B03557" w:rsidRPr="005D3F76" w:rsidRDefault="00B03557" w:rsidP="00C56DF5">
      <w:pPr>
        <w:rPr>
          <w:rFonts w:cs="Times New Roman"/>
          <w:szCs w:val="24"/>
        </w:rPr>
      </w:pPr>
      <w:r w:rsidRPr="005D3F76">
        <w:rPr>
          <w:rFonts w:cs="Times New Roman"/>
          <w:szCs w:val="24"/>
        </w:rPr>
        <w:tab/>
        <w:t>Although the basis for CDA’s theoretical and methodological foundational applications across a wide arrange of contexts and disciplines have many admiral points, as with most theoretical and methodological frameworks, CDA has its share of criticisms including the following:</w:t>
      </w:r>
      <w:r w:rsidRPr="005D3F76">
        <w:rPr>
          <w:rFonts w:cs="Times New Roman"/>
          <w:szCs w:val="24"/>
        </w:rPr>
        <w:tab/>
      </w:r>
    </w:p>
    <w:p w14:paraId="41DE5842" w14:textId="77777777" w:rsidR="00B03557" w:rsidRPr="005D3F76" w:rsidRDefault="00B03557" w:rsidP="00C56DF5">
      <w:pPr>
        <w:pStyle w:val="ListParagraph"/>
        <w:numPr>
          <w:ilvl w:val="0"/>
          <w:numId w:val="5"/>
        </w:numPr>
        <w:rPr>
          <w:rFonts w:cs="Times New Roman"/>
          <w:szCs w:val="24"/>
        </w:rPr>
      </w:pPr>
      <w:r w:rsidRPr="005D3F76">
        <w:rPr>
          <w:rFonts w:cs="Times New Roman"/>
          <w:szCs w:val="24"/>
        </w:rPr>
        <w:t>CDA is not the only critical approach and how ‘critical’ is it</w:t>
      </w:r>
    </w:p>
    <w:p w14:paraId="09ECC03C" w14:textId="77777777" w:rsidR="00B03557" w:rsidRPr="005D3F76" w:rsidRDefault="00B03557" w:rsidP="00C56DF5">
      <w:pPr>
        <w:pStyle w:val="ListParagraph"/>
        <w:numPr>
          <w:ilvl w:val="0"/>
          <w:numId w:val="5"/>
        </w:numPr>
        <w:rPr>
          <w:rFonts w:cs="Times New Roman"/>
          <w:szCs w:val="24"/>
        </w:rPr>
      </w:pPr>
      <w:r w:rsidRPr="005D3F76">
        <w:rPr>
          <w:rFonts w:cs="Times New Roman"/>
          <w:szCs w:val="24"/>
        </w:rPr>
        <w:t>CDA is an exercise in interpretation, not analysis</w:t>
      </w:r>
    </w:p>
    <w:p w14:paraId="5A97729F" w14:textId="77777777" w:rsidR="00B03557" w:rsidRPr="005D3F76" w:rsidRDefault="00B03557" w:rsidP="00C56DF5">
      <w:pPr>
        <w:pStyle w:val="ListParagraph"/>
        <w:numPr>
          <w:ilvl w:val="0"/>
          <w:numId w:val="5"/>
        </w:numPr>
        <w:rPr>
          <w:rFonts w:cs="Times New Roman"/>
          <w:szCs w:val="24"/>
        </w:rPr>
      </w:pPr>
      <w:r w:rsidRPr="005D3F76">
        <w:rPr>
          <w:rFonts w:cs="Times New Roman"/>
          <w:szCs w:val="24"/>
        </w:rPr>
        <w:t>CDA for the most part ignores real readers and listeners</w:t>
      </w:r>
    </w:p>
    <w:p w14:paraId="7F1519C5" w14:textId="77777777" w:rsidR="00B03557" w:rsidRPr="005D3F76" w:rsidRDefault="00B03557" w:rsidP="00C56DF5">
      <w:pPr>
        <w:pStyle w:val="ListParagraph"/>
        <w:numPr>
          <w:ilvl w:val="0"/>
          <w:numId w:val="5"/>
        </w:numPr>
        <w:rPr>
          <w:rFonts w:cs="Times New Roman"/>
          <w:szCs w:val="24"/>
        </w:rPr>
      </w:pPr>
      <w:r w:rsidRPr="005D3F76">
        <w:rPr>
          <w:rFonts w:cs="Times New Roman"/>
          <w:szCs w:val="24"/>
        </w:rPr>
        <w:t>CDA does not pay enough attention to text production</w:t>
      </w:r>
    </w:p>
    <w:p w14:paraId="678A9CDD" w14:textId="77777777" w:rsidR="00B03557" w:rsidRPr="005D3F76" w:rsidRDefault="00B03557" w:rsidP="00C56DF5">
      <w:pPr>
        <w:pStyle w:val="ListParagraph"/>
        <w:numPr>
          <w:ilvl w:val="0"/>
          <w:numId w:val="5"/>
        </w:numPr>
        <w:rPr>
          <w:rFonts w:cs="Times New Roman"/>
          <w:szCs w:val="24"/>
        </w:rPr>
      </w:pPr>
      <w:r w:rsidRPr="005D3F76">
        <w:rPr>
          <w:rFonts w:cs="Times New Roman"/>
          <w:szCs w:val="24"/>
        </w:rPr>
        <w:t>CDA is not cognitive enough</w:t>
      </w:r>
    </w:p>
    <w:p w14:paraId="4BB0C5B1" w14:textId="77777777" w:rsidR="00B03557" w:rsidRPr="005D3F76" w:rsidRDefault="00B03557" w:rsidP="00C56DF5">
      <w:pPr>
        <w:pStyle w:val="ListParagraph"/>
        <w:numPr>
          <w:ilvl w:val="0"/>
          <w:numId w:val="5"/>
        </w:numPr>
        <w:rPr>
          <w:rFonts w:cs="Times New Roman"/>
          <w:szCs w:val="24"/>
        </w:rPr>
      </w:pPr>
      <w:r w:rsidRPr="005D3F76">
        <w:rPr>
          <w:rFonts w:cs="Times New Roman"/>
          <w:szCs w:val="24"/>
        </w:rPr>
        <w:t>CDA is too easy, selective, partial and qualitative</w:t>
      </w:r>
    </w:p>
    <w:p w14:paraId="579CF75C" w14:textId="77777777" w:rsidR="00B03557" w:rsidRPr="005D3F76" w:rsidRDefault="00B03557" w:rsidP="00C56DF5">
      <w:pPr>
        <w:pStyle w:val="ListParagraph"/>
        <w:numPr>
          <w:ilvl w:val="0"/>
          <w:numId w:val="5"/>
        </w:numPr>
        <w:rPr>
          <w:rFonts w:cs="Times New Roman"/>
          <w:szCs w:val="24"/>
        </w:rPr>
      </w:pPr>
      <w:r w:rsidRPr="005D3F76">
        <w:rPr>
          <w:rFonts w:cs="Times New Roman"/>
          <w:szCs w:val="24"/>
        </w:rPr>
        <w:t>CDA is too ambitious in its quest for social change</w:t>
      </w:r>
    </w:p>
    <w:p w14:paraId="3BCA5904" w14:textId="77777777" w:rsidR="00B03557" w:rsidRPr="005D3F76" w:rsidRDefault="00B03557" w:rsidP="00C56DF5">
      <w:pPr>
        <w:pStyle w:val="ListParagraph"/>
        <w:numPr>
          <w:ilvl w:val="0"/>
          <w:numId w:val="5"/>
        </w:numPr>
        <w:rPr>
          <w:rFonts w:cs="Times New Roman"/>
          <w:szCs w:val="24"/>
        </w:rPr>
      </w:pPr>
      <w:r w:rsidRPr="005D3F76">
        <w:rPr>
          <w:rFonts w:cs="Times New Roman"/>
          <w:szCs w:val="24"/>
        </w:rPr>
        <w:t>CDA relies on a negative definition of power</w:t>
      </w:r>
    </w:p>
    <w:p w14:paraId="5CC5CB10" w14:textId="77777777" w:rsidR="00B03557" w:rsidRPr="005D3F76" w:rsidRDefault="00B03557" w:rsidP="00C56DF5">
      <w:pPr>
        <w:rPr>
          <w:rFonts w:cs="Times New Roman"/>
          <w:szCs w:val="24"/>
        </w:rPr>
      </w:pPr>
      <w:r w:rsidRPr="005D3F76">
        <w:rPr>
          <w:rFonts w:cs="Times New Roman"/>
          <w:szCs w:val="24"/>
        </w:rPr>
        <w:fldChar w:fldCharType="begin"/>
      </w:r>
      <w:r w:rsidRPr="005D3F76">
        <w:rPr>
          <w:rFonts w:cs="Times New Roman"/>
          <w:szCs w:val="24"/>
        </w:rPr>
        <w:instrText xml:space="preserve"> ADDIN EN.CITE &lt;EndNote&gt;&lt;Cite&gt;&lt;Author&gt;Machin&lt;/Author&gt;&lt;Year&gt;2012&lt;/Year&gt;&lt;RecNum&gt;170&lt;/RecNum&gt;&lt;Pages&gt;208&lt;/Pages&gt;&lt;DisplayText&gt;(Machin &amp;amp; Mayr, 2012, p. 208)&lt;/DisplayText&gt;&lt;record&gt;&lt;rec-number&gt;170&lt;/rec-number&gt;&lt;foreign-keys&gt;&lt;key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 p. 208)</w:t>
      </w:r>
      <w:r w:rsidRPr="005D3F76">
        <w:rPr>
          <w:rFonts w:cs="Times New Roman"/>
          <w:szCs w:val="24"/>
        </w:rPr>
        <w:fldChar w:fldCharType="end"/>
      </w:r>
      <w:r w:rsidRPr="005D3F76">
        <w:rPr>
          <w:rFonts w:cs="Times New Roman"/>
          <w:szCs w:val="24"/>
        </w:rPr>
        <w:t xml:space="preserve">. While all these criticisms are important in one aspect or another concerning the use of CDA research, I will address a few of the ones I feel are most important concerning the research that will follow in regards to teacher unions since this work’s intentions are not to fully critique CDA, but merely use it as a tool of analysis. </w:t>
      </w:r>
    </w:p>
    <w:p w14:paraId="2B0C1222" w14:textId="3F9C7398" w:rsidR="00B03557" w:rsidRPr="005D3F76" w:rsidRDefault="00B03557" w:rsidP="00C56DF5">
      <w:pPr>
        <w:rPr>
          <w:rFonts w:cs="Times New Roman"/>
          <w:szCs w:val="24"/>
        </w:rPr>
      </w:pPr>
      <w:r w:rsidRPr="005D3F76">
        <w:rPr>
          <w:rFonts w:cs="Times New Roman"/>
          <w:szCs w:val="24"/>
        </w:rPr>
        <w:tab/>
        <w:t xml:space="preserve">First, in regards to addressing the issues with CDA and the ideas surrounding ideas of ‘criticality,’ Michael Billig </w:t>
      </w:r>
      <w:r w:rsidRPr="005D3F76">
        <w:rPr>
          <w:rFonts w:cs="Times New Roman"/>
          <w:szCs w:val="24"/>
        </w:rPr>
        <w:fldChar w:fldCharType="begin"/>
      </w:r>
      <w:r w:rsidRPr="005D3F76">
        <w:rPr>
          <w:rFonts w:cs="Times New Roman"/>
          <w:szCs w:val="24"/>
        </w:rPr>
        <w:instrText xml:space="preserve"> ADDIN EN.CITE &lt;EndNote&gt;&lt;Cite ExcludeAuth="1"&gt;&lt;Author&gt;Billig&lt;/Author&gt;&lt;Year&gt;2002&lt;/Year&gt;&lt;RecNum&gt;183&lt;/RecNum&gt;&lt;DisplayText&gt;(2002)&lt;/DisplayText&gt;&lt;record&gt;&lt;rec-number&gt;183&lt;/rec-number&gt;&lt;foreign-keys&gt;&lt;key app="EN" db-id="etwareaz8xpxz3et59b50d9vxrata9z2w2zt" timestamp="1457461110"&gt;183&lt;/key&gt;&lt;/foreign-keys&gt;&lt;ref-type name="Book Section"&gt;5&lt;/ref-type&gt;&lt;contributors&gt;&lt;authors&gt;&lt;author&gt;M. Billig&lt;/author&gt;&lt;/authors&gt;&lt;secondary-authors&gt;&lt;author&gt;G. Weiss&lt;/author&gt;&lt;author&gt;R. Wodak&lt;/author&gt;&lt;/secondary-authors&gt;&lt;/contributors&gt;&lt;titles&gt;&lt;title&gt;Critical Discourse Analysis and the Rhetoric of Critique&lt;/title&gt;&lt;secondary-title&gt;Critical Discourse Analysis: Theory and Interdiscliplinarity&lt;/secondary-title&gt;&lt;/titles&gt;&lt;dates&gt;&lt;year&gt;2002&lt;/year&gt;&lt;/dates&gt;&lt;pub-location&gt;London&lt;/pub-location&gt;&lt;publisher&gt;Palgrave Macmillan&lt;/publisher&gt;&lt;urls&gt;&lt;/urls&gt;&lt;/record&gt;&lt;/Cite&gt;&lt;/EndNote&gt;</w:instrText>
      </w:r>
      <w:r w:rsidRPr="005D3F76">
        <w:rPr>
          <w:rFonts w:cs="Times New Roman"/>
          <w:szCs w:val="24"/>
        </w:rPr>
        <w:fldChar w:fldCharType="separate"/>
      </w:r>
      <w:r w:rsidRPr="005D3F76">
        <w:rPr>
          <w:rFonts w:cs="Times New Roman"/>
          <w:noProof/>
          <w:szCs w:val="24"/>
        </w:rPr>
        <w:t>(2002)</w:t>
      </w:r>
      <w:r w:rsidRPr="005D3F76">
        <w:rPr>
          <w:rFonts w:cs="Times New Roman"/>
          <w:szCs w:val="24"/>
        </w:rPr>
        <w:fldChar w:fldCharType="end"/>
      </w:r>
      <w:r w:rsidRPr="005D3F76">
        <w:rPr>
          <w:rFonts w:cs="Times New Roman"/>
          <w:szCs w:val="24"/>
        </w:rPr>
        <w:t xml:space="preserve"> “us[es] the argu[ment] that by using the term ‘critical,’ a dichotomy is set up whereby CDA is constructed as positive, whereas all other perspectives are thistly fashioned to be the contrary” (p. 37). Thereby, Billig argues that many “appraise CDA critically, we should therefore be aware that the use of the term ‘critical’ is itself significant as </w:t>
      </w:r>
      <w:r w:rsidRPr="005D3F76">
        <w:rPr>
          <w:rFonts w:cs="Times New Roman"/>
          <w:szCs w:val="24"/>
        </w:rPr>
        <w:lastRenderedPageBreak/>
        <w:t xml:space="preserve">what has been termed ‘a rhetoric of self-praise’” (p. 37). Because of the issues brought up by scholars such as Billig with the ‘critical’ part of CDA, </w:t>
      </w:r>
      <w:r w:rsidR="007F5582" w:rsidRPr="005D3F76">
        <w:rPr>
          <w:rFonts w:cs="Times New Roman"/>
          <w:szCs w:val="24"/>
        </w:rPr>
        <w:t xml:space="preserve">it is important to understand that CDA, if not used properly as a methodological tool, can take on a ‘better than other’ persona. Proponents of CDA will ask the question: “What then is the role of critical discourse analysis if it seems to become </w:t>
      </w:r>
      <w:r w:rsidR="00631054" w:rsidRPr="005D3F76">
        <w:rPr>
          <w:rFonts w:cs="Times New Roman"/>
          <w:szCs w:val="24"/>
        </w:rPr>
        <w:t>positivist in nature as it purports to help solve social justice issues?</w:t>
      </w:r>
      <w:r w:rsidRPr="005D3F76">
        <w:rPr>
          <w:rFonts w:cs="Times New Roman"/>
          <w:szCs w:val="24"/>
        </w:rPr>
        <w:t xml:space="preserve"> </w:t>
      </w:r>
    </w:p>
    <w:p w14:paraId="09207CB8" w14:textId="6D7E8874" w:rsidR="00B03557" w:rsidRPr="005D3F76" w:rsidRDefault="00B03557" w:rsidP="00C56DF5">
      <w:pPr>
        <w:ind w:firstLine="720"/>
        <w:rPr>
          <w:rFonts w:cs="Times New Roman"/>
          <w:szCs w:val="24"/>
        </w:rPr>
      </w:pPr>
      <w:r w:rsidRPr="005D3F76">
        <w:rPr>
          <w:rFonts w:cs="Times New Roman"/>
          <w:szCs w:val="24"/>
        </w:rPr>
        <w:t>Although these are valid points when contending with the critical aspects of CDA, they can be addressed by understanding that what is being researched using CDA is generally sociopolitical in nature, and by its very nature is chaotic and complicated, and needs to be examined critically by the researcher involved.  Understanding that the researcher must be up front with their own self-identity and inoculation into a certain social situation and culture at a particular place and time, can help the reader and researcher understand the dimensionality of the material being researched, and therefore, the ‘critical’ components of the material are by their very definition appropriately critical for that span of space and time. If used properly and responsibly, CDA can be both critical and thorough in the research being conducted. Just because CDA is said to be critical, does not necessarily condone that it is the only analysis method that by its nature is critical. However, among the DA types, it is one that has a ‘critical’ component.</w:t>
      </w:r>
    </w:p>
    <w:p w14:paraId="3E5D5491" w14:textId="77777777" w:rsidR="00B03557" w:rsidRPr="005D3F76" w:rsidRDefault="00B03557" w:rsidP="00C56DF5">
      <w:pPr>
        <w:rPr>
          <w:rFonts w:cs="Times New Roman"/>
          <w:szCs w:val="24"/>
        </w:rPr>
      </w:pPr>
      <w:r w:rsidRPr="005D3F76">
        <w:rPr>
          <w:rFonts w:cs="Times New Roman"/>
          <w:szCs w:val="24"/>
        </w:rPr>
        <w:tab/>
        <w:t xml:space="preserve">Further, along the lines of the ‘critical’ critique vein of CDA, many researchers question the genuine social effects of CDA research and whether or not the desire to see change is too ambitious </w:t>
      </w:r>
      <w:r w:rsidRPr="005D3F76">
        <w:rPr>
          <w:rFonts w:cs="Times New Roman"/>
          <w:szCs w:val="24"/>
        </w:rPr>
        <w:fldChar w:fldCharType="begin"/>
      </w:r>
      <w:r w:rsidRPr="005D3F76">
        <w:rPr>
          <w:rFonts w:cs="Times New Roman"/>
          <w:szCs w:val="24"/>
        </w:rPr>
        <w:instrText xml:space="preserve"> ADDIN EN.CITE &lt;EndNote&gt;&lt;Cite&gt;&lt;Author&gt;Waugh&lt;/Author&gt;&lt;Year&gt;2015&lt;/Year&gt;&lt;RecNum&gt;181&lt;/RecNum&gt;&lt;DisplayText&gt;(Chilton, 2005; Waugh, Catalano, Masaeed, Do, &amp;amp; Renigar, 2015)&lt;/DisplayText&gt;&lt;record&gt;&lt;rec-number&gt;181&lt;/rec-number&gt;&lt;foreign-keys&gt;&lt;key app="EN" db-id="etwareaz8xpxz3et59b50d9vxrata9z2w2zt" timestamp="1457459187"&gt;181&lt;/key&gt;&lt;/foreign-keys&gt;&lt;ref-type name="Book Section"&gt;5&lt;/ref-type&gt;&lt;contributors&gt;&lt;authors&gt;&lt;author&gt;Linda R Waugh&lt;/author&gt;&lt;author&gt;Theresa Catalano&lt;/author&gt;&lt;author&gt;Khaled Al Masaeed&lt;/author&gt;&lt;author&gt;Tome Hong Do&lt;/author&gt;&lt;author&gt;Paul G. Renigar&lt;/author&gt;&lt;/authors&gt;&lt;/contributors&gt;&lt;titles&gt;&lt;title&gt;Critical Discourse Analysis: Definition, Approaches, Relation to Pragmatics, Critique and Trends&lt;/title&gt;&lt;secondary-title&gt;Perspective in Pragmatics, Philosophy &amp;amp; Psychology&lt;/secondary-title&gt;&lt;/titles&gt;&lt;pages&gt;71-135&lt;/pages&gt;&lt;volume&gt;4th&lt;/volume&gt;&lt;num-vols&gt;5&lt;/num-vols&gt;&lt;section&gt;Interdisclipinary Studies in Pragmatics, Culture and Society&lt;/section&gt;&lt;dates&gt;&lt;year&gt;2015&lt;/year&gt;&lt;/dates&gt;&lt;pub-location&gt;New York&lt;/pub-location&gt;&lt;publisher&gt;Springer&lt;/publisher&gt;&lt;urls&gt;&lt;/urls&gt;&lt;/record&gt;&lt;/Cite&gt;&lt;Cite&gt;&lt;Author&gt;Chilton&lt;/Author&gt;&lt;Year&gt;2005&lt;/Year&gt;&lt;RecNum&gt;178&lt;/RecNum&gt;&lt;record&gt;&lt;rec-number&gt;178&lt;/rec-number&gt;&lt;foreign-keys&gt;&lt;key app="EN" db-id="etwareaz8xpxz3et59b50d9vxrata9z2w2zt" timestamp="1457458770"&gt;178&lt;/key&gt;&lt;/foreign-keys&gt;&lt;ref-type name="Book Section"&gt;5&lt;/ref-type&gt;&lt;contributors&gt;&lt;authors&gt;&lt;author&gt;P. Chilton&lt;/author&gt;&lt;/authors&gt;&lt;secondary-authors&gt;&lt;author&gt;R. Wodak and P. Chilton&lt;/author&gt;&lt;/secondary-authors&gt;&lt;/contributors&gt;&lt;titles&gt;&lt;title&gt;Missing Links in Mainstream CDA: Modules, Blends and the Critical Instinct&lt;/title&gt;&lt;secondary-title&gt;A New Agenda in (Critical) Discourse Analysis: Theory, Methodology and Interdisciplinary&lt;/secondary-title&gt;&lt;/titles&gt;&lt;pages&gt;19-51&lt;/pages&gt;&lt;dates&gt;&lt;year&gt;2005&lt;/year&gt;&lt;/dates&gt;&lt;pub-location&gt;Philadelphia&lt;/pub-location&gt;&lt;publisher&gt;John Benjamins&lt;/publisher&gt;&lt;urls&gt;&lt;/urls&gt;&lt;/record&gt;&lt;/Cite&gt;&lt;/EndNote&gt;</w:instrText>
      </w:r>
      <w:r w:rsidRPr="005D3F76">
        <w:rPr>
          <w:rFonts w:cs="Times New Roman"/>
          <w:szCs w:val="24"/>
        </w:rPr>
        <w:fldChar w:fldCharType="separate"/>
      </w:r>
      <w:r w:rsidRPr="005D3F76">
        <w:rPr>
          <w:rFonts w:cs="Times New Roman"/>
          <w:noProof/>
          <w:szCs w:val="24"/>
        </w:rPr>
        <w:t>(Chilton, 2005; Waugh, Catalano, Masaeed, Do, &amp; Renigar, 2015)</w:t>
      </w:r>
      <w:r w:rsidRPr="005D3F76">
        <w:rPr>
          <w:rFonts w:cs="Times New Roman"/>
          <w:szCs w:val="24"/>
        </w:rPr>
        <w:fldChar w:fldCharType="end"/>
      </w:r>
      <w:r w:rsidRPr="005D3F76">
        <w:rPr>
          <w:rFonts w:cs="Times New Roman"/>
          <w:szCs w:val="24"/>
        </w:rPr>
        <w:t xml:space="preserve">. Authors such as Paul Chilton (2005) and Henry Widdowson </w:t>
      </w:r>
      <w:r w:rsidRPr="005D3F76">
        <w:rPr>
          <w:rFonts w:cs="Times New Roman"/>
          <w:szCs w:val="24"/>
        </w:rPr>
        <w:fldChar w:fldCharType="begin"/>
      </w:r>
      <w:r w:rsidRPr="005D3F76">
        <w:rPr>
          <w:rFonts w:cs="Times New Roman"/>
          <w:szCs w:val="24"/>
        </w:rPr>
        <w:instrText xml:space="preserve"> ADDIN EN.CITE &lt;EndNote&gt;&lt;Cite ExcludeAuth="1"&gt;&lt;Author&gt;Widdowson&lt;/Author&gt;&lt;Year&gt;1998&lt;/Year&gt;&lt;RecNum&gt;180&lt;/RecNum&gt;&lt;DisplayText&gt;(1998)&lt;/DisplayText&gt;&lt;record&gt;&lt;rec-number&gt;180&lt;/rec-number&gt;&lt;foreign-keys&gt;&lt;key app="EN" db-id="etwareaz8xpxz3et59b50d9vxrata9z2w2zt" timestamp="1457458925"&gt;180&lt;/key&gt;&lt;/foreign-keys&gt;&lt;ref-type name="Journal Article"&gt;17&lt;/ref-type&gt;&lt;contributors&gt;&lt;authors&gt;&lt;author&gt;H. Widdowson&lt;/author&gt;&lt;/authors&gt;&lt;/contributors&gt;&lt;titles&gt;&lt;title&gt;The Theory and Practice of Critical Discourse Analysis&lt;/title&gt;&lt;secondary-title&gt;Applied Lingustics&lt;/secondary-title&gt;&lt;/titles&gt;&lt;periodical&gt;&lt;full-title&gt;Applied Lingustics&lt;/full-title&gt;&lt;/periodical&gt;&lt;pages&gt;136-151&lt;/pages&gt;&lt;volume&gt;19&lt;/volume&gt;&lt;number&gt;1&lt;/number&gt;&lt;dates&gt;&lt;year&gt;1998&lt;/year&gt;&lt;/dates&gt;&lt;urls&gt;&lt;/urls&gt;&lt;/record&gt;&lt;/Cite&gt;&lt;/EndNote&gt;</w:instrText>
      </w:r>
      <w:r w:rsidRPr="005D3F76">
        <w:rPr>
          <w:rFonts w:cs="Times New Roman"/>
          <w:szCs w:val="24"/>
        </w:rPr>
        <w:fldChar w:fldCharType="separate"/>
      </w:r>
      <w:r w:rsidRPr="005D3F76">
        <w:rPr>
          <w:rFonts w:cs="Times New Roman"/>
          <w:noProof/>
          <w:szCs w:val="24"/>
        </w:rPr>
        <w:t>(1998)</w:t>
      </w:r>
      <w:r w:rsidRPr="005D3F76">
        <w:rPr>
          <w:rFonts w:cs="Times New Roman"/>
          <w:szCs w:val="24"/>
        </w:rPr>
        <w:fldChar w:fldCharType="end"/>
      </w:r>
      <w:r w:rsidRPr="005D3F76">
        <w:rPr>
          <w:rFonts w:cs="Times New Roman"/>
          <w:szCs w:val="24"/>
        </w:rPr>
        <w:t xml:space="preserve"> are reluctant to believe that CDA offers any broader genuine emancipatory choices, while Van Dijk (2009) claims that CDA results often times in a ‘blame-game’ concerning oppressors and the oppressed, which in the end leads to no </w:t>
      </w:r>
      <w:r w:rsidRPr="005D3F76">
        <w:rPr>
          <w:rFonts w:cs="Times New Roman"/>
          <w:szCs w:val="24"/>
        </w:rPr>
        <w:lastRenderedPageBreak/>
        <w:t xml:space="preserve">real solutions or resistance for those being oppressed. In regard to this particular critique of CDA, I find that the scholar’s job when doing research with any type of social justice issues is to firstly make sure that they are doing the best job possible to report truly what they are finding within the research they are performing. Their second job is to always give some advice or foresight into what can or should be done to make the situation in which they researched better, or at the very least, what could be done in the future concerning the issues that were found. Many researchers that do this type of work often go on to take their findings and begin social movements within both academic avenues and general society </w:t>
      </w:r>
      <w:r w:rsidRPr="005D3F76">
        <w:rPr>
          <w:rFonts w:cs="Times New Roman"/>
          <w:szCs w:val="24"/>
        </w:rPr>
        <w:fldChar w:fldCharType="begin"/>
      </w:r>
      <w:r w:rsidRPr="005D3F76">
        <w:rPr>
          <w:rFonts w:cs="Times New Roman"/>
          <w:szCs w:val="24"/>
        </w:rPr>
        <w:instrText xml:space="preserve"> ADDIN EN.CITE &lt;EndNote&gt;&lt;Cite ExcludeAuth="1" ExcludeYear="1"&gt;&lt;Author&gt;Dijk&lt;/Author&gt;&lt;Year&gt;2009&lt;/Year&gt;&lt;RecNum&gt;182&lt;/RecNum&gt;&lt;DisplayText&gt;(Machin &amp;amp; Mayr, 2012)&lt;/DisplayText&gt;&lt;record&gt;&lt;rec-number&gt;182&lt;/rec-number&gt;&lt;foreign-keys&gt;&lt;key app="EN" db-id="etwareaz8xpxz3et59b50d9vxrata9z2w2zt" timestamp="1457460385"&gt;182&lt;/key&gt;&lt;/foreign-keys&gt;&lt;ref-type name="Book"&gt;6&lt;/ref-type&gt;&lt;contributors&gt;&lt;authors&gt;&lt;author&gt;van Dijk, Teun&lt;/author&gt;&lt;/authors&gt;&lt;/contributors&gt;&lt;titles&gt;&lt;title&gt;Society and Discourse: How Social Contexts Influence Talk and Text&lt;/title&gt;&lt;/titles&gt;&lt;dates&gt;&lt;year&gt;2009&lt;/year&gt;&lt;/dates&gt;&lt;pub-location&gt;Leiden&lt;/pub-location&gt;&lt;publisher&gt;Cambridge University Press&lt;/publisher&gt;&lt;urls&gt;&lt;/urls&gt;&lt;/record&gt;&lt;/Cite&gt;&lt;Cite&gt;&lt;Author&gt;Machin&lt;/Author&gt;&lt;Year&gt;2012&lt;/Year&gt;&lt;RecNum&gt;170&lt;/RecNum&gt;&lt;record&gt;&lt;rec-number&gt;170&lt;/rec-number&gt;&lt;foreign-keys&gt;&lt;key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w:t>
      </w:r>
      <w:r w:rsidRPr="005D3F76">
        <w:rPr>
          <w:rFonts w:cs="Times New Roman"/>
          <w:szCs w:val="24"/>
        </w:rPr>
        <w:fldChar w:fldCharType="end"/>
      </w:r>
      <w:r w:rsidRPr="005D3F76">
        <w:rPr>
          <w:rFonts w:cs="Times New Roman"/>
          <w:szCs w:val="24"/>
        </w:rPr>
        <w:t xml:space="preserve">. </w:t>
      </w:r>
    </w:p>
    <w:p w14:paraId="1D822195" w14:textId="07462C44" w:rsidR="00B03557" w:rsidRPr="005D3F76" w:rsidRDefault="00B03557" w:rsidP="00C56DF5">
      <w:pPr>
        <w:ind w:firstLine="720"/>
        <w:rPr>
          <w:rFonts w:cs="Times New Roman"/>
          <w:szCs w:val="24"/>
        </w:rPr>
      </w:pPr>
      <w:r w:rsidRPr="005D3F76">
        <w:rPr>
          <w:rFonts w:cs="Times New Roman"/>
          <w:szCs w:val="24"/>
        </w:rPr>
        <w:t xml:space="preserve">It can be troublesome to some scholars that the work that they are doing is not meaningful and has no implications unto the larger society. For myself as researcher, this is one of the more important critiques that I am looking at within my own research on teacher unions. I do not consider that it will benefit anyone if my research on the seemingly detrimental effects of the media on public sector unions/teacher unions were to end with this particular research, especially if the results of this research were to significantly show a bias that is unwarranted by the media I examine. What would be the worth of this work? What would be the reason to write it in the first place? However, whether a researcher actively takes the material out to the larger society, does not automatically exempt its usefulness or purpose for the greater good. Further, my credence is that overtly and utterly ambitious scholarship is much more important than to have no ambition at all. CDA allows the researcher to have hope to bring to light and make change for the better in concern for issues that may be neglected, go unnoticed, or become naturalized within our societies. </w:t>
      </w:r>
    </w:p>
    <w:p w14:paraId="244F21FB" w14:textId="77777777" w:rsidR="00B03557" w:rsidRPr="005D3F76" w:rsidRDefault="00B03557" w:rsidP="00C56DF5">
      <w:pPr>
        <w:rPr>
          <w:rFonts w:cs="Times New Roman"/>
          <w:szCs w:val="24"/>
        </w:rPr>
      </w:pPr>
      <w:r w:rsidRPr="005D3F76">
        <w:rPr>
          <w:rFonts w:cs="Times New Roman"/>
          <w:szCs w:val="24"/>
        </w:rPr>
        <w:tab/>
        <w:t xml:space="preserve">Another critique that should be addressed within this work pertains to the simplicity of work that the scholar is researching </w:t>
      </w:r>
      <w:r w:rsidRPr="005D3F76">
        <w:rPr>
          <w:rFonts w:cs="Times New Roman"/>
          <w:szCs w:val="24"/>
        </w:rPr>
        <w:fldChar w:fldCharType="begin"/>
      </w:r>
      <w:r w:rsidRPr="005D3F76">
        <w:rPr>
          <w:rFonts w:cs="Times New Roman"/>
          <w:szCs w:val="24"/>
        </w:rPr>
        <w:instrText xml:space="preserve"> ADDIN EN.CITE &lt;EndNote&gt;&lt;Cite&gt;&lt;Author&gt;Machin&lt;/Author&gt;&lt;Year&gt;2012&lt;/Year&gt;&lt;RecNum&gt;170&lt;/RecNum&gt;&lt;DisplayText&gt;(Machin &amp;amp; Mayr, 2012)&lt;/DisplayText&gt;&lt;record&gt;&lt;rec-number&gt;170&lt;/rec-number&gt;&lt;foreign-keys&gt;&lt;key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w:t>
      </w:r>
      <w:r w:rsidRPr="005D3F76">
        <w:rPr>
          <w:rFonts w:cs="Times New Roman"/>
          <w:szCs w:val="24"/>
        </w:rPr>
        <w:fldChar w:fldCharType="end"/>
      </w:r>
      <w:r w:rsidRPr="005D3F76">
        <w:rPr>
          <w:rFonts w:cs="Times New Roman"/>
          <w:szCs w:val="24"/>
        </w:rPr>
        <w:t xml:space="preserve">. Some scholars contend that the </w:t>
      </w:r>
      <w:r w:rsidRPr="005D3F76">
        <w:rPr>
          <w:rFonts w:cs="Times New Roman"/>
          <w:szCs w:val="24"/>
        </w:rPr>
        <w:lastRenderedPageBreak/>
        <w:t xml:space="preserve">material CDA scholars research is easy in the fact that the material being analyzed is “fairly obvious in terms of what [it] communicates even without in-depth analysis” </w:t>
      </w:r>
      <w:r w:rsidRPr="005D3F76">
        <w:rPr>
          <w:rFonts w:cs="Times New Roman"/>
          <w:szCs w:val="24"/>
        </w:rPr>
        <w:fldChar w:fldCharType="begin"/>
      </w:r>
      <w:r w:rsidRPr="005D3F76">
        <w:rPr>
          <w:rFonts w:cs="Times New Roman"/>
          <w:szCs w:val="24"/>
        </w:rPr>
        <w:instrText xml:space="preserve"> ADDIN EN.CITE &lt;EndNote&gt;&lt;Cite&gt;&lt;Author&gt;Machin&lt;/Author&gt;&lt;Year&gt;2012&lt;/Year&gt;&lt;RecNum&gt;170&lt;/RecNum&gt;&lt;Pages&gt;211&lt;/Pages&gt;&lt;DisplayText&gt;(Machin &amp;amp; Mayr, 2012, p. 211)&lt;/DisplayText&gt;&lt;record&gt;&lt;rec-number&gt;170&lt;/rec-number&gt;&lt;foreign-keys&gt;&lt;key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 p. 211)</w:t>
      </w:r>
      <w:r w:rsidRPr="005D3F76">
        <w:rPr>
          <w:rFonts w:cs="Times New Roman"/>
          <w:szCs w:val="24"/>
        </w:rPr>
        <w:fldChar w:fldCharType="end"/>
      </w:r>
      <w:r w:rsidRPr="005D3F76">
        <w:rPr>
          <w:rFonts w:cs="Times New Roman"/>
          <w:szCs w:val="24"/>
        </w:rPr>
        <w:t>. For instance, if a newspaper ran a headline titled, “School board seeks to replace long term appointee,” the question then becomes do we need to necessarily use linguistic and critical methodologies to understand what is going on? However, to refute this criticism, Machin and Mayr (2012) give an excellent counter-example for this argument:</w:t>
      </w:r>
    </w:p>
    <w:p w14:paraId="0AD74D4A" w14:textId="77777777" w:rsidR="00B03557" w:rsidRPr="005D3F76" w:rsidRDefault="00B03557" w:rsidP="00C56DF5">
      <w:pPr>
        <w:ind w:left="720"/>
        <w:rPr>
          <w:rFonts w:cs="Times New Roman"/>
          <w:szCs w:val="24"/>
        </w:rPr>
      </w:pPr>
      <w:r w:rsidRPr="005D3F76">
        <w:rPr>
          <w:rFonts w:cs="Times New Roman"/>
          <w:szCs w:val="24"/>
        </w:rPr>
        <w:t xml:space="preserve">Anyone reading, for example, Kress’s </w:t>
      </w:r>
      <w:r w:rsidRPr="005D3F76">
        <w:rPr>
          <w:rFonts w:cs="Times New Roman"/>
          <w:szCs w:val="24"/>
        </w:rPr>
        <w:fldChar w:fldCharType="begin"/>
      </w:r>
      <w:r w:rsidRPr="005D3F76">
        <w:rPr>
          <w:rFonts w:cs="Times New Roman"/>
          <w:szCs w:val="24"/>
        </w:rPr>
        <w:instrText xml:space="preserve"> ADDIN EN.CITE &lt;EndNote&gt;&lt;Cite ExcludeAuth="1"&gt;&lt;Author&gt;Kress&lt;/Author&gt;&lt;Year&gt;1985&lt;/Year&gt;&lt;RecNum&gt;186&lt;/RecNum&gt;&lt;DisplayText&gt;(1985)&lt;/DisplayText&gt;&lt;record&gt;&lt;rec-number&gt;186&lt;/rec-number&gt;&lt;foreign-keys&gt;&lt;key app="EN" db-id="etwareaz8xpxz3et59b50d9vxrata9z2w2zt" timestamp="1457466377"&gt;186&lt;/key&gt;&lt;/foreign-keys&gt;&lt;ref-type name="Book Section"&gt;5&lt;/ref-type&gt;&lt;contributors&gt;&lt;authors&gt;&lt;author&gt;G. Kress&lt;/author&gt;&lt;/authors&gt;&lt;secondary-authors&gt;&lt;author&gt;van Dijk, Teun&lt;/author&gt;&lt;/secondary-authors&gt;&lt;/contributors&gt;&lt;titles&gt;&lt;title&gt;Ideological Structures in Discourse&lt;/title&gt;&lt;secondary-title&gt;Handbook of Discourse Analysis&lt;/secondary-title&gt;&lt;/titles&gt;&lt;pages&gt;27-42&lt;/pages&gt;&lt;dates&gt;&lt;year&gt;1985&lt;/year&gt;&lt;/dates&gt;&lt;pub-location&gt;London&lt;/pub-location&gt;&lt;publisher&gt;Academic Press&lt;/publisher&gt;&lt;urls&gt;&lt;/urls&gt;&lt;/record&gt;&lt;/Cite&gt;&lt;/EndNote&gt;</w:instrText>
      </w:r>
      <w:r w:rsidRPr="005D3F76">
        <w:rPr>
          <w:rFonts w:cs="Times New Roman"/>
          <w:szCs w:val="24"/>
        </w:rPr>
        <w:fldChar w:fldCharType="separate"/>
      </w:r>
      <w:r w:rsidRPr="005D3F76">
        <w:rPr>
          <w:rFonts w:cs="Times New Roman"/>
          <w:noProof/>
          <w:szCs w:val="24"/>
        </w:rPr>
        <w:t>(1985)</w:t>
      </w:r>
      <w:r w:rsidRPr="005D3F76">
        <w:rPr>
          <w:rFonts w:cs="Times New Roman"/>
          <w:szCs w:val="24"/>
        </w:rPr>
        <w:fldChar w:fldCharType="end"/>
      </w:r>
      <w:r w:rsidRPr="005D3F76">
        <w:rPr>
          <w:rFonts w:cs="Times New Roman"/>
          <w:szCs w:val="24"/>
        </w:rPr>
        <w:t xml:space="preserve"> analysis of school books would find it difficult to claim that the less than obvious deletion of agents and presentation of power relations through modals is not particularly revealing in terms of the way the world and certain actions and events are portrayed to children</w:t>
      </w:r>
      <w:r w:rsidRPr="005D3F76">
        <w:rPr>
          <w:rFonts w:cs="Times New Roman"/>
          <w:i/>
          <w:szCs w:val="24"/>
        </w:rPr>
        <w:t xml:space="preserve"> </w:t>
      </w:r>
      <w:r w:rsidRPr="005D3F76">
        <w:rPr>
          <w:rFonts w:cs="Times New Roman"/>
          <w:szCs w:val="24"/>
        </w:rPr>
        <w:t>(p. 211). (In regards to the work Changing Text: A Social Semiotic Analysis of Textbooks)</w:t>
      </w:r>
    </w:p>
    <w:p w14:paraId="00BCBEB8" w14:textId="77777777" w:rsidR="00B03557" w:rsidRPr="005D3F76" w:rsidRDefault="00B03557" w:rsidP="00C56DF5">
      <w:pPr>
        <w:rPr>
          <w:rFonts w:cs="Times New Roman"/>
          <w:szCs w:val="24"/>
        </w:rPr>
      </w:pPr>
      <w:r w:rsidRPr="005D3F76">
        <w:rPr>
          <w:rFonts w:cs="Times New Roman"/>
          <w:szCs w:val="24"/>
        </w:rPr>
        <w:t xml:space="preserve">The reason for researching using CDA is because to many, the talk and text of seemingly simplistic discourses in this world seem easy even to seasoned researchers, but in fact have become so naturalized and ostensibly neutral that those who should know better than to dismiss something at the first or even second look, do so because they cannot see beyond their own entrenched ideologies. </w:t>
      </w:r>
    </w:p>
    <w:p w14:paraId="63ED3A1C" w14:textId="3278DC4E" w:rsidR="00B03557" w:rsidRPr="005D3F76" w:rsidRDefault="00B03557" w:rsidP="00C56DF5">
      <w:pPr>
        <w:rPr>
          <w:rFonts w:cs="Times New Roman"/>
          <w:szCs w:val="24"/>
        </w:rPr>
      </w:pPr>
      <w:r w:rsidRPr="005D3F76">
        <w:rPr>
          <w:rFonts w:cs="Times New Roman"/>
          <w:szCs w:val="24"/>
        </w:rPr>
        <w:tab/>
        <w:t>The final criticism of CDA that I would like to address is whether or not it is successful as a methodology. Most scholars that know CDA and the work that is done using it, would agree that CDA is theoretically a very so</w:t>
      </w:r>
      <w:r w:rsidR="00631054" w:rsidRPr="005D3F76">
        <w:rPr>
          <w:rFonts w:cs="Times New Roman"/>
          <w:szCs w:val="24"/>
        </w:rPr>
        <w:t>und research</w:t>
      </w:r>
      <w:r w:rsidRPr="005D3F76">
        <w:rPr>
          <w:rFonts w:cs="Times New Roman"/>
          <w:szCs w:val="24"/>
        </w:rPr>
        <w:t xml:space="preserve"> tool, one that originates from the much grounded scholarship of DA and linguistics. However, many scholars question whether or not the theoretical can be adequately transcribed into the methodological realm </w:t>
      </w:r>
      <w:r w:rsidRPr="005D3F76">
        <w:rPr>
          <w:rFonts w:cs="Times New Roman"/>
          <w:szCs w:val="24"/>
        </w:rPr>
        <w:fldChar w:fldCharType="begin"/>
      </w:r>
      <w:r w:rsidRPr="005D3F76">
        <w:rPr>
          <w:rFonts w:cs="Times New Roman"/>
          <w:szCs w:val="24"/>
        </w:rPr>
        <w:instrText xml:space="preserve"> ADDIN EN.CITE &lt;EndNote&gt;&lt;Cite&gt;&lt;Author&gt;Waugh&lt;/Author&gt;&lt;Year&gt;2015&lt;/Year&gt;&lt;RecNum&gt;181&lt;/RecNum&gt;&lt;DisplayText&gt;(Machin &amp;amp; Mayr, 2012; Waugh et al., 2015)&lt;/DisplayText&gt;&lt;record&gt;&lt;rec-number&gt;181&lt;/rec-number&gt;&lt;foreign-keys&gt;&lt;key app="EN" db-id="etwareaz8xpxz3et59b50d9vxrata9z2w2zt" timestamp="1457459187"&gt;181&lt;/key&gt;&lt;/foreign-keys&gt;&lt;ref-type name="Book Section"&gt;5&lt;/ref-type&gt;&lt;contributors&gt;&lt;authors&gt;&lt;author&gt;Linda R Waugh&lt;/author&gt;&lt;author&gt;Theresa Catalano&lt;/author&gt;&lt;author&gt;Khaled Al Masaeed&lt;/author&gt;&lt;author&gt;Tome Hong Do&lt;/author&gt;&lt;author&gt;Paul G. Renigar&lt;/author&gt;&lt;/authors&gt;&lt;/contributors&gt;&lt;titles&gt;&lt;title&gt;Critical Discourse Analysis: Definition, Approaches, Relation to Pragmatics, Critique and Trends&lt;/title&gt;&lt;secondary-title&gt;Perspective in Pragmatics, Philosophy &amp;amp; Psychology&lt;/secondary-title&gt;&lt;/titles&gt;&lt;pages&gt;71-135&lt;/pages&gt;&lt;volume&gt;4th&lt;/volume&gt;&lt;num-vols&gt;5&lt;/num-vols&gt;&lt;section&gt;Interdisclipinary Studies in Pragmatics, Culture and Society&lt;/section&gt;&lt;dates&gt;&lt;year&gt;2015&lt;/year&gt;&lt;/dates&gt;&lt;pub-location&gt;New York&lt;/pub-location&gt;&lt;publisher&gt;Springer&lt;/publisher&gt;&lt;urls&gt;&lt;/urls&gt;&lt;/record&gt;&lt;/Cite&gt;&lt;Cite&gt;&lt;Author&gt;Machin&lt;/Author&gt;&lt;Year&gt;2012&lt;/Year&gt;&lt;RecNum&gt;170&lt;/RecNum&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 Waugh et al., 2015)</w:t>
      </w:r>
      <w:r w:rsidRPr="005D3F76">
        <w:rPr>
          <w:rFonts w:cs="Times New Roman"/>
          <w:szCs w:val="24"/>
        </w:rPr>
        <w:fldChar w:fldCharType="end"/>
      </w:r>
      <w:r w:rsidRPr="005D3F76">
        <w:rPr>
          <w:rFonts w:cs="Times New Roman"/>
          <w:szCs w:val="24"/>
        </w:rPr>
        <w:t xml:space="preserve">. Martyn Hammersley </w:t>
      </w:r>
      <w:r w:rsidRPr="005D3F76">
        <w:rPr>
          <w:rFonts w:cs="Times New Roman"/>
          <w:szCs w:val="24"/>
        </w:rPr>
        <w:fldChar w:fldCharType="begin"/>
      </w:r>
      <w:r w:rsidRPr="005D3F76">
        <w:rPr>
          <w:rFonts w:cs="Times New Roman"/>
          <w:szCs w:val="24"/>
        </w:rPr>
        <w:instrText xml:space="preserve"> ADDIN EN.CITE &lt;EndNote&gt;&lt;Cite ExcludeAuth="1"&gt;&lt;Author&gt;Hammersley&lt;/Author&gt;&lt;Year&gt;1996&lt;/Year&gt;&lt;RecNum&gt;187&lt;/RecNum&gt;&lt;DisplayText&gt;(1996)&lt;/DisplayText&gt;&lt;record&gt;&lt;rec-number&gt;187&lt;/rec-number&gt;&lt;foreign-keys&gt;&lt;key app="EN" db-id="etwareaz8xpxz3et59b50d9vxrata9z2w2zt" timestamp="1457468350"&gt;187&lt;/key&gt;&lt;/foreign-keys&gt;&lt;ref-type name="Journal Article"&gt;17&lt;/ref-type&gt;&lt;contributors&gt;&lt;authors&gt;&lt;author&gt;M. Hammersley&lt;/author&gt;&lt;/authors&gt;&lt;/contributors&gt;&lt;titles&gt;&lt;title&gt;On the Foundations of Critical Discourse Analysis&lt;/title&gt;&lt;secondary-title&gt;Language and Communication&lt;/secondary-title&gt;&lt;/titles&gt;&lt;periodical&gt;&lt;full-title&gt;Language and Communication&lt;/full-title&gt;&lt;/periodical&gt;&lt;pages&gt;327-348&lt;/pages&gt;&lt;volume&gt;17&lt;/volume&gt;&lt;number&gt;3&lt;/number&gt;&lt;dates&gt;&lt;year&gt;1996&lt;/year&gt;&lt;/dates&gt;&lt;urls&gt;&lt;/urls&gt;&lt;/record&gt;&lt;/Cite&gt;&lt;/EndNote&gt;</w:instrText>
      </w:r>
      <w:r w:rsidRPr="005D3F76">
        <w:rPr>
          <w:rFonts w:cs="Times New Roman"/>
          <w:szCs w:val="24"/>
        </w:rPr>
        <w:fldChar w:fldCharType="separate"/>
      </w:r>
      <w:r w:rsidRPr="005D3F76">
        <w:rPr>
          <w:rFonts w:cs="Times New Roman"/>
          <w:noProof/>
          <w:szCs w:val="24"/>
        </w:rPr>
        <w:t>(1996)</w:t>
      </w:r>
      <w:r w:rsidRPr="005D3F76">
        <w:rPr>
          <w:rFonts w:cs="Times New Roman"/>
          <w:szCs w:val="24"/>
        </w:rPr>
        <w:fldChar w:fldCharType="end"/>
      </w:r>
      <w:r w:rsidRPr="005D3F76">
        <w:rPr>
          <w:rFonts w:cs="Times New Roman"/>
          <w:szCs w:val="24"/>
        </w:rPr>
        <w:t xml:space="preserve"> and Peter Jones </w:t>
      </w:r>
      <w:r w:rsidRPr="005D3F76">
        <w:rPr>
          <w:rFonts w:cs="Times New Roman"/>
          <w:szCs w:val="24"/>
        </w:rPr>
        <w:fldChar w:fldCharType="begin"/>
      </w:r>
      <w:r w:rsidRPr="005D3F76">
        <w:rPr>
          <w:rFonts w:cs="Times New Roman"/>
          <w:szCs w:val="24"/>
        </w:rPr>
        <w:instrText xml:space="preserve"> ADDIN EN.CITE &lt;EndNote&gt;&lt;Cite ExcludeAuth="1"&gt;&lt;Author&gt;Jones&lt;/Author&gt;&lt;Year&gt;2007&lt;/Year&gt;&lt;RecNum&gt;188&lt;/RecNum&gt;&lt;DisplayText&gt;(2007)&lt;/DisplayText&gt;&lt;record&gt;&lt;rec-number&gt;188&lt;/rec-number&gt;&lt;foreign-keys&gt;&lt;key app="EN" db-id="etwareaz8xpxz3et59b50d9vxrata9z2w2zt" timestamp="1457471561"&gt;188&lt;/key&gt;&lt;/foreign-keys&gt;&lt;ref-type name="Journal Article"&gt;17&lt;/ref-type&gt;&lt;contributors&gt;&lt;authors&gt;&lt;author&gt;P. Jones&lt;/author&gt;&lt;/authors&gt;&lt;/contributors&gt;&lt;titles&gt;&lt;title&gt;Why There is No Such Thing as &amp;quot;Critical Discourse Analysis&amp;quot;&lt;/title&gt;&lt;secondary-title&gt;Language and Communication&lt;/secondary-title&gt;&lt;/titles&gt;&lt;periodical&gt;&lt;full-title&gt;Language and Communication&lt;/full-title&gt;&lt;/periodical&gt;&lt;pages&gt;337-368&lt;/pages&gt;&lt;volume&gt;27&lt;/volume&gt;&lt;dates&gt;&lt;year&gt;2007&lt;/year&gt;&lt;/dates&gt;&lt;urls&gt;&lt;/urls&gt;&lt;/record&gt;&lt;/Cite&gt;&lt;/EndNote&gt;</w:instrText>
      </w:r>
      <w:r w:rsidRPr="005D3F76">
        <w:rPr>
          <w:rFonts w:cs="Times New Roman"/>
          <w:szCs w:val="24"/>
        </w:rPr>
        <w:fldChar w:fldCharType="separate"/>
      </w:r>
      <w:r w:rsidRPr="005D3F76">
        <w:rPr>
          <w:rFonts w:cs="Times New Roman"/>
          <w:noProof/>
          <w:szCs w:val="24"/>
        </w:rPr>
        <w:t>(2007)</w:t>
      </w:r>
      <w:r w:rsidRPr="005D3F76">
        <w:rPr>
          <w:rFonts w:cs="Times New Roman"/>
          <w:szCs w:val="24"/>
        </w:rPr>
        <w:fldChar w:fldCharType="end"/>
      </w:r>
      <w:r w:rsidRPr="005D3F76">
        <w:rPr>
          <w:rFonts w:cs="Times New Roman"/>
          <w:szCs w:val="24"/>
        </w:rPr>
        <w:t xml:space="preserve"> argue that CDA may be too determined with trying to create social change with terms such as ‘discourse,’ ‘social justice,’ </w:t>
      </w:r>
      <w:r w:rsidRPr="005D3F76">
        <w:rPr>
          <w:rFonts w:cs="Times New Roman"/>
          <w:szCs w:val="24"/>
        </w:rPr>
        <w:lastRenderedPageBreak/>
        <w:t xml:space="preserve">and the like which are only vaguely defined within the research. It is because of this reason then that they further claim that researchers may overly construe the data, “whereby ideological evaluation becomes part and parcel of textual analysis” and methodological rigor is sidelined </w:t>
      </w:r>
      <w:r w:rsidRPr="005D3F76">
        <w:rPr>
          <w:rFonts w:cs="Times New Roman"/>
          <w:szCs w:val="24"/>
        </w:rPr>
        <w:fldChar w:fldCharType="begin"/>
      </w:r>
      <w:r w:rsidRPr="005D3F76">
        <w:rPr>
          <w:rFonts w:cs="Times New Roman"/>
          <w:szCs w:val="24"/>
        </w:rPr>
        <w:instrText xml:space="preserve"> ADDIN EN.CITE &lt;EndNote&gt;&lt;Cite&gt;&lt;Author&gt;Machin&lt;/Author&gt;&lt;Year&gt;2012&lt;/Year&gt;&lt;RecNum&gt;170&lt;/RecNum&gt;&lt;Pages&gt;214&lt;/Pages&gt;&lt;DisplayText&gt;(Machin &amp;amp; Mayr, 2012, p. 214)&lt;/DisplayText&gt;&lt;record&gt;&lt;rec-number&gt;170&lt;/rec-number&gt;&lt;foreign-keys&gt;&lt;key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 p. 214)</w:t>
      </w:r>
      <w:r w:rsidRPr="005D3F76">
        <w:rPr>
          <w:rFonts w:cs="Times New Roman"/>
          <w:szCs w:val="24"/>
        </w:rPr>
        <w:fldChar w:fldCharType="end"/>
      </w:r>
      <w:r w:rsidRPr="005D3F76">
        <w:rPr>
          <w:rFonts w:cs="Times New Roman"/>
          <w:szCs w:val="24"/>
        </w:rPr>
        <w:t xml:space="preserve">. In conjunction with this, Widdowson </w:t>
      </w:r>
      <w:r w:rsidRPr="005D3F76">
        <w:rPr>
          <w:rFonts w:cs="Times New Roman"/>
          <w:szCs w:val="24"/>
        </w:rPr>
        <w:fldChar w:fldCharType="begin"/>
      </w:r>
      <w:r w:rsidRPr="005D3F76">
        <w:rPr>
          <w:rFonts w:cs="Times New Roman"/>
          <w:szCs w:val="24"/>
        </w:rPr>
        <w:instrText xml:space="preserve"> ADDIN EN.CITE &lt;EndNote&gt;&lt;Cite ExcludeAuth="1"&gt;&lt;Author&gt;Widdowson&lt;/Author&gt;&lt;Year&gt;1998&lt;/Year&gt;&lt;RecNum&gt;180&lt;/RecNum&gt;&lt;DisplayText&gt;(1998)&lt;/DisplayText&gt;&lt;record&gt;&lt;rec-number&gt;180&lt;/rec-number&gt;&lt;foreign-keys&gt;&lt;key app="EN" db-id="etwareaz8xpxz3et59b50d9vxrata9z2w2zt" timestamp="1457458925"&gt;180&lt;/key&gt;&lt;/foreign-keys&gt;&lt;ref-type name="Journal Article"&gt;17&lt;/ref-type&gt;&lt;contributors&gt;&lt;authors&gt;&lt;author&gt;H. Widdowson&lt;/author&gt;&lt;/authors&gt;&lt;/contributors&gt;&lt;titles&gt;&lt;title&gt;The Theory and Practice of Critical Discourse Analysis&lt;/title&gt;&lt;secondary-title&gt;Applied Lingustics&lt;/secondary-title&gt;&lt;/titles&gt;&lt;periodical&gt;&lt;full-title&gt;Applied Lingustics&lt;/full-title&gt;&lt;/periodical&gt;&lt;pages&gt;136-151&lt;/pages&gt;&lt;volume&gt;19&lt;/volume&gt;&lt;number&gt;1&lt;/number&gt;&lt;dates&gt;&lt;year&gt;1998&lt;/year&gt;&lt;/dates&gt;&lt;urls&gt;&lt;/urls&gt;&lt;/record&gt;&lt;/Cite&gt;&lt;/EndNote&gt;</w:instrText>
      </w:r>
      <w:r w:rsidRPr="005D3F76">
        <w:rPr>
          <w:rFonts w:cs="Times New Roman"/>
          <w:szCs w:val="24"/>
        </w:rPr>
        <w:fldChar w:fldCharType="separate"/>
      </w:r>
      <w:r w:rsidRPr="005D3F76">
        <w:rPr>
          <w:rFonts w:cs="Times New Roman"/>
          <w:noProof/>
          <w:szCs w:val="24"/>
        </w:rPr>
        <w:t>(1998)</w:t>
      </w:r>
      <w:r w:rsidRPr="005D3F76">
        <w:rPr>
          <w:rFonts w:cs="Times New Roman"/>
          <w:szCs w:val="24"/>
        </w:rPr>
        <w:fldChar w:fldCharType="end"/>
      </w:r>
      <w:r w:rsidRPr="005D3F76">
        <w:rPr>
          <w:rFonts w:cs="Times New Roman"/>
          <w:szCs w:val="24"/>
        </w:rPr>
        <w:t xml:space="preserve"> claims that CDA is “ideologically committed to a specific form of interpretation of texts,” and the discourse within those “may not be helpful in [breaking down,] understanding and criticizing real-life communicative processes” </w:t>
      </w:r>
      <w:r w:rsidRPr="005D3F76">
        <w:rPr>
          <w:rFonts w:cs="Times New Roman"/>
          <w:szCs w:val="24"/>
        </w:rPr>
        <w:fldChar w:fldCharType="begin"/>
      </w:r>
      <w:r w:rsidRPr="005D3F76">
        <w:rPr>
          <w:rFonts w:cs="Times New Roman"/>
          <w:szCs w:val="24"/>
        </w:rPr>
        <w:instrText xml:space="preserve"> ADDIN EN.CITE &lt;EndNote&gt;&lt;Cite&gt;&lt;Author&gt;Machin&lt;/Author&gt;&lt;Year&gt;2012&lt;/Year&gt;&lt;RecNum&gt;170&lt;/RecNum&gt;&lt;Pages&gt;214&lt;/Pages&gt;&lt;DisplayText&gt;(Machin &amp;amp; Mayr, 2012, p. 214)&lt;/DisplayText&gt;&lt;record&gt;&lt;rec-number&gt;170&lt;/rec-number&gt;&lt;foreign-keys&gt;&lt;key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 p. 214)</w:t>
      </w:r>
      <w:r w:rsidRPr="005D3F76">
        <w:rPr>
          <w:rFonts w:cs="Times New Roman"/>
          <w:szCs w:val="24"/>
        </w:rPr>
        <w:fldChar w:fldCharType="end"/>
      </w:r>
      <w:r w:rsidRPr="005D3F76">
        <w:rPr>
          <w:rFonts w:cs="Times New Roman"/>
          <w:szCs w:val="24"/>
        </w:rPr>
        <w:t>. The clear issue with these critics is that CDA is less methodologically driven then other forms of textual analysis. One answer to this critique can be found in the “representativeness of the samples of language analyzed against empirically verifiable data, chosen on the basis of explicit and objective criteria and collected” using acceptable qualitative and/or quantitative methods and procedures such as thematic and patterning procedures, as well as, coding and labeling (p. 216).</w:t>
      </w:r>
    </w:p>
    <w:p w14:paraId="1EDB36E4" w14:textId="4AF222D5" w:rsidR="00B03557" w:rsidRPr="005D3F76" w:rsidRDefault="00B03557" w:rsidP="00C56DF5">
      <w:pPr>
        <w:rPr>
          <w:rFonts w:cs="Times New Roman"/>
          <w:szCs w:val="24"/>
        </w:rPr>
      </w:pPr>
      <w:r w:rsidRPr="005D3F76">
        <w:rPr>
          <w:rFonts w:cs="Times New Roman"/>
          <w:szCs w:val="24"/>
        </w:rPr>
        <w:tab/>
        <w:t xml:space="preserve">In response to these critiques, those who use CDA must be rigorous in their analysis and particular about the questions they are seeking to answer with the discourse that they are choosing to research. The creation of a new journal in 2004, </w:t>
      </w:r>
      <w:r w:rsidRPr="005D3F76">
        <w:rPr>
          <w:rFonts w:cs="Times New Roman"/>
          <w:i/>
          <w:szCs w:val="24"/>
        </w:rPr>
        <w:t>Critical Discourse Studies</w:t>
      </w:r>
      <w:r w:rsidRPr="005D3F76">
        <w:rPr>
          <w:rFonts w:cs="Times New Roman"/>
          <w:szCs w:val="24"/>
        </w:rPr>
        <w:t xml:space="preserve">, founded by Van Dijk is helping in the growth of this relatively new field which includes specialized functions on discourse. This is attracting scholars from different disciplines, which in turn, is creating new fusions between discourse analysis and differing theoretical and methodological viewpoints </w:t>
      </w:r>
      <w:r w:rsidRPr="005D3F76">
        <w:rPr>
          <w:rFonts w:cs="Times New Roman"/>
          <w:szCs w:val="24"/>
        </w:rPr>
        <w:fldChar w:fldCharType="begin"/>
      </w:r>
      <w:r w:rsidRPr="005D3F76">
        <w:rPr>
          <w:rFonts w:cs="Times New Roman"/>
          <w:szCs w:val="24"/>
        </w:rPr>
        <w:instrText xml:space="preserve"> ADDIN EN.CITE &lt;EndNote&gt;&lt;Cite&gt;&lt;Author&gt;Fairclough&lt;/Author&gt;&lt;Year&gt;2004&lt;/Year&gt;&lt;RecNum&gt;189&lt;/RecNum&gt;&lt;DisplayText&gt;(N. Fairclough, Graham, Lemke, &amp;amp; Wodak, 2004)&lt;/DisplayText&gt;&lt;record&gt;&lt;rec-number&gt;189&lt;/rec-number&gt;&lt;foreign-keys&gt;&lt;key app="EN" db-id="etwareaz8xpxz3et59b50d9vxrata9z2w2zt" timestamp="1457474008"&gt;189&lt;/key&gt;&lt;/foreign-keys&gt;&lt;ref-type name="Journal Article"&gt;17&lt;/ref-type&gt;&lt;contributors&gt;&lt;authors&gt;&lt;author&gt;N. Fairclough&lt;/author&gt;&lt;author&gt;P. Graham&lt;/author&gt;&lt;author&gt;J. Lemke&lt;/author&gt;&lt;author&gt;R. Wodak&lt;/author&gt;&lt;/authors&gt;&lt;/contributors&gt;&lt;titles&gt;&lt;title&gt;Introduction&lt;/title&gt;&lt;secondary-title&gt;Critical Discourse Studies&lt;/secondary-title&gt;&lt;/titles&gt;&lt;periodical&gt;&lt;full-title&gt;Critical Discourse Studies&lt;/full-title&gt;&lt;/periodical&gt;&lt;pages&gt;1-7&lt;/pages&gt;&lt;volume&gt;1&lt;/volume&gt;&lt;number&gt;1&lt;/number&gt;&lt;dates&gt;&lt;year&gt;2004&lt;/year&gt;&lt;/dates&gt;&lt;urls&gt;&lt;/urls&gt;&lt;/record&gt;&lt;/Cite&gt;&lt;/EndNote&gt;</w:instrText>
      </w:r>
      <w:r w:rsidRPr="005D3F76">
        <w:rPr>
          <w:rFonts w:cs="Times New Roman"/>
          <w:szCs w:val="24"/>
        </w:rPr>
        <w:fldChar w:fldCharType="separate"/>
      </w:r>
      <w:r w:rsidRPr="005D3F76">
        <w:rPr>
          <w:rFonts w:cs="Times New Roman"/>
          <w:noProof/>
          <w:szCs w:val="24"/>
        </w:rPr>
        <w:t>(N. Fairclough, Graham, Lemke, &amp; Wodak, 2004)</w:t>
      </w:r>
      <w:r w:rsidRPr="005D3F76">
        <w:rPr>
          <w:rFonts w:cs="Times New Roman"/>
          <w:szCs w:val="24"/>
        </w:rPr>
        <w:fldChar w:fldCharType="end"/>
      </w:r>
      <w:r w:rsidRPr="005D3F76">
        <w:rPr>
          <w:rFonts w:cs="Times New Roman"/>
          <w:szCs w:val="24"/>
        </w:rPr>
        <w:t>Within the research that follows I hope to demonstrate the ability of CDA as a research analysis tool through newspapers and the topic of teacher unions within Wisconsin, but we must first look to understanding the importance of the media itself.</w:t>
      </w:r>
      <w:r w:rsidRPr="005D3F76">
        <w:rPr>
          <w:rFonts w:cs="Times New Roman"/>
          <w:szCs w:val="24"/>
        </w:rPr>
        <w:tab/>
      </w:r>
    </w:p>
    <w:p w14:paraId="5AD58B4A" w14:textId="77777777" w:rsidR="00B03557" w:rsidRPr="005D3F76" w:rsidRDefault="00B03557" w:rsidP="0012433F">
      <w:pPr>
        <w:pStyle w:val="Heading2"/>
        <w:rPr>
          <w:rFonts w:cs="Times New Roman"/>
        </w:rPr>
      </w:pPr>
      <w:bookmarkStart w:id="12" w:name="_Toc462843632"/>
      <w:r w:rsidRPr="005D3F76">
        <w:rPr>
          <w:rFonts w:cs="Times New Roman"/>
        </w:rPr>
        <w:lastRenderedPageBreak/>
        <w:t>The Importance of the Mass Media</w:t>
      </w:r>
      <w:bookmarkEnd w:id="12"/>
    </w:p>
    <w:p w14:paraId="4D4D7424" w14:textId="1A4E9B88" w:rsidR="00B03557" w:rsidRPr="005D3F76" w:rsidRDefault="00B03557" w:rsidP="00C56DF5">
      <w:pPr>
        <w:rPr>
          <w:rFonts w:cs="Times New Roman"/>
          <w:szCs w:val="24"/>
        </w:rPr>
      </w:pPr>
      <w:r w:rsidRPr="005D3F76">
        <w:rPr>
          <w:rFonts w:cs="Times New Roman"/>
          <w:szCs w:val="24"/>
        </w:rPr>
        <w:tab/>
        <w:t>A significant contribution to the overall research in this particular analysis of teacher unions is that dealing with the media itself. It is important to not only understand some of the special properties such as mediums</w:t>
      </w:r>
      <w:r w:rsidRPr="005D3F76">
        <w:rPr>
          <w:rStyle w:val="EndnoteReference"/>
          <w:rFonts w:cs="Times New Roman"/>
          <w:szCs w:val="24"/>
        </w:rPr>
        <w:endnoteReference w:id="14"/>
      </w:r>
      <w:r w:rsidRPr="005D3F76">
        <w:rPr>
          <w:rFonts w:cs="Times New Roman"/>
          <w:szCs w:val="24"/>
        </w:rPr>
        <w:t xml:space="preserve"> and techniques,</w:t>
      </w:r>
      <w:r w:rsidRPr="005D3F76">
        <w:rPr>
          <w:rStyle w:val="EndnoteReference"/>
          <w:rFonts w:cs="Times New Roman"/>
          <w:szCs w:val="24"/>
        </w:rPr>
        <w:endnoteReference w:id="15"/>
      </w:r>
      <w:r w:rsidRPr="005D3F76">
        <w:rPr>
          <w:rFonts w:cs="Times New Roman"/>
          <w:szCs w:val="24"/>
        </w:rPr>
        <w:t xml:space="preserve"> but also other properties; such as, the “economics and politics of the mass media, the nature of the market which the mass media are operating within, and their relationship to the state”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&lt;EndNote&gt;&lt;Cite&gt;&lt;Author&gt;Fairclough&lt;/Author&gt;&lt;Year&gt;1995&lt;/Year&gt;&lt;RecNum&gt;158&lt;/RecNum&gt;&lt;Pages&gt;36&lt;/Pages&gt;&lt;DisplayText&gt;(Norman Fairclough, 1995, p. 36)&lt;/DisplayText&gt;&lt;record&gt;&lt;rec-number&gt;158&lt;/rec-number&gt;&lt;foreign-keys&gt;&lt;key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 p. 36)</w:t>
      </w:r>
      <w:r w:rsidRPr="005D3F76">
        <w:rPr>
          <w:rFonts w:cs="Times New Roman"/>
          <w:szCs w:val="24"/>
        </w:rPr>
        <w:fldChar w:fldCharType="end"/>
      </w:r>
      <w:r w:rsidRPr="005D3F76">
        <w:rPr>
          <w:rFonts w:cs="Times New Roman"/>
          <w:szCs w:val="24"/>
        </w:rPr>
        <w:t>. These are all important aspects of the media that help to contribute to the overall picture of what is going on concerning teacher unions within U.S. society and how accurate research through CDA can take place within this subject matter.</w:t>
      </w:r>
    </w:p>
    <w:p w14:paraId="2F6D7640" w14:textId="5DC16355" w:rsidR="00B03557" w:rsidRPr="005D3F76" w:rsidRDefault="00B03557" w:rsidP="00C56DF5">
      <w:pPr>
        <w:rPr>
          <w:rFonts w:cs="Times New Roman"/>
          <w:szCs w:val="24"/>
        </w:rPr>
      </w:pPr>
      <w:r w:rsidRPr="005D3F76">
        <w:rPr>
          <w:rFonts w:cs="Times New Roman"/>
          <w:szCs w:val="24"/>
        </w:rPr>
        <w:tab/>
        <w:t xml:space="preserve">First, as a practice, media discourse, and in the case of this research, newspaper discourse must be in a context, or in other words, some type of social setting </w:t>
      </w:r>
      <w:r w:rsidRPr="005D3F76">
        <w:rPr>
          <w:rFonts w:cs="Times New Roman"/>
          <w:szCs w:val="24"/>
        </w:rPr>
        <w:fldChar w:fldCharType="begin"/>
      </w:r>
      <w:r w:rsidRPr="005D3F76">
        <w:rPr>
          <w:rFonts w:cs="Times New Roman"/>
          <w:szCs w:val="24"/>
        </w:rPr>
        <w:instrText xml:space="preserve"> ADDIN EN.CITE &lt;EndNote&gt;&lt;Cite&gt;&lt;Author&gt;Richardson&lt;/Author&gt;&lt;Year&gt;2007&lt;/Year&gt;&lt;RecNum&gt;199&lt;/RecNum&gt;&lt;DisplayText&gt;(Richardson, 2007)&lt;/DisplayText&gt;&lt;record&gt;&lt;rec-number&gt;199&lt;/rec-number&gt;&lt;foreign-keys&gt;&lt;key app="EN" db-id="etwareaz8xpxz3et59b50d9vxrata9z2w2zt" timestamp="1459108489"&gt;199&lt;/key&gt;&lt;/foreign-keys&gt;&lt;ref-type name="Book"&gt;6&lt;/ref-type&gt;&lt;contributors&gt;&lt;authors&gt;&lt;author&gt;John E. Richardson&lt;/author&gt;&lt;/authors&gt;&lt;/contributors&gt;&lt;titles&gt;&lt;title&gt;Analysing Newspapers: An Approach to Critical Discourse Analysis&lt;/title&gt;&lt;/titles&gt;&lt;dates&gt;&lt;year&gt;2007&lt;/year&gt;&lt;/dates&gt;&lt;pub-location&gt;New York, New York&lt;/pub-location&gt;&lt;publisher&gt;Palgrave Macmillion&lt;/publisher&gt;&lt;urls&gt;&lt;/urls&gt;&lt;/record&gt;&lt;/Cite&gt;&lt;/EndNote&gt;</w:instrText>
      </w:r>
      <w:r w:rsidRPr="005D3F76">
        <w:rPr>
          <w:rFonts w:cs="Times New Roman"/>
          <w:szCs w:val="24"/>
        </w:rPr>
        <w:fldChar w:fldCharType="separate"/>
      </w:r>
      <w:r w:rsidRPr="005D3F76">
        <w:rPr>
          <w:rFonts w:cs="Times New Roman"/>
          <w:noProof/>
          <w:szCs w:val="24"/>
        </w:rPr>
        <w:t>(Richardson, 2007)</w:t>
      </w:r>
      <w:r w:rsidRPr="005D3F76">
        <w:rPr>
          <w:rFonts w:cs="Times New Roman"/>
          <w:szCs w:val="24"/>
        </w:rPr>
        <w:fldChar w:fldCharType="end"/>
      </w:r>
      <w:r w:rsidRPr="005D3F76">
        <w:rPr>
          <w:rFonts w:cs="Times New Roman"/>
          <w:szCs w:val="24"/>
        </w:rPr>
        <w:t>. Media discourse is active—it is focused on doing something. In this media ‘activity’ that is reported, the social context is never wholly neutral. According to John Richardson (2007), there are “certain ways of acting [that] are considered more appropriate and ways of speaking or writing have become entrenched into styles</w:t>
      </w:r>
      <w:r w:rsidRPr="005D3F76">
        <w:rPr>
          <w:rStyle w:val="EndnoteReference"/>
          <w:rFonts w:cs="Times New Roman"/>
          <w:szCs w:val="24"/>
        </w:rPr>
        <w:endnoteReference w:id="16"/>
      </w:r>
      <w:r w:rsidRPr="005D3F76">
        <w:rPr>
          <w:rFonts w:cs="Times New Roman"/>
          <w:szCs w:val="24"/>
        </w:rPr>
        <w:t xml:space="preserve"> and genres</w:t>
      </w:r>
      <w:r w:rsidRPr="005D3F76">
        <w:rPr>
          <w:rStyle w:val="EndnoteReference"/>
          <w:rFonts w:cs="Times New Roman"/>
          <w:szCs w:val="24"/>
        </w:rPr>
        <w:endnoteReference w:id="17"/>
      </w:r>
      <w:r w:rsidRPr="005D3F76">
        <w:rPr>
          <w:rFonts w:cs="Times New Roman"/>
          <w:szCs w:val="24"/>
        </w:rPr>
        <w:t xml:space="preserve">” (p. 220). Therefore, as we will see within the research, the social setting controls the language used, and what is understood within what is being presented, allowing some individuals and situations to be represented and not others. Essentially, the language and presentation of what is reported in the media has an effect on shaping how consumers of the newspapers and other media outlets </w:t>
      </w:r>
      <w:r w:rsidR="006F28A3" w:rsidRPr="005D3F76">
        <w:rPr>
          <w:rFonts w:cs="Times New Roman"/>
          <w:szCs w:val="24"/>
        </w:rPr>
        <w:t>perceive</w:t>
      </w:r>
      <w:r w:rsidRPr="005D3F76">
        <w:rPr>
          <w:rFonts w:cs="Times New Roman"/>
          <w:szCs w:val="24"/>
        </w:rPr>
        <w:t xml:space="preserve"> the world around them, including themselves and others, and most significantly, how they view the information being presented to them, especially in regards to issues surrounding and pertaining to both social and political awareness </w:t>
      </w:r>
      <w:r w:rsidRPr="005D3F76">
        <w:rPr>
          <w:rFonts w:cs="Times New Roman"/>
          <w:szCs w:val="24"/>
        </w:rPr>
        <w:fldChar w:fldCharType="begin"/>
      </w:r>
      <w:r w:rsidRPr="005D3F76">
        <w:rPr>
          <w:rFonts w:cs="Times New Roman"/>
          <w:szCs w:val="24"/>
        </w:rPr>
        <w:instrText xml:space="preserve"> ADDIN EN.CITE &lt;EndNote&gt;&lt;Cite&gt;&lt;Author&gt;Richardson&lt;/Author&gt;&lt;Year&gt;2007&lt;/Year&gt;&lt;RecNum&gt;199&lt;/RecNum&gt;&lt;Pages&gt;220&lt;/Pages&gt;&lt;DisplayText&gt;(Richardson, 2007, p. 220)&lt;/DisplayText&gt;&lt;record&gt;&lt;rec-number&gt;199&lt;/rec-number&gt;&lt;foreign-keys&gt;&lt;key app="EN" db-id="etwareaz8xpxz3et59b50d9vxrata9z2w2zt" timestamp="1459108489"&gt;199&lt;/key&gt;&lt;/foreign-keys&gt;&lt;ref-type name="Book"&gt;6&lt;/ref-type&gt;&lt;contributors&gt;&lt;authors&gt;&lt;author&gt;John E. Richardson&lt;/author&gt;&lt;/authors&gt;&lt;/contributors&gt;&lt;titles&gt;&lt;title&gt;Analysing Newspapers: An Approach to Critical Discourse Analysis&lt;/title&gt;&lt;/titles&gt;&lt;dates&gt;&lt;year&gt;2007&lt;/year&gt;&lt;/dates&gt;&lt;pub-location&gt;New York, New York&lt;/pub-location&gt;&lt;publisher&gt;Palgrave Macmillion&lt;/publisher&gt;&lt;urls&gt;&lt;/urls&gt;&lt;/record&gt;&lt;/Cite&gt;&lt;/EndNote&gt;</w:instrText>
      </w:r>
      <w:r w:rsidRPr="005D3F76">
        <w:rPr>
          <w:rFonts w:cs="Times New Roman"/>
          <w:szCs w:val="24"/>
        </w:rPr>
        <w:fldChar w:fldCharType="separate"/>
      </w:r>
      <w:r w:rsidRPr="005D3F76">
        <w:rPr>
          <w:rFonts w:cs="Times New Roman"/>
          <w:noProof/>
          <w:szCs w:val="24"/>
        </w:rPr>
        <w:t>(Richardson, 2007, p. 220)</w:t>
      </w:r>
      <w:r w:rsidRPr="005D3F76">
        <w:rPr>
          <w:rFonts w:cs="Times New Roman"/>
          <w:szCs w:val="24"/>
        </w:rPr>
        <w:fldChar w:fldCharType="end"/>
      </w:r>
      <w:r w:rsidRPr="005D3F76">
        <w:rPr>
          <w:rFonts w:cs="Times New Roman"/>
          <w:szCs w:val="24"/>
        </w:rPr>
        <w:t>.</w:t>
      </w:r>
    </w:p>
    <w:p w14:paraId="155E41AE" w14:textId="4699B7C2" w:rsidR="00B03557" w:rsidRPr="005D3F76" w:rsidRDefault="00B03557" w:rsidP="00C56DF5">
      <w:pPr>
        <w:ind w:firstLine="720"/>
        <w:rPr>
          <w:rFonts w:cs="Times New Roman"/>
          <w:szCs w:val="24"/>
        </w:rPr>
      </w:pPr>
      <w:r w:rsidRPr="005D3F76">
        <w:rPr>
          <w:rFonts w:cs="Times New Roman"/>
          <w:szCs w:val="24"/>
        </w:rPr>
        <w:lastRenderedPageBreak/>
        <w:t xml:space="preserve">It is important to look at how the media has the ability to negotiate between the private and public domain efficiently and without overstepping boundaries, creating a space that is outwardly neutral and unbiased. The boundaries of what is decent and obscene have become blurred within media outlets as they try to bridge the gap between the public “conditions of media production and the private conditions of consumption by evolving a ‘communicative ethos’ and a ‘communicative style’ which adjust towards the priorities, values and practices of private life” of their anticipated audiences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&lt;EndNote&gt;&lt;Cite&gt;&lt;Author&gt;Fairclough&lt;/Author&gt;&lt;Year&gt;1995&lt;/Year&gt;&lt;RecNum&gt;158&lt;/RecNum&gt;&lt;Pages&gt;38&lt;/Pages&gt;&lt;DisplayText&gt;(Norman Fairclough, 1995, p. 38)&lt;/DisplayText&gt;&lt;record&gt;&lt;rec-number&gt;158&lt;/rec-number&gt;&lt;foreign-keys&gt;&lt;key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 p. 38)</w:t>
      </w:r>
      <w:r w:rsidRPr="005D3F76">
        <w:rPr>
          <w:rFonts w:cs="Times New Roman"/>
          <w:szCs w:val="24"/>
        </w:rPr>
        <w:fldChar w:fldCharType="end"/>
      </w:r>
      <w:r w:rsidRPr="005D3F76">
        <w:rPr>
          <w:rFonts w:cs="Times New Roman"/>
          <w:szCs w:val="24"/>
        </w:rPr>
        <w:t xml:space="preserve">.  </w:t>
      </w:r>
    </w:p>
    <w:p w14:paraId="5C0A6E2D" w14:textId="5F2B5957" w:rsidR="00B03557" w:rsidRPr="005D3F76" w:rsidRDefault="00B03557" w:rsidP="00C56DF5">
      <w:pPr>
        <w:rPr>
          <w:rFonts w:cs="Times New Roman"/>
          <w:szCs w:val="24"/>
        </w:rPr>
      </w:pPr>
      <w:r w:rsidRPr="005D3F76">
        <w:rPr>
          <w:rFonts w:cs="Times New Roman"/>
          <w:szCs w:val="24"/>
        </w:rPr>
        <w:tab/>
        <w:t xml:space="preserve">Because of the balancing act between the private and public domains, different types of interaction require different types of audiences. For newspapers, on which this research on teacher unions is focused, the categories of participants are those who read the paper daily, but also other third party groups of individuals, such as, political scientists, politicians, trade unionists, anti-unionists, etc. </w:t>
      </w:r>
      <w:r w:rsidRPr="005D3F76">
        <w:rPr>
          <w:rFonts w:cs="Times New Roman"/>
          <w:szCs w:val="24"/>
        </w:rPr>
        <w:fldChar w:fldCharType="begin"/>
      </w:r>
      <w:r w:rsidRPr="005D3F76">
        <w:rPr>
          <w:rFonts w:cs="Times New Roman"/>
          <w:szCs w:val="24"/>
        </w:rPr>
        <w:instrText xml:space="preserve"> ADDIN EN.CITE &lt;EndNote&gt;&lt;Cite&gt;&lt;Author&gt;Ellis&lt;/Author&gt;&lt;Year&gt;1982&lt;/Year&gt;&lt;RecNum&gt;190&lt;/RecNum&gt;&lt;DisplayText&gt;(Ellis, 1982)&lt;/DisplayText&gt;&lt;record&gt;&lt;rec-number&gt;190&lt;/rec-number&gt;&lt;foreign-keys&gt;&lt;key app="EN" db-id="etwareaz8xpxz3et59b50d9vxrata9z2w2zt" timestamp="1457805801"&gt;190&lt;/key&gt;&lt;/foreign-keys&gt;&lt;ref-type name="Book"&gt;6&lt;/ref-type&gt;&lt;contributors&gt;&lt;authors&gt;&lt;author&gt;J. Ellis&lt;/author&gt;&lt;/authors&gt;&lt;/contributors&gt;&lt;titles&gt;&lt;title&gt;Visible Fictions&lt;/title&gt;&lt;/titles&gt;&lt;dates&gt;&lt;year&gt;1982&lt;/year&gt;&lt;/dates&gt;&lt;pub-location&gt;New York&lt;/pub-location&gt;&lt;publisher&gt;Routledge&lt;/publisher&gt;&lt;urls&gt;&lt;/urls&gt;&lt;/record&gt;&lt;/Cite&gt;&lt;/EndNote&gt;</w:instrText>
      </w:r>
      <w:r w:rsidRPr="005D3F76">
        <w:rPr>
          <w:rFonts w:cs="Times New Roman"/>
          <w:szCs w:val="24"/>
        </w:rPr>
        <w:fldChar w:fldCharType="separate"/>
      </w:r>
      <w:r w:rsidRPr="005D3F76">
        <w:rPr>
          <w:rFonts w:cs="Times New Roman"/>
          <w:noProof/>
          <w:szCs w:val="24"/>
        </w:rPr>
        <w:t>(Ellis, 1982)</w:t>
      </w:r>
      <w:r w:rsidRPr="005D3F76">
        <w:rPr>
          <w:rFonts w:cs="Times New Roman"/>
          <w:szCs w:val="24"/>
        </w:rPr>
        <w:fldChar w:fldCharType="end"/>
      </w:r>
      <w:r w:rsidRPr="005D3F76">
        <w:rPr>
          <w:rFonts w:cs="Times New Roman"/>
          <w:szCs w:val="24"/>
        </w:rPr>
        <w:t xml:space="preserve">. Within these readers, the media creates for its users a ‘colloquial language’ that changes when necessary for the ease of understanding depending on the diversity of the audience targeted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&lt;EndNote&gt;&lt;Cite&gt;&lt;Author&gt;Fairclough&lt;/Author&gt;&lt;Year&gt;1995&lt;/Year&gt;&lt;RecNum&gt;158&lt;/RecNum&gt;&lt;DisplayText&gt;(Norman Fairclough, 1995)&lt;/DisplayText&gt;&lt;record&gt;&lt;rec-number&gt;158&lt;/rec-number&gt;&lt;foreign-keys&gt;&lt;key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w:t>
      </w:r>
      <w:r w:rsidRPr="005D3F76">
        <w:rPr>
          <w:rFonts w:cs="Times New Roman"/>
          <w:szCs w:val="24"/>
        </w:rPr>
        <w:fldChar w:fldCharType="end"/>
      </w:r>
      <w:r w:rsidRPr="005D3F76">
        <w:rPr>
          <w:rFonts w:cs="Times New Roman"/>
          <w:szCs w:val="24"/>
        </w:rPr>
        <w:t xml:space="preserve">. The theory is that the bigger the audience for any particular media outlet, the more interest the state and other non-governmental agencies (i.e. political parties, corporatizations, etc.) have in controlling what is put into the reporting </w:t>
      </w:r>
      <w:r w:rsidRPr="005D3F76">
        <w:rPr>
          <w:rFonts w:cs="Times New Roman"/>
          <w:szCs w:val="24"/>
        </w:rPr>
        <w:fldChar w:fldCharType="begin"/>
      </w:r>
      <w:r w:rsidRPr="005D3F76">
        <w:rPr>
          <w:rFonts w:cs="Times New Roman"/>
          <w:szCs w:val="24"/>
        </w:rPr>
        <w:instrText xml:space="preserve"> ADDIN EN.CITE &lt;EndNote&gt;&lt;Cite&gt;&lt;Author&gt;Cook&lt;/Author&gt;&lt;Year&gt;1998&lt;/Year&gt;&lt;RecNum&gt;204&lt;/RecNum&gt;&lt;DisplayText&gt;(Cook, 1998)&lt;/DisplayText&gt;&lt;record&gt;&lt;rec-number&gt;204&lt;/rec-number&gt;&lt;foreign-keys&gt;&lt;key app="EN" db-id="etwareaz8xpxz3et59b50d9vxrata9z2w2zt" timestamp="1459354799"&gt;204&lt;/key&gt;&lt;/foreign-keys&gt;&lt;ref-type name="Book"&gt;6&lt;/ref-type&gt;&lt;contributors&gt;&lt;authors&gt;&lt;author&gt;Timothy E. Cook&lt;/author&gt;&lt;/authors&gt;&lt;/contributors&gt;&lt;titles&gt;&lt;title&gt;Governing with the News&lt;/title&gt;&lt;/titles&gt;&lt;dates&gt;&lt;year&gt;1998&lt;/year&gt;&lt;/dates&gt;&lt;pub-location&gt;Chicago &amp;amp; London&lt;/pub-location&gt;&lt;publisher&gt;The University of Chicago Press&lt;/publisher&gt;&lt;urls&gt;&lt;/urls&gt;&lt;/record&gt;&lt;/Cite&gt;&lt;/EndNote&gt;</w:instrText>
      </w:r>
      <w:r w:rsidRPr="005D3F76">
        <w:rPr>
          <w:rFonts w:cs="Times New Roman"/>
          <w:szCs w:val="24"/>
        </w:rPr>
        <w:fldChar w:fldCharType="separate"/>
      </w:r>
      <w:r w:rsidRPr="005D3F76">
        <w:rPr>
          <w:rFonts w:cs="Times New Roman"/>
          <w:noProof/>
          <w:szCs w:val="24"/>
        </w:rPr>
        <w:t>(Cook, 1998)</w:t>
      </w:r>
      <w:r w:rsidRPr="005D3F76">
        <w:rPr>
          <w:rFonts w:cs="Times New Roman"/>
          <w:szCs w:val="24"/>
        </w:rPr>
        <w:fldChar w:fldCharType="end"/>
      </w:r>
      <w:r w:rsidRPr="005D3F76">
        <w:rPr>
          <w:rFonts w:cs="Times New Roman"/>
          <w:szCs w:val="24"/>
        </w:rPr>
        <w:t xml:space="preserve">. However, even without the understanding that the other entities might somehow be involved within the media’s reporting, producers within the various media outlets still have to “postulate and construct ‘ideal’ audience response” to what they want to disseminate to the public at large (p. 40). There is debate according to Fairclough (1995) about the connection to “manipulation, cultural domination and imperialism and ideology” (p. 40). </w:t>
      </w:r>
    </w:p>
    <w:p w14:paraId="17319682" w14:textId="1AB2457B" w:rsidR="00B03557" w:rsidRPr="005D3F76" w:rsidRDefault="00B03557" w:rsidP="00C56DF5">
      <w:pPr>
        <w:rPr>
          <w:rFonts w:cs="Times New Roman"/>
          <w:szCs w:val="24"/>
        </w:rPr>
      </w:pPr>
      <w:r w:rsidRPr="005D3F76">
        <w:rPr>
          <w:rFonts w:cs="Times New Roman"/>
          <w:szCs w:val="24"/>
        </w:rPr>
        <w:tab/>
        <w:t xml:space="preserve">It is important to note that there is nothing stopping ordinary citizens, the intended audiences (trade unions, inner-city housing developments, students, politicians) from creating </w:t>
      </w:r>
      <w:r w:rsidRPr="005D3F76">
        <w:rPr>
          <w:rFonts w:cs="Times New Roman"/>
          <w:szCs w:val="24"/>
        </w:rPr>
        <w:lastRenderedPageBreak/>
        <w:t xml:space="preserve">their own media and disseminating it; however, this is highly unlikely because of the cost and time involved. Media production is very much under institutional control and for those who have certain political, economic, social, and cultural power and control, the access is greatly available to them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&lt;EndNote&gt;&lt;Cite&gt;&lt;Author&gt;Fairclough&lt;/Author&gt;&lt;Year&gt;1995&lt;/Year&gt;&lt;RecNum&gt;158&lt;/RecNum&gt;&lt;DisplayText&gt;(Norman Fairclough, 1995)&lt;/DisplayText&gt;&lt;record&gt;&lt;rec-number&gt;158&lt;/rec-number&gt;&lt;foreign-keys&gt;&lt;key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w:t>
      </w:r>
      <w:r w:rsidRPr="005D3F76">
        <w:rPr>
          <w:rFonts w:cs="Times New Roman"/>
          <w:szCs w:val="24"/>
        </w:rPr>
        <w:fldChar w:fldCharType="end"/>
      </w:r>
      <w:r w:rsidRPr="005D3F76">
        <w:rPr>
          <w:rFonts w:cs="Times New Roman"/>
          <w:szCs w:val="24"/>
        </w:rPr>
        <w:t>. This represents a major power deferential within the media, lending itself to examination of issues that are reported within it.</w:t>
      </w:r>
    </w:p>
    <w:p w14:paraId="6467AAC1" w14:textId="0713681F" w:rsidR="00B03557" w:rsidRPr="005D3F76" w:rsidRDefault="00B03557" w:rsidP="00C56DF5">
      <w:pPr>
        <w:rPr>
          <w:rFonts w:cs="Times New Roman"/>
          <w:szCs w:val="24"/>
        </w:rPr>
      </w:pPr>
      <w:r w:rsidRPr="005D3F76">
        <w:rPr>
          <w:rFonts w:cs="Times New Roman"/>
          <w:szCs w:val="24"/>
        </w:rPr>
        <w:tab/>
        <w:t xml:space="preserve">Furthermore, a communicative event, which is essentially a way that individuals exchange information about events that happen around them, is  a form of social practice which is then reporting other social practices, lending ways to another communicative event, such as the case with newspaper articles </w:t>
      </w:r>
      <w:r w:rsidRPr="005D3F76">
        <w:rPr>
          <w:rFonts w:cs="Times New Roman"/>
          <w:szCs w:val="24"/>
        </w:rPr>
        <w:fldChar w:fldCharType="begin"/>
      </w:r>
      <w:r w:rsidRPr="005D3F76">
        <w:rPr>
          <w:rFonts w:cs="Times New Roman"/>
          <w:szCs w:val="24"/>
        </w:rPr>
        <w:instrText xml:space="preserve"> ADDIN EN.CITE &lt;EndNote&gt;&lt;Cite&gt;&lt;Author&gt;Fairclough&lt;/Author&gt;&lt;Year&gt;1997&lt;/Year&gt;&lt;RecNum&gt;172&lt;/RecNum&gt;&lt;DisplayText&gt;(Norman Fairclough, 1995; Norman Fairclough &amp;amp; Wodak, 1997; Fowler, 1991)&lt;/DisplayText&gt;&lt;record&gt;&lt;rec-number&gt;172&lt;/rec-number&gt;&lt;foreign-keys&gt;&lt;key app="EN" db-id="etwareaz8xpxz3et59b50d9vxrata9z2w2zt" timestamp="1457291217"&gt;172&lt;/key&gt;&lt;/foreign-keys&gt;&lt;ref-type name="Book Section"&gt;5&lt;/ref-type&gt;&lt;contributors&gt;&lt;authors&gt;&lt;author&gt;Fairclough, Norman&lt;/author&gt;&lt;author&gt;Wodak, Ruth&lt;/author&gt;&lt;/authors&gt;&lt;secondary-authors&gt;&lt;author&gt;van Dijk, Teun&lt;/author&gt;&lt;/secondary-authors&gt;&lt;/contributors&gt;&lt;titles&gt;&lt;title&gt;Critical Discourse Analysis&lt;/title&gt;&lt;secondary-title&gt;Discourse as Social Interaction&lt;/secondary-title&gt;&lt;/titles&gt;&lt;pages&gt;258-285&lt;/pages&gt;&lt;dates&gt;&lt;year&gt;1997&lt;/year&gt;&lt;/dates&gt;&lt;pub-location&gt;London&lt;/pub-location&gt;&lt;publisher&gt;Sage&lt;/publisher&gt;&lt;urls&gt;&lt;/urls&gt;&lt;/record&gt;&lt;/Cite&gt;&lt;Cite&gt;&lt;Author&gt;Fairclough&lt;/Author&gt;&lt;Year&gt;1995&lt;/Year&gt;&lt;RecNum&gt;158&lt;/RecNum&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Inc&lt;/publisher&gt;&lt;urls&gt;&lt;/urls&gt;&lt;/record&gt;&lt;/Cite&gt;&lt;Cite&gt;&lt;Author&gt;Fowler&lt;/Author&gt;&lt;Year&gt;1991&lt;/Year&gt;&lt;RecNum&gt;194&lt;/RecNum&gt;&lt;record&gt;&lt;rec-number&gt;194&lt;/rec-number&gt;&lt;foreign-keys&gt;&lt;key app="EN" db-id="etwareaz8xpxz3et59b50d9vxrata9z2w2zt" timestamp="1458673362"&gt;194&lt;/key&gt;&lt;/foreign-keys&gt;&lt;ref-type name="Book"&gt;6&lt;/ref-type&gt;&lt;contributors&gt;&lt;authors&gt;&lt;author&gt;R. Fowler&lt;/author&gt;&lt;/authors&gt;&lt;/contributors&gt;&lt;titles&gt;&lt;title&gt;Language in the News Discourse and Ideology in the Press&lt;/title&gt;&lt;/titles&gt;&lt;dates&gt;&lt;year&gt;1991&lt;/year&gt;&lt;/dates&gt;&lt;pub-location&gt;London&lt;/pub-location&gt;&lt;publisher&gt;Routledge and Kegan Paul&lt;/publisher&gt;&lt;urls&gt;&lt;/urls&gt;&lt;/record&gt;&lt;/Cite&gt;&lt;/EndNote&gt;</w:instrText>
      </w:r>
      <w:r w:rsidRPr="005D3F76">
        <w:rPr>
          <w:rFonts w:cs="Times New Roman"/>
          <w:szCs w:val="24"/>
        </w:rPr>
        <w:fldChar w:fldCharType="separate"/>
      </w:r>
      <w:r w:rsidRPr="005D3F76">
        <w:rPr>
          <w:rFonts w:cs="Times New Roman"/>
          <w:noProof/>
          <w:szCs w:val="24"/>
        </w:rPr>
        <w:t>(Norman Fairclough, 1995; Norman Fairclough &amp; Wodak, 1997; Fowler, 1991)</w:t>
      </w:r>
      <w:r w:rsidRPr="005D3F76">
        <w:rPr>
          <w:rFonts w:cs="Times New Roman"/>
          <w:szCs w:val="24"/>
        </w:rPr>
        <w:fldChar w:fldCharType="end"/>
      </w:r>
      <w:r w:rsidRPr="005D3F76">
        <w:rPr>
          <w:rFonts w:cs="Times New Roman"/>
          <w:szCs w:val="24"/>
        </w:rPr>
        <w:t xml:space="preserve">. One can then question which communicative events get to be represented and presented to the public at large, and what impact their social practices have on their audiences. Those who study the media and CDA contend that </w:t>
      </w:r>
    </w:p>
    <w:p w14:paraId="780E8A6C" w14:textId="49765439" w:rsidR="00B03557" w:rsidRPr="005D3F76" w:rsidRDefault="00B03557" w:rsidP="00C56DF5">
      <w:pPr>
        <w:ind w:left="720"/>
        <w:rPr>
          <w:rFonts w:cs="Times New Roman"/>
          <w:szCs w:val="24"/>
        </w:rPr>
      </w:pPr>
      <w:r w:rsidRPr="005D3F76">
        <w:rPr>
          <w:rFonts w:cs="Times New Roman"/>
          <w:szCs w:val="24"/>
        </w:rPr>
        <w:t xml:space="preserve">communicative events and social practices are recontextualized differently depending upon the goals, values and priorities of communication in which they are recontextualized. This raises questions of truth, bias and manipulation which have been a major preoccupation [et. al] in the media…such differences of representation can be specified in terms of the use of different ‘discourses’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&lt;EndNote&gt;&lt;Cite&gt;&lt;Author&gt;Fairclough&lt;/Author&gt;&lt;Year&gt;1995&lt;/Year&gt;&lt;RecNum&gt;158&lt;/RecNum&gt;&lt;Pages&gt;41&lt;/Pages&gt;&lt;DisplayText&gt;(Norman Fairclough, 1995, p. 41)&lt;/DisplayText&gt;&lt;record&gt;&lt;rec-number&gt;158&lt;/rec-number&gt;&lt;foreign-keys&gt;&lt;key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 p. 41)</w:t>
      </w:r>
      <w:r w:rsidRPr="005D3F76">
        <w:rPr>
          <w:rFonts w:cs="Times New Roman"/>
          <w:szCs w:val="24"/>
        </w:rPr>
        <w:fldChar w:fldCharType="end"/>
      </w:r>
      <w:r w:rsidRPr="005D3F76">
        <w:rPr>
          <w:rFonts w:cs="Times New Roman"/>
          <w:szCs w:val="24"/>
        </w:rPr>
        <w:t xml:space="preserve">. </w:t>
      </w:r>
    </w:p>
    <w:p w14:paraId="60E1490B" w14:textId="77777777" w:rsidR="00B03557" w:rsidRPr="005D3F76" w:rsidRDefault="00B03557" w:rsidP="00C56DF5">
      <w:pPr>
        <w:rPr>
          <w:rFonts w:cs="Times New Roman"/>
          <w:szCs w:val="24"/>
        </w:rPr>
      </w:pPr>
      <w:r w:rsidRPr="005D3F76">
        <w:rPr>
          <w:rFonts w:cs="Times New Roman"/>
          <w:szCs w:val="24"/>
        </w:rPr>
        <w:t>Accordingly, even the most innocuous seemingly neutral endeavors, such as newspapers claim to report just the ‘facts’ of any given social situation, seem to be subject to highly elaborate economic and political pressures, as well as cultural ones.</w:t>
      </w:r>
    </w:p>
    <w:p w14:paraId="3DBC15EB" w14:textId="651B474F" w:rsidR="00B03557" w:rsidRPr="005D3F76" w:rsidRDefault="00B03557" w:rsidP="00C56DF5">
      <w:pPr>
        <w:rPr>
          <w:rFonts w:cs="Times New Roman"/>
          <w:szCs w:val="24"/>
        </w:rPr>
      </w:pPr>
      <w:r w:rsidRPr="005D3F76">
        <w:rPr>
          <w:rFonts w:cs="Times New Roman"/>
          <w:szCs w:val="24"/>
        </w:rPr>
        <w:tab/>
        <w:t xml:space="preserve">The economics of the media are also an important aspect to delve into. Media outlets are profit-making organizations that are selling their ‘product’ to their audiences and advertisers alike. Even organizations that are ‘publicly’ funded, such as the Public Broadcasting System </w:t>
      </w:r>
      <w:r w:rsidRPr="005D3F76">
        <w:rPr>
          <w:rFonts w:cs="Times New Roman"/>
          <w:szCs w:val="24"/>
        </w:rPr>
        <w:lastRenderedPageBreak/>
        <w:t xml:space="preserve">(PBS) or the British Broadcasting Channel (BBC), have to ‘sell’ themselves through their viewership to both advertisers and the government agencies that they answer respectively to for continued funding </w:t>
      </w:r>
      <w:r w:rsidRPr="005D3F76">
        <w:rPr>
          <w:rFonts w:cs="Times New Roman"/>
          <w:szCs w:val="24"/>
        </w:rPr>
        <w:fldChar w:fldCharType="begin"/>
      </w:r>
      <w:r w:rsidRPr="005D3F76">
        <w:rPr>
          <w:rFonts w:cs="Times New Roman"/>
          <w:szCs w:val="24"/>
        </w:rPr>
        <w:instrText xml:space="preserve"> ADDIN EN.CITE &lt;EndNote&gt;&lt;Cite&gt;&lt;Author&gt;Robbins&lt;/Author&gt;&lt;Year&gt;2013&lt;/Year&gt;&lt;RecNum&gt;203&lt;/RecNum&gt;&lt;DisplayText&gt;(Robbins, 2013)&lt;/DisplayText&gt;&lt;record&gt;&lt;rec-number&gt;203&lt;/rec-number&gt;&lt;foreign-keys&gt;&lt;key app="EN" db-id="etwareaz8xpxz3et59b50d9vxrata9z2w2zt" timestamp="1459354133"&gt;203&lt;/key&gt;&lt;/foreign-keys&gt;&lt;ref-type name="Web Page"&gt;12&lt;/ref-type&gt;&lt;contributors&gt;&lt;authors&gt;&lt;author&gt;Christopher Robbins&lt;/author&gt;&lt;/authors&gt;&lt;/contributors&gt;&lt;titles&gt;&lt;title&gt;How Billionaire David Koch Gets PBS to Dance, Monkey Dance&lt;/title&gt;&lt;/titles&gt;&lt;volume&gt;2016&lt;/volume&gt;&lt;number&gt;March&lt;/number&gt;&lt;dates&gt;&lt;year&gt;2013&lt;/year&gt;&lt;/dates&gt;&lt;publisher&gt;Gothamist&lt;/publisher&gt;&lt;urls&gt;&lt;related-urls&gt;&lt;url&gt;http://gothamist.com/2013/05/20/how_billionaire_david_koch_gets_pbs.php&lt;/url&gt;&lt;/related-urls&gt;&lt;/urls&gt;&lt;/record&gt;&lt;/Cite&gt;&lt;/EndNote&gt;</w:instrText>
      </w:r>
      <w:r w:rsidRPr="005D3F76">
        <w:rPr>
          <w:rFonts w:cs="Times New Roman"/>
          <w:szCs w:val="24"/>
        </w:rPr>
        <w:fldChar w:fldCharType="separate"/>
      </w:r>
      <w:r w:rsidRPr="005D3F76">
        <w:rPr>
          <w:rFonts w:cs="Times New Roman"/>
          <w:noProof/>
          <w:szCs w:val="24"/>
        </w:rPr>
        <w:t>(Robbins, 2013)</w:t>
      </w:r>
      <w:r w:rsidRPr="005D3F76">
        <w:rPr>
          <w:rFonts w:cs="Times New Roman"/>
          <w:szCs w:val="24"/>
        </w:rPr>
        <w:fldChar w:fldCharType="end"/>
      </w:r>
      <w:r w:rsidRPr="005D3F76">
        <w:rPr>
          <w:rFonts w:cs="Times New Roman"/>
          <w:szCs w:val="24"/>
        </w:rPr>
        <w:t>. According to Fairclough (1995), textual media are “cultural commodities,” produced in a certain culture, for a certain audience (p. 43). These texts are made for profit with all the effects that particularities like commercialization causes and that the market bears on them. This emphasis on the market makes the stories found in the media more about entertainment than having an emphasis on real information or educational knowledge.</w:t>
      </w:r>
    </w:p>
    <w:p w14:paraId="73A1B9ED" w14:textId="0D4EADE9" w:rsidR="00B03557" w:rsidRPr="005D3F76" w:rsidRDefault="00B03557" w:rsidP="00C56DF5">
      <w:pPr>
        <w:ind w:firstLine="720"/>
        <w:rPr>
          <w:rFonts w:cs="Times New Roman"/>
          <w:szCs w:val="24"/>
        </w:rPr>
      </w:pPr>
      <w:r w:rsidRPr="005D3F76">
        <w:rPr>
          <w:rFonts w:cs="Times New Roman"/>
          <w:szCs w:val="24"/>
        </w:rPr>
        <w:t xml:space="preserve">In this way, the media is responding correspondingly to the pull of neoliberalism within U.S. society, instead of simply presenting a factual, largely un-biased as possible representation of events that are taking place. This overarching, neoliberal pull affects both content and communicative style in what is presented within the discourse </w:t>
      </w:r>
      <w:r w:rsidRPr="005D3F76">
        <w:rPr>
          <w:rFonts w:cs="Times New Roman"/>
          <w:szCs w:val="24"/>
        </w:rPr>
        <w:fldChar w:fldCharType="begin"/>
      </w:r>
      <w:r w:rsidRPr="005D3F76">
        <w:rPr>
          <w:rFonts w:cs="Times New Roman"/>
          <w:szCs w:val="24"/>
        </w:rPr>
        <w:instrText xml:space="preserve"> ADDIN EN.CITE &lt;EndNote&gt;&lt;Cite&gt;&lt;Author&gt;Hesmondhalgh&lt;/Author&gt;&lt;Year&gt;2006&lt;/Year&gt;&lt;RecNum&gt;211&lt;/RecNum&gt;&lt;DisplayText&gt;(Hesmondhalgh, 2006)&lt;/DisplayText&gt;&lt;record&gt;&lt;rec-number&gt;211&lt;/rec-number&gt;&lt;foreign-keys&gt;&lt;key app="EN" db-id="etwareaz8xpxz3et59b50d9vxrata9z2w2zt" timestamp="1459473554"&gt;211&lt;/key&gt;&lt;/foreign-keys&gt;&lt;ref-type name="Journal Article"&gt;17&lt;/ref-type&gt;&lt;contributors&gt;&lt;authors&gt;&lt;author&gt;David Hesmondhalgh&lt;/author&gt;&lt;/authors&gt;&lt;/contributors&gt;&lt;titles&gt;&lt;title&gt;Bourdieu, Media, Culture &amp;amp; Society&lt;/title&gt;&lt;secondary-title&gt;Media Culture Society&lt;/secondary-title&gt;&lt;/titles&gt;&lt;periodical&gt;&lt;full-title&gt;Media Culture Society&lt;/full-title&gt;&lt;/periodical&gt;&lt;pages&gt;211-231&lt;/pages&gt;&lt;volume&gt;28&lt;/volume&gt;&lt;number&gt;211&lt;/number&gt;&lt;dates&gt;&lt;year&gt;2006&lt;/year&gt;&lt;/dates&gt;&lt;urls&gt;&lt;/urls&gt;&lt;/record&gt;&lt;/Cite&gt;&lt;/EndNote&gt;</w:instrText>
      </w:r>
      <w:r w:rsidRPr="005D3F76">
        <w:rPr>
          <w:rFonts w:cs="Times New Roman"/>
          <w:szCs w:val="24"/>
        </w:rPr>
        <w:fldChar w:fldCharType="separate"/>
      </w:r>
      <w:r w:rsidRPr="005D3F76">
        <w:rPr>
          <w:rFonts w:cs="Times New Roman"/>
          <w:noProof/>
          <w:szCs w:val="24"/>
        </w:rPr>
        <w:t>(Hesmondhalgh, 2006)</w:t>
      </w:r>
      <w:r w:rsidRPr="005D3F76">
        <w:rPr>
          <w:rFonts w:cs="Times New Roman"/>
          <w:szCs w:val="24"/>
        </w:rPr>
        <w:fldChar w:fldCharType="end"/>
      </w:r>
      <w:r w:rsidRPr="005D3F76">
        <w:rPr>
          <w:rFonts w:cs="Times New Roman"/>
          <w:szCs w:val="24"/>
        </w:rPr>
        <w:t xml:space="preserve">. However, to seemingly combat these more neoliberalistic undertones within the media, what is presented to society seems to go against the ideals under such a corporatist structure, being more personal and intimate in nature. Stories are seemingly framed by the media to help the audience understand the ‘facts’ that are being presented about what is taking place at that given point in time. However, Adam Simon and Michael Xenos </w:t>
      </w:r>
      <w:r w:rsidRPr="005D3F76">
        <w:rPr>
          <w:rFonts w:cs="Times New Roman"/>
          <w:szCs w:val="24"/>
        </w:rPr>
        <w:fldChar w:fldCharType="begin"/>
      </w:r>
      <w:r w:rsidRPr="005D3F76">
        <w:rPr>
          <w:rFonts w:cs="Times New Roman"/>
          <w:szCs w:val="24"/>
        </w:rPr>
        <w:instrText xml:space="preserve"> ADDIN EN.CITE &lt;EndNote&gt;&lt;Cite ExcludeAuth="1"&gt;&lt;Author&gt;Simon&lt;/Author&gt;&lt;Year&gt;2000&lt;/Year&gt;&lt;RecNum&gt;153&lt;/RecNum&gt;&lt;DisplayText&gt;(2000)&lt;/DisplayText&gt;&lt;record&gt;&lt;rec-number&gt;153&lt;/rec-number&gt;&lt;foreign-keys&gt;&lt;key app="EN" db-id="etwareaz8xpxz3et59b50d9vxrata9z2w2zt" timestamp="1456252890"&gt;153&lt;/key&gt;&lt;/foreign-keys&gt;&lt;ref-type name="Journal Article"&gt;17&lt;/ref-type&gt;&lt;contributors&gt;&lt;authors&gt;&lt;author&gt;Adam Simon&lt;/author&gt;&lt;author&gt;Michael Xenos&lt;/author&gt;&lt;/authors&gt;&lt;/contributors&gt;&lt;titles&gt;&lt;title&gt;Media Framing and Effective Public Deliberation&lt;/title&gt;&lt;secondary-title&gt;Political Communication&lt;/secondary-title&gt;&lt;/titles&gt;&lt;periodical&gt;&lt;full-title&gt;Political Communication&lt;/full-title&gt;&lt;/periodical&gt;&lt;pages&gt;363-378&lt;/pages&gt;&lt;volume&gt;17&lt;/volume&gt;&lt;number&gt;4&lt;/number&gt;&lt;dates&gt;&lt;year&gt;2000&lt;/year&gt;&lt;/dates&gt;&lt;urls&gt;&lt;/urls&gt;&lt;/record&gt;&lt;/Cite&gt;&lt;/EndNote&gt;</w:instrText>
      </w:r>
      <w:r w:rsidRPr="005D3F76">
        <w:rPr>
          <w:rFonts w:cs="Times New Roman"/>
          <w:szCs w:val="24"/>
        </w:rPr>
        <w:fldChar w:fldCharType="separate"/>
      </w:r>
      <w:r w:rsidRPr="005D3F76">
        <w:rPr>
          <w:rFonts w:cs="Times New Roman"/>
          <w:noProof/>
          <w:szCs w:val="24"/>
        </w:rPr>
        <w:t>(2000)</w:t>
      </w:r>
      <w:r w:rsidRPr="005D3F76">
        <w:rPr>
          <w:rFonts w:cs="Times New Roman"/>
          <w:szCs w:val="24"/>
        </w:rPr>
        <w:fldChar w:fldCharType="end"/>
      </w:r>
      <w:r w:rsidRPr="005D3F76">
        <w:rPr>
          <w:rFonts w:cs="Times New Roman"/>
          <w:szCs w:val="24"/>
        </w:rPr>
        <w:t xml:space="preserve"> contend that framing, whether it be episodic or thematic, tends to be “an ever-present discursive device that channels the audience as it constructs the meaning of particular communicative acts,” thus allowing this secondary reason for consenting some stories to be run while leaving others out (p. 368).</w:t>
      </w:r>
    </w:p>
    <w:p w14:paraId="1D6B3526" w14:textId="4F764C8F" w:rsidR="00B03557" w:rsidRPr="005D3F76" w:rsidRDefault="00B03557" w:rsidP="00631054">
      <w:pPr>
        <w:ind w:firstLine="720"/>
        <w:rPr>
          <w:rFonts w:cs="Times New Roman"/>
          <w:szCs w:val="24"/>
        </w:rPr>
      </w:pPr>
      <w:r w:rsidRPr="005D3F76">
        <w:rPr>
          <w:rFonts w:cs="Times New Roman"/>
          <w:szCs w:val="24"/>
        </w:rPr>
        <w:t xml:space="preserve">Patterns of ownership of the media outlets are also important to understand when dealing with researching the media. Over the years large conglomerates, many whom are owned by individuals or corporations that have specific political goals, have become more increasingly involved with the cultural industry </w:t>
      </w:r>
      <w:r w:rsidRPr="005D3F76">
        <w:rPr>
          <w:rFonts w:cs="Times New Roman"/>
          <w:szCs w:val="24"/>
        </w:rPr>
        <w:fldChar w:fldCharType="begin"/>
      </w:r>
      <w:r w:rsidRPr="005D3F76">
        <w:rPr>
          <w:rFonts w:cs="Times New Roman"/>
          <w:szCs w:val="24"/>
        </w:rPr>
        <w:instrText xml:space="preserve"> ADDIN EN.CITE &lt;EndNote&gt;&lt;Cite&gt;&lt;Author&gt;Ringer&lt;/Author&gt;&lt;Year&gt;2009&lt;/Year&gt;&lt;RecNum&gt;206&lt;/RecNum&gt;&lt;DisplayText&gt;(Ringer, 2009)&lt;/DisplayText&gt;&lt;record&gt;&lt;rec-number&gt;206&lt;/rec-number&gt;&lt;foreign-keys&gt;&lt;key app="EN" db-id="etwareaz8xpxz3et59b50d9vxrata9z2w2zt" timestamp="1459359901"&gt;206&lt;/key&gt;&lt;/foreign-keys&gt;&lt;ref-type name="Book"&gt;6&lt;/ref-type&gt;&lt;contributors&gt;&lt;authors&gt;&lt;author&gt;Lewis S. Ringer&lt;/author&gt;&lt;/authors&gt;&lt;/contributors&gt;&lt;titles&gt;&lt;title&gt;The Lahahan Readings in Media and Politics&lt;/title&gt;&lt;/titles&gt;&lt;dates&gt;&lt;year&gt;2009&lt;/year&gt;&lt;/dates&gt;&lt;pub-location&gt;Baltimore&lt;/pub-location&gt;&lt;publisher&gt;Lanahan Publishers Inc.&lt;/publisher&gt;&lt;urls&gt;&lt;/urls&gt;&lt;/record&gt;&lt;/Cite&gt;&lt;/EndNote&gt;</w:instrText>
      </w:r>
      <w:r w:rsidRPr="005D3F76">
        <w:rPr>
          <w:rFonts w:cs="Times New Roman"/>
          <w:szCs w:val="24"/>
        </w:rPr>
        <w:fldChar w:fldCharType="separate"/>
      </w:r>
      <w:r w:rsidRPr="005D3F76">
        <w:rPr>
          <w:rFonts w:cs="Times New Roman"/>
          <w:noProof/>
          <w:szCs w:val="24"/>
        </w:rPr>
        <w:t>(Ringer, 2009)</w:t>
      </w:r>
      <w:r w:rsidRPr="005D3F76">
        <w:rPr>
          <w:rFonts w:cs="Times New Roman"/>
          <w:szCs w:val="24"/>
        </w:rPr>
        <w:fldChar w:fldCharType="end"/>
      </w:r>
      <w:r w:rsidRPr="005D3F76">
        <w:rPr>
          <w:rFonts w:cs="Times New Roman"/>
          <w:szCs w:val="24"/>
        </w:rPr>
        <w:t xml:space="preserve"> which have become more “fully integrated </w:t>
      </w:r>
      <w:r w:rsidRPr="005D3F76">
        <w:rPr>
          <w:rFonts w:cs="Times New Roman"/>
          <w:szCs w:val="24"/>
        </w:rPr>
        <w:lastRenderedPageBreak/>
        <w:t xml:space="preserve">with ownership interests in the national and international economy, intensifying their association with capitalist class interests”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&lt;EndNote&gt;&lt;Cite&gt;&lt;Author&gt;Fairclough&lt;/Author&gt;&lt;Year&gt;1995&lt;/Year&gt;&lt;RecNum&gt;158&lt;/RecNum&gt;&lt;Pages&gt;43&lt;/Pages&gt;&lt;DisplayText&gt;(Norman Fairclough, 1995, p. 43)&lt;/DisplayText&gt;&lt;record&gt;&lt;rec-number&gt;158&lt;/rec-number&gt;&lt;foreign-keys&gt;&lt;key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 p. 43)</w:t>
      </w:r>
      <w:r w:rsidRPr="005D3F76">
        <w:rPr>
          <w:rFonts w:cs="Times New Roman"/>
          <w:szCs w:val="24"/>
        </w:rPr>
        <w:fldChar w:fldCharType="end"/>
      </w:r>
      <w:r w:rsidRPr="005D3F76">
        <w:rPr>
          <w:rFonts w:cs="Times New Roman"/>
          <w:szCs w:val="24"/>
        </w:rPr>
        <w:t xml:space="preserve">. It is a way for the media companies to make sure that the most dominant voices are those from the steadfast political and social establishment that are in-line with the ownership themselves. However, it should be noted that the US government does not seemingly have concern or interest in controlling media outputs, nor using political manipulation on a large scale. Raymond Williams </w:t>
      </w:r>
      <w:r w:rsidRPr="005D3F76">
        <w:rPr>
          <w:rFonts w:cs="Times New Roman"/>
          <w:szCs w:val="24"/>
        </w:rPr>
        <w:fldChar w:fldCharType="begin"/>
      </w:r>
      <w:r w:rsidRPr="005D3F76">
        <w:rPr>
          <w:rFonts w:cs="Times New Roman"/>
          <w:szCs w:val="24"/>
        </w:rPr>
        <w:instrText xml:space="preserve"> ADDIN EN.CITE &lt;EndNote&gt;&lt;Cite ExcludeAuth="1"&gt;&lt;Author&gt;Willisams&lt;/Author&gt;&lt;Year&gt;1975&lt;/Year&gt;&lt;RecNum&gt;205&lt;/RecNum&gt;&lt;DisplayText&gt;(1975)&lt;/DisplayText&gt;&lt;record&gt;&lt;rec-number&gt;205&lt;/rec-number&gt;&lt;foreign-keys&gt;&lt;key app="EN" db-id="etwareaz8xpxz3et59b50d9vxrata9z2w2zt" timestamp="1459359558"&gt;205&lt;/key&gt;&lt;/foreign-keys&gt;&lt;ref-type name="Book"&gt;6&lt;/ref-type&gt;&lt;contributors&gt;&lt;authors&gt;&lt;author&gt;R. Willisams&lt;/author&gt;&lt;/authors&gt;&lt;/contributors&gt;&lt;titles&gt;&lt;title&gt;Television: Technology and Cultural Form&lt;/title&gt;&lt;/titles&gt;&lt;dates&gt;&lt;year&gt;1975&lt;/year&gt;&lt;/dates&gt;&lt;pub-location&gt;New York&lt;/pub-location&gt;&lt;publisher&gt;Shocken Books&lt;/publisher&gt;&lt;urls&gt;&lt;/urls&gt;&lt;/record&gt;&lt;/Cite&gt;&lt;/EndNote&gt;</w:instrText>
      </w:r>
      <w:r w:rsidRPr="005D3F76">
        <w:rPr>
          <w:rFonts w:cs="Times New Roman"/>
          <w:szCs w:val="24"/>
        </w:rPr>
        <w:fldChar w:fldCharType="separate"/>
      </w:r>
      <w:r w:rsidRPr="005D3F76">
        <w:rPr>
          <w:rFonts w:cs="Times New Roman"/>
          <w:noProof/>
          <w:szCs w:val="24"/>
        </w:rPr>
        <w:t>(1975)</w:t>
      </w:r>
      <w:r w:rsidRPr="005D3F76">
        <w:rPr>
          <w:rFonts w:cs="Times New Roman"/>
          <w:szCs w:val="24"/>
        </w:rPr>
        <w:fldChar w:fldCharType="end"/>
      </w:r>
      <w:r w:rsidRPr="005D3F76">
        <w:rPr>
          <w:rFonts w:cs="Times New Roman"/>
          <w:szCs w:val="24"/>
        </w:rPr>
        <w:t xml:space="preserve"> indicated in a piece about the global domination of the media that it has become essentially a way for advertising that is based on the standards of a capitalist society where goods buying and selling are a way of life. The culture that was once found within the local, has been subsumed by capitalist attentions and authorities, and is now systematized by internationally controlling powers.  According to many researchers, this ethos is found within the discourse that is mass produced and disseminated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&lt;EndNote&gt;&lt;Cite&gt;&lt;Author&gt;Fairclough&lt;/Author&gt;&lt;Year&gt;1995&lt;/Year&gt;&lt;RecNum&gt;158&lt;/RecNum&gt;&lt;DisplayText&gt;(Norman Fairclough, 1995)&lt;/DisplayText&gt;&lt;record&gt;&lt;rec-number&gt;158&lt;/rec-number&gt;&lt;foreign-keys&gt;&lt;key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w:t>
      </w:r>
      <w:r w:rsidRPr="005D3F76">
        <w:rPr>
          <w:rFonts w:cs="Times New Roman"/>
          <w:szCs w:val="24"/>
        </w:rPr>
        <w:fldChar w:fldCharType="end"/>
      </w:r>
      <w:r w:rsidRPr="005D3F76">
        <w:rPr>
          <w:rFonts w:cs="Times New Roman"/>
          <w:szCs w:val="24"/>
        </w:rPr>
        <w:t xml:space="preserve">.  </w:t>
      </w:r>
    </w:p>
    <w:p w14:paraId="62F9F215" w14:textId="1D70BEE6" w:rsidR="00B03557" w:rsidRPr="005D3F76" w:rsidRDefault="00B03557" w:rsidP="00BD39BD">
      <w:pPr>
        <w:ind w:firstLine="720"/>
        <w:rPr>
          <w:rFonts w:cs="Times New Roman"/>
          <w:szCs w:val="24"/>
        </w:rPr>
      </w:pPr>
      <w:r w:rsidRPr="005D3F76">
        <w:rPr>
          <w:rFonts w:cs="Times New Roman"/>
          <w:szCs w:val="24"/>
        </w:rPr>
        <w:t xml:space="preserve">Although at one time the media was a place that rational debate and discussion of issues pertaining to subjects of society, such as public sector unions could occur, scholars like Habermas </w:t>
      </w:r>
      <w:r w:rsidRPr="005D3F76">
        <w:rPr>
          <w:rFonts w:cs="Times New Roman"/>
          <w:szCs w:val="24"/>
        </w:rPr>
        <w:fldChar w:fldCharType="begin"/>
      </w:r>
      <w:r w:rsidRPr="005D3F76">
        <w:rPr>
          <w:rFonts w:cs="Times New Roman"/>
          <w:szCs w:val="24"/>
        </w:rPr>
        <w:instrText xml:space="preserve"> ADDIN EN.CITE &lt;EndNote&gt;&lt;Cite ExcludeAuth="1"&gt;&lt;Author&gt;Habermas&lt;/Author&gt;&lt;Year&gt;1984&lt;/Year&gt;&lt;RecNum&gt;207&lt;/RecNum&gt;&lt;DisplayText&gt;(1984)&lt;/DisplayText&gt;&lt;record&gt;&lt;rec-number&gt;207&lt;/rec-number&gt;&lt;foreign-keys&gt;&lt;key app="EN" db-id="etwareaz8xpxz3et59b50d9vxrata9z2w2zt" timestamp="1459362819"&gt;207&lt;/key&gt;&lt;/foreign-keys&gt;&lt;ref-type name="Book"&gt;6&lt;/ref-type&gt;&lt;contributors&gt;&lt;authors&gt;&lt;author&gt;Jergen Habermas&lt;/author&gt;&lt;/authors&gt;&lt;subsidiary-authors&gt;&lt;author&gt;Heinemann T. McCarthy&lt;/author&gt;&lt;/subsidiary-authors&gt;&lt;/contributors&gt;&lt;titles&gt;&lt;title&gt;Theory of Communicative Action&lt;/title&gt;&lt;/titles&gt;&lt;volume&gt;1&lt;/volume&gt;&lt;dates&gt;&lt;year&gt;1984&lt;/year&gt;&lt;/dates&gt;&lt;publisher&gt;Polity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(1984)</w:t>
      </w:r>
      <w:r w:rsidRPr="005D3F76">
        <w:rPr>
          <w:rFonts w:cs="Times New Roman"/>
          <w:szCs w:val="24"/>
        </w:rPr>
        <w:fldChar w:fldCharType="end"/>
      </w:r>
      <w:r w:rsidRPr="005D3F76">
        <w:rPr>
          <w:rFonts w:cs="Times New Roman"/>
          <w:szCs w:val="24"/>
        </w:rPr>
        <w:t xml:space="preserve"> contend that the commercialization and extreme privatization of the media has led to an inevitable demise of the greater public good once cast by reputable media sources. Although it is not my intention in this work to challenge the perceptions of the media outlets as good or bad in their coverage, it is my intention to give the whole account of their leanings concerning what might be going on regarding the research that follows on teacher unions. </w:t>
      </w:r>
    </w:p>
    <w:p w14:paraId="29C90B6A" w14:textId="066A0175" w:rsidR="00B03557" w:rsidRPr="005D3F76" w:rsidRDefault="00B03557" w:rsidP="00C56DF5">
      <w:pPr>
        <w:ind w:firstLine="720"/>
        <w:rPr>
          <w:rFonts w:cs="Times New Roman"/>
          <w:szCs w:val="24"/>
        </w:rPr>
      </w:pPr>
      <w:r w:rsidRPr="005D3F76">
        <w:rPr>
          <w:rFonts w:cs="Times New Roman"/>
          <w:szCs w:val="24"/>
        </w:rPr>
        <w:t xml:space="preserve">However, understanding the background and preoccupations that the media exhibits in U.S. society today, allows one to begin to understand the media’s attempts at orienting their coverage toward the ideological (the way they want their ‘causes’ to be viewed and interpreted). In particular, “representations in media texts may be said to function ideologically in so far as </w:t>
      </w:r>
      <w:r w:rsidRPr="005D3F76">
        <w:rPr>
          <w:rFonts w:cs="Times New Roman"/>
          <w:szCs w:val="24"/>
        </w:rPr>
        <w:lastRenderedPageBreak/>
        <w:t xml:space="preserve">they contribute to reproducing social relations of domination and exploitation”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&lt;EndNote&gt;&lt;Cite&gt;&lt;Author&gt;Fairclough&lt;/Author&gt;&lt;Year&gt;1995&lt;/Year&gt;&lt;RecNum&gt;158&lt;/RecNum&gt;&lt;Pages&gt;44&lt;/Pages&gt;&lt;DisplayText&gt;(Norman Fairclough, 1995, p. 44)&lt;/DisplayText&gt;&lt;record&gt;&lt;rec-number&gt;158&lt;/rec-number&gt;&lt;foreign-keys&gt;&lt;key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 p. 44)</w:t>
      </w:r>
      <w:r w:rsidRPr="005D3F76">
        <w:rPr>
          <w:rFonts w:cs="Times New Roman"/>
          <w:szCs w:val="24"/>
        </w:rPr>
        <w:fldChar w:fldCharType="end"/>
      </w:r>
      <w:r w:rsidRPr="005D3F76">
        <w:rPr>
          <w:rFonts w:cs="Times New Roman"/>
          <w:szCs w:val="24"/>
        </w:rPr>
        <w:t>. Discourses in the media tend to be a ‘naturalized’ and seem ‘commonsensical’ to their intended audiences, when in fact they are filled with presuppositions that lend weight to the desired ideological outcome for those who dominate the sources. This is something that CDA research can contribute to our understanding. As a side note, persuasive argumentation can be differentiated from ideological aspects of discourse by careful research review and analysis of presented information.</w:t>
      </w:r>
    </w:p>
    <w:p w14:paraId="20C797AF" w14:textId="7140CD9E" w:rsidR="00B03557" w:rsidRPr="005D3F76" w:rsidRDefault="00B03557" w:rsidP="00C56DF5">
      <w:pPr>
        <w:ind w:firstLine="720"/>
        <w:rPr>
          <w:rFonts w:cs="Times New Roman"/>
          <w:szCs w:val="24"/>
        </w:rPr>
      </w:pPr>
      <w:r w:rsidRPr="005D3F76">
        <w:rPr>
          <w:rFonts w:cs="Times New Roman"/>
          <w:szCs w:val="24"/>
        </w:rPr>
        <w:t xml:space="preserve">Therefore, the notion of ideology “often implies distortion, ‘false consciousness,’ manipulation of the truth in the pursuit of particular interests”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&lt;EndNote&gt;&lt;Cite&gt;&lt;Author&gt;Fairclough&lt;/Author&gt;&lt;Year&gt;1995&lt;/Year&gt;&lt;RecNum&gt;158&lt;/RecNum&gt;&lt;Pages&gt;46&lt;/Pages&gt;&lt;DisplayText&gt;(Norman Fairclough, 1995, p. 46)&lt;/DisplayText&gt;&lt;record&gt;&lt;rec-number&gt;158&lt;/rec-number&gt;&lt;foreign-keys&gt;&lt;key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 p. 46)</w:t>
      </w:r>
      <w:r w:rsidRPr="005D3F76">
        <w:rPr>
          <w:rFonts w:cs="Times New Roman"/>
          <w:szCs w:val="24"/>
        </w:rPr>
        <w:fldChar w:fldCharType="end"/>
      </w:r>
      <w:r w:rsidRPr="005D3F76">
        <w:rPr>
          <w:rFonts w:cs="Times New Roman"/>
          <w:szCs w:val="24"/>
        </w:rPr>
        <w:t>.  “Truth” as what the media represents may in fact be only one set of ideas that represent a particular set of values, ideas, etc. The “truth” in that sense than, is always up for argument and debate, sometimes a fruitless endeavor that ends up in ideological circles itself. However</w:t>
      </w:r>
      <w:r w:rsidR="00631054" w:rsidRPr="005D3F76">
        <w:rPr>
          <w:rFonts w:cs="Times New Roman"/>
          <w:szCs w:val="24"/>
        </w:rPr>
        <w:t>,</w:t>
      </w:r>
      <w:r w:rsidRPr="005D3F76">
        <w:rPr>
          <w:rFonts w:cs="Times New Roman"/>
          <w:szCs w:val="24"/>
        </w:rPr>
        <w:t xml:space="preserve"> researchers tend to agree that the media is a site of composite and often conflicting processes that include ideological practices even if they say they are simply trying to convey ‘the facts.’ “Truth,” as the media portrays it then are the effects of the discussion of ideology in question </w:t>
      </w:r>
      <w:r w:rsidRPr="005D3F76">
        <w:rPr>
          <w:rFonts w:cs="Times New Roman"/>
          <w:szCs w:val="24"/>
        </w:rPr>
        <w:fldChar w:fldCharType="begin"/>
      </w:r>
      <w:r w:rsidRPr="005D3F76">
        <w:rPr>
          <w:rFonts w:cs="Times New Roman"/>
          <w:szCs w:val="24"/>
        </w:rPr>
        <w:instrText xml:space="preserve"> ADDIN EN.CITE &lt;EndNote&gt;&lt;Cite&gt;&lt;Author&gt;O&amp;apos;Farrell&lt;/Author&gt;&lt;Year&gt;2007&lt;/Year&gt;&lt;RecNum&gt;209&lt;/RecNum&gt;&lt;DisplayText&gt;(O&amp;apos;Farrell, 2007)&lt;/DisplayText&gt;&lt;record&gt;&lt;rec-number&gt;209&lt;/rec-number&gt;&lt;foreign-keys&gt;&lt;key app="EN" db-id="etwareaz8xpxz3et59b50d9vxrata9z2w2zt" timestamp="1459469659"&gt;209&lt;/key&gt;&lt;/foreign-keys&gt;&lt;ref-type name="Web Page"&gt;12&lt;/ref-type&gt;&lt;contributors&gt;&lt;authors&gt;&lt;author&gt;Clare O&amp;apos;Farrell&lt;/author&gt;&lt;/authors&gt;&lt;/contributors&gt;&lt;titles&gt;&lt;title&gt;Michel Foucault Key Concepts&lt;/title&gt;&lt;/titles&gt;&lt;volume&gt;2016&lt;/volume&gt;&lt;number&gt;March&lt;/number&gt;&lt;dates&gt;&lt;year&gt;2007&lt;/year&gt;&lt;/dates&gt;&lt;urls&gt;&lt;related-urls&gt;&lt;url&gt;http://www.michel-foucault.com/concepts/index.html#pk&lt;/url&gt;&lt;/related-urls&gt;&lt;/urls&gt;&lt;/record&gt;&lt;/Cite&gt;&lt;/EndNote&gt;</w:instrText>
      </w:r>
      <w:r w:rsidRPr="005D3F76">
        <w:rPr>
          <w:rFonts w:cs="Times New Roman"/>
          <w:szCs w:val="24"/>
        </w:rPr>
        <w:fldChar w:fldCharType="separate"/>
      </w:r>
      <w:r w:rsidRPr="005D3F76">
        <w:rPr>
          <w:rFonts w:cs="Times New Roman"/>
          <w:noProof/>
          <w:szCs w:val="24"/>
        </w:rPr>
        <w:t>(O'Farrell, 2007)</w:t>
      </w:r>
      <w:r w:rsidRPr="005D3F76">
        <w:rPr>
          <w:rFonts w:cs="Times New Roman"/>
          <w:szCs w:val="24"/>
        </w:rPr>
        <w:fldChar w:fldCharType="end"/>
      </w:r>
      <w:r w:rsidRPr="005D3F76">
        <w:rPr>
          <w:rFonts w:cs="Times New Roman"/>
          <w:szCs w:val="24"/>
        </w:rPr>
        <w:t xml:space="preserve">. </w:t>
      </w:r>
    </w:p>
    <w:p w14:paraId="2412D491" w14:textId="77777777" w:rsidR="00B03557" w:rsidRPr="005D3F76" w:rsidRDefault="00B03557" w:rsidP="00C56DF5">
      <w:pPr>
        <w:ind w:firstLine="720"/>
        <w:rPr>
          <w:rFonts w:cs="Times New Roman"/>
          <w:szCs w:val="24"/>
        </w:rPr>
      </w:pPr>
      <w:r w:rsidRPr="005D3F76">
        <w:rPr>
          <w:rFonts w:cs="Times New Roman"/>
          <w:szCs w:val="24"/>
        </w:rPr>
        <w:t>Fairclough (1995) and Richardson (2007) tend to agree that “media texts do indeed function ideologically in social control and social reproduction: but they also operate as cultural commodities in a competitive market” (p. 47). They both further claim that although media texts may be ideological in nature they do function as both entertainment and information of cultural artifacts for a society at large. This however, should not take away from the need to understand what exactly is being done within the media itself and the information that they are thus presenting.</w:t>
      </w:r>
    </w:p>
    <w:p w14:paraId="017176CD" w14:textId="30693B8C" w:rsidR="00B03557" w:rsidRPr="005D3F76" w:rsidRDefault="00B03557" w:rsidP="00C56DF5">
      <w:pPr>
        <w:ind w:firstLine="720"/>
        <w:rPr>
          <w:rFonts w:cs="Times New Roman"/>
          <w:szCs w:val="24"/>
        </w:rPr>
      </w:pPr>
      <w:r w:rsidRPr="005D3F76">
        <w:rPr>
          <w:rFonts w:cs="Times New Roman"/>
          <w:szCs w:val="24"/>
        </w:rPr>
        <w:lastRenderedPageBreak/>
        <w:t xml:space="preserve">The argument here is that the media “shape[s] the wider society, but also play[s] a vital role in the diffusion of social and cultural changes” by exposing the public to arguments for or against those changes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&lt;EndNote&gt;&lt;Cite&gt;&lt;Author&gt;Fairclough&lt;/Author&gt;&lt;Year&gt;1995&lt;/Year&gt;&lt;RecNum&gt;158&lt;/RecNum&gt;&lt;Pages&gt;51&lt;/Pages&gt;&lt;DisplayText&gt;(Norman Fairclough, 1995, p. 51)&lt;/DisplayText&gt;&lt;record&gt;&lt;rec-number&gt;158&lt;/rec-number&gt;&lt;foreign-keys&gt;&lt;key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 p. 51)</w:t>
      </w:r>
      <w:r w:rsidRPr="005D3F76">
        <w:rPr>
          <w:rFonts w:cs="Times New Roman"/>
          <w:szCs w:val="24"/>
        </w:rPr>
        <w:fldChar w:fldCharType="end"/>
      </w:r>
      <w:r w:rsidRPr="005D3F76">
        <w:rPr>
          <w:rFonts w:cs="Times New Roman"/>
          <w:szCs w:val="24"/>
        </w:rPr>
        <w:t xml:space="preserve">.  In this sense, the media establishes a delicate gage of sociocultural change, and they should be researched because it is valuable material to research change. In this vein, it can be seen that several types of power can be held within the confines of media outlets, including newspapers. Although power can often times be viewed negatively within and outside the constraints of research and society, Foucault (2006) writes of power in the following way: </w:t>
      </w:r>
    </w:p>
    <w:p w14:paraId="78E74BD2" w14:textId="30F90FFC" w:rsidR="00B03557" w:rsidRPr="005D3F76" w:rsidRDefault="00B03557" w:rsidP="00C56DF5">
      <w:pPr>
        <w:ind w:left="720"/>
        <w:rPr>
          <w:rFonts w:cs="Times New Roman"/>
          <w:szCs w:val="24"/>
        </w:rPr>
      </w:pPr>
      <w:r w:rsidRPr="005D3F76">
        <w:rPr>
          <w:rFonts w:cs="Times New Roman"/>
          <w:szCs w:val="24"/>
        </w:rPr>
        <w:t xml:space="preserve">The omnipresence of power: not because it has the privilege of consolidating everything under its invincible unity, but because it is produced from one moment to the next, at every point, or rather in every relation from one point to another. Power is everywhere; not because it embraces everything, but because it comes from everywhere. And ‘Power,’ insofar as it is permanent, repetitious, inert, and self-reproducing, is simply the over-all effect that emerges from all these motilities, the concatenation that rests on each of them and seeks in turn to arrest their movement. One needs to be nominalistic, no doubt: power is not an institution, and not a structure, neither is it a certain strength we are endowed with; it is the name that one attributes to a complex strategical situation in a particular society </w:t>
      </w:r>
      <w:r w:rsidRPr="005D3F76">
        <w:rPr>
          <w:rFonts w:cs="Times New Roman"/>
          <w:szCs w:val="24"/>
        </w:rPr>
        <w:fldChar w:fldCharType="begin"/>
      </w:r>
      <w:r w:rsidRPr="005D3F76">
        <w:rPr>
          <w:rFonts w:cs="Times New Roman"/>
          <w:szCs w:val="24"/>
        </w:rPr>
        <w:instrText xml:space="preserve"> ADDIN EN.CITE &lt;EndNote&gt;&lt;Cite&gt;&lt;Author&gt;Foucault&lt;/Author&gt;&lt;Year&gt;2006&lt;/Year&gt;&lt;RecNum&gt;208&lt;/RecNum&gt;&lt;Pages&gt;93&lt;/Pages&gt;&lt;DisplayText&gt;(Michel Foucault, 2006, p. 93)&lt;/DisplayText&gt;&lt;record&gt;&lt;rec-number&gt;208&lt;/rec-number&gt;&lt;foreign-keys&gt;&lt;key app="EN" db-id="etwareaz8xpxz3et59b50d9vxrata9z2w2zt" timestamp="1459469547"&gt;208&lt;/key&gt;&lt;/foreign-keys&gt;&lt;ref-type name="Book"&gt;6&lt;/ref-type&gt;&lt;contributors&gt;&lt;authors&gt;&lt;author&gt;Michel Foucault&lt;/author&gt;&lt;/authors&gt;&lt;subsidiary-authors&gt;&lt;author&gt;Robert Hurley&lt;/author&gt;&lt;/subsidiary-authors&gt;&lt;/contributors&gt;&lt;titles&gt;&lt;title&gt;The History of Sexuality: The Will to Knowledge&lt;/title&gt;&lt;/titles&gt;&lt;volume&gt;1&lt;/volume&gt;&lt;dates&gt;&lt;year&gt;2006&lt;/year&gt;&lt;/dates&gt;&lt;pub-location&gt;London, UK&lt;/pub-location&gt;&lt;publisher&gt;Penguin Books Ltd&lt;/publisher&gt;&lt;urls&gt;&lt;/urls&gt;&lt;/record&gt;&lt;/Cite&gt;&lt;/EndNote&gt;</w:instrText>
      </w:r>
      <w:r w:rsidRPr="005D3F76">
        <w:rPr>
          <w:rFonts w:cs="Times New Roman"/>
          <w:szCs w:val="24"/>
        </w:rPr>
        <w:fldChar w:fldCharType="separate"/>
      </w:r>
      <w:r w:rsidRPr="005D3F76">
        <w:rPr>
          <w:rFonts w:cs="Times New Roman"/>
          <w:noProof/>
          <w:szCs w:val="24"/>
        </w:rPr>
        <w:t>(Michel Foucault, 2006, p. 93)</w:t>
      </w:r>
      <w:r w:rsidRPr="005D3F76">
        <w:rPr>
          <w:rFonts w:cs="Times New Roman"/>
          <w:szCs w:val="24"/>
        </w:rPr>
        <w:fldChar w:fldCharType="end"/>
      </w:r>
      <w:r w:rsidRPr="005D3F76">
        <w:rPr>
          <w:rFonts w:cs="Times New Roman"/>
          <w:szCs w:val="24"/>
        </w:rPr>
        <w:t>.</w:t>
      </w:r>
    </w:p>
    <w:p w14:paraId="5C549DB7" w14:textId="77777777" w:rsidR="00B03557" w:rsidRPr="005D3F76" w:rsidRDefault="00B03557" w:rsidP="00C56DF5">
      <w:pPr>
        <w:rPr>
          <w:rFonts w:cs="Times New Roman"/>
          <w:szCs w:val="24"/>
        </w:rPr>
      </w:pPr>
      <w:r w:rsidRPr="005D3F76">
        <w:rPr>
          <w:rFonts w:cs="Times New Roman"/>
          <w:szCs w:val="24"/>
        </w:rPr>
        <w:t>In this way Foucault would see the media as a part of an institution within a society that everyone knows holds a certain amount of power, and the ability to suffuse change with its discourse. The question then becomes, how much is too much and are they abusing the power they have? Hence, delving into the realm of social justice.</w:t>
      </w:r>
    </w:p>
    <w:p w14:paraId="3533668C" w14:textId="1EF3108E" w:rsidR="00B03557" w:rsidRPr="005D3F76" w:rsidRDefault="00B03557" w:rsidP="00C56DF5">
      <w:pPr>
        <w:ind w:firstLine="720"/>
        <w:rPr>
          <w:rFonts w:cs="Times New Roman"/>
          <w:szCs w:val="24"/>
        </w:rPr>
      </w:pPr>
      <w:r w:rsidRPr="005D3F76">
        <w:rPr>
          <w:rFonts w:cs="Times New Roman"/>
          <w:szCs w:val="24"/>
        </w:rPr>
        <w:lastRenderedPageBreak/>
        <w:t xml:space="preserve">Finally, it is important to also remember as the section concerning media comes to a close, that the media is a product that is produced, one that is not naturally occurring, and one that facts do not simply come straight from reality per se </w:t>
      </w:r>
      <w:r w:rsidRPr="005D3F76">
        <w:rPr>
          <w:rFonts w:cs="Times New Roman"/>
          <w:szCs w:val="24"/>
        </w:rPr>
        <w:fldChar w:fldCharType="begin"/>
      </w:r>
      <w:r w:rsidRPr="005D3F76">
        <w:rPr>
          <w:rFonts w:cs="Times New Roman"/>
          <w:szCs w:val="24"/>
        </w:rPr>
        <w:instrText xml:space="preserve"> ADDIN EN.CITE &lt;EndNote&gt;&lt;Cite&gt;&lt;Author&gt;Fairclough&lt;/Author&gt;&lt;Year&gt;2012&lt;/Year&gt;&lt;RecNum&gt;192&lt;/RecNum&gt;&lt;DisplayText&gt;(Norman Fairclough, 2012)&lt;/DisplayText&gt;&lt;record&gt;&lt;rec-number&gt;192&lt;/rec-number&gt;&lt;foreign-keys&gt;&lt;key app="EN" db-id="etwareaz8xpxz3et59b50d9vxrata9z2w2zt" timestamp="1458419534"&gt;192&lt;/key&gt;&lt;/foreign-keys&gt;&lt;ref-type name="Web Page"&gt;12&lt;/ref-type&gt;&lt;contributors&gt;&lt;authors&gt;&lt;author&gt;Norman Fairclough&lt;/author&gt;&lt;/authors&gt;&lt;/contributors&gt;&lt;titles&gt;&lt;title&gt;Critical Discourse Analysis&lt;/title&gt;&lt;/titles&gt;&lt;volume&gt;2016&lt;/volume&gt;&lt;number&gt;February&lt;/number&gt;&lt;dates&gt;&lt;year&gt;2012&lt;/year&gt;&lt;/dates&gt;&lt;urls&gt;&lt;related-urls&gt;&lt;url&gt;http://semiotics.nured.uowm.gr/pdfs/THEORY_FAIRCLOUGH.pdf&lt;/url&gt;&lt;/related-urls&gt;&lt;/urls&gt;&lt;/record&gt;&lt;/Cite&gt;&lt;/EndNote&gt;</w:instrText>
      </w:r>
      <w:r w:rsidRPr="005D3F76">
        <w:rPr>
          <w:rFonts w:cs="Times New Roman"/>
          <w:szCs w:val="24"/>
        </w:rPr>
        <w:fldChar w:fldCharType="separate"/>
      </w:r>
      <w:r w:rsidRPr="005D3F76">
        <w:rPr>
          <w:rFonts w:cs="Times New Roman"/>
          <w:noProof/>
          <w:szCs w:val="24"/>
        </w:rPr>
        <w:t>(Norman Fairclough, 2012)</w:t>
      </w:r>
      <w:r w:rsidRPr="005D3F76">
        <w:rPr>
          <w:rFonts w:cs="Times New Roman"/>
          <w:szCs w:val="24"/>
        </w:rPr>
        <w:fldChar w:fldCharType="end"/>
      </w:r>
      <w:r w:rsidRPr="005D3F76">
        <w:rPr>
          <w:rFonts w:cs="Times New Roman"/>
          <w:szCs w:val="24"/>
        </w:rPr>
        <w:t xml:space="preserve">. It is produced by an industry, shaped by the bureaucratic and economic structure of that industry, by the relations between the media and other industries and by relations with government and with other political organizations,” and reported by fallible human beings </w:t>
      </w:r>
      <w:r w:rsidRPr="005D3F76">
        <w:rPr>
          <w:rFonts w:cs="Times New Roman"/>
          <w:szCs w:val="24"/>
        </w:rPr>
        <w:fldChar w:fldCharType="begin"/>
      </w:r>
      <w:r w:rsidRPr="005D3F76">
        <w:rPr>
          <w:rFonts w:cs="Times New Roman"/>
          <w:szCs w:val="24"/>
        </w:rPr>
        <w:instrText xml:space="preserve"> ADDIN EN.CITE &lt;EndNote&gt;&lt;Cite&gt;&lt;Author&gt;Richardson&lt;/Author&gt;&lt;Year&gt;2007&lt;/Year&gt;&lt;RecNum&gt;199&lt;/RecNum&gt;&lt;Pages&gt;222&lt;/Pages&gt;&lt;DisplayText&gt;(Richardson, 2007, p. 222)&lt;/DisplayText&gt;&lt;record&gt;&lt;rec-number&gt;199&lt;/rec-number&gt;&lt;foreign-keys&gt;&lt;key app="EN" db-id="etwareaz8xpxz3et59b50d9vxrata9z2w2zt" timestamp="1459108489"&gt;199&lt;/key&gt;&lt;/foreign-keys&gt;&lt;ref-type name="Book"&gt;6&lt;/ref-type&gt;&lt;contributors&gt;&lt;authors&gt;&lt;author&gt;John E. Richardson&lt;/author&gt;&lt;/authors&gt;&lt;/contributors&gt;&lt;titles&gt;&lt;title&gt;Analysing Newspapers: An Approach to Critical Discourse Analysis&lt;/title&gt;&lt;/titles&gt;&lt;dates&gt;&lt;year&gt;2007&lt;/year&gt;&lt;/dates&gt;&lt;pub-location&gt;New York, New York&lt;/pub-location&gt;&lt;publisher&gt;Palgrave Macmillion&lt;/publisher&gt;&lt;urls&gt;&lt;/urls&gt;&lt;/record&gt;&lt;/Cite&gt;&lt;/EndNote&gt;</w:instrText>
      </w:r>
      <w:r w:rsidRPr="005D3F76">
        <w:rPr>
          <w:rFonts w:cs="Times New Roman"/>
          <w:szCs w:val="24"/>
        </w:rPr>
        <w:fldChar w:fldCharType="separate"/>
      </w:r>
      <w:r w:rsidRPr="005D3F76">
        <w:rPr>
          <w:rFonts w:cs="Times New Roman"/>
          <w:noProof/>
          <w:szCs w:val="24"/>
        </w:rPr>
        <w:t>(Richardson, 2007, p. 222)</w:t>
      </w:r>
      <w:r w:rsidRPr="005D3F76">
        <w:rPr>
          <w:rFonts w:cs="Times New Roman"/>
          <w:szCs w:val="24"/>
        </w:rPr>
        <w:fldChar w:fldCharType="end"/>
      </w:r>
      <w:r w:rsidRPr="005D3F76">
        <w:rPr>
          <w:rFonts w:cs="Times New Roman"/>
          <w:szCs w:val="24"/>
        </w:rPr>
        <w:t xml:space="preserve">. According to John Richardson (2007), there is always a reason that the media chooses what it chooses to show, there are simply not ‘just because’ spots left in the stories they cover. If we trust that discourse and ultimately the language the media uses is social in nature, and that communication or text are activities intended ultimately to create or do things, </w:t>
      </w:r>
      <w:r w:rsidR="006F28A3" w:rsidRPr="005D3F76">
        <w:rPr>
          <w:rFonts w:cs="Times New Roman"/>
          <w:szCs w:val="24"/>
        </w:rPr>
        <w:t>then</w:t>
      </w:r>
      <w:r w:rsidRPr="005D3F76">
        <w:rPr>
          <w:rFonts w:cs="Times New Roman"/>
          <w:szCs w:val="24"/>
        </w:rPr>
        <w:t xml:space="preserve"> the media is a powerful form of communication thus needing to be examined for its larger social implications especially in regards to something as important as educational matters.  </w:t>
      </w:r>
    </w:p>
    <w:p w14:paraId="0FF1E660" w14:textId="77777777" w:rsidR="00B03557" w:rsidRPr="005D3F76" w:rsidRDefault="00B03557" w:rsidP="0012433F">
      <w:pPr>
        <w:pStyle w:val="Heading2"/>
        <w:rPr>
          <w:rFonts w:cs="Times New Roman"/>
        </w:rPr>
      </w:pPr>
      <w:bookmarkStart w:id="13" w:name="_Toc462843633"/>
      <w:r w:rsidRPr="005D3F76">
        <w:rPr>
          <w:rFonts w:cs="Times New Roman"/>
        </w:rPr>
        <w:t>So How Does It Work? … A Workable Methodological Framework</w:t>
      </w:r>
      <w:bookmarkEnd w:id="13"/>
    </w:p>
    <w:p w14:paraId="4E1F985D" w14:textId="4DEDA193" w:rsidR="00B03557" w:rsidRPr="005D3F76" w:rsidRDefault="00B03557" w:rsidP="00C56DF5">
      <w:pPr>
        <w:rPr>
          <w:rFonts w:cs="Times New Roman"/>
          <w:szCs w:val="24"/>
        </w:rPr>
      </w:pPr>
      <w:r w:rsidRPr="005D3F76">
        <w:rPr>
          <w:rFonts w:cs="Times New Roman"/>
          <w:szCs w:val="24"/>
        </w:rPr>
        <w:tab/>
        <w:t xml:space="preserve">Methodologically, CDA is a qualitative research tool that entails working through “dialogue with other disciplines and theories which are addressing contemporary processes of social change” </w:t>
      </w:r>
      <w:r w:rsidRPr="005D3F76">
        <w:rPr>
          <w:rFonts w:cs="Times New Roman"/>
          <w:szCs w:val="24"/>
        </w:rPr>
        <w:fldChar w:fldCharType="begin"/>
      </w:r>
      <w:r w:rsidRPr="005D3F76">
        <w:rPr>
          <w:rFonts w:cs="Times New Roman"/>
          <w:szCs w:val="24"/>
        </w:rPr>
        <w:instrText xml:space="preserve"> ADDIN EN.CITE &lt;EndNote&gt;&lt;Cite&gt;&lt;Author&gt;Fairclough&lt;/Author&gt;&lt;RecNum&gt;192&lt;/RecNum&gt;&lt;Suffix&gt; para. 2&lt;/Suffix&gt;&lt;DisplayText&gt;(Norman Fairclough, 2012 para. 2)&lt;/DisplayText&gt;&lt;record&gt;&lt;rec-number&gt;192&lt;/rec-number&gt;&lt;foreign-keys&gt;&lt;key app="EN" db-id="etwareaz8xpxz3et59b50d9vxrata9z2w2zt" timestamp="1458419534"&gt;192&lt;/key&gt;&lt;/foreign-keys&gt;&lt;ref-type name="Web Page"&gt;12&lt;/ref-type&gt;&lt;contributors&gt;&lt;authors&gt;&lt;author&gt;Norman Fairclough&lt;/author&gt;&lt;/authors&gt;&lt;/contributors&gt;&lt;titles&gt;&lt;title&gt;Critical Discourse Analysis&lt;/title&gt;&lt;/titles&gt;&lt;volume&gt;2016&lt;/volume&gt;&lt;number&gt;February&lt;/number&gt;&lt;dates&gt;&lt;year&gt;2012&lt;/year&gt;&lt;/dates&gt;&lt;urls&gt;&lt;related-urls&gt;&lt;url&gt;http://semiotics.nured.uowm.gr/pdfs/THEORY_FAIRCLOUGH.pdf&lt;/url&gt;&lt;/related-urls&gt;&lt;/urls&gt;&lt;/record&gt;&lt;/Cite&gt;&lt;/EndNote&gt;</w:instrText>
      </w:r>
      <w:r w:rsidRPr="005D3F76">
        <w:rPr>
          <w:rFonts w:cs="Times New Roman"/>
          <w:szCs w:val="24"/>
        </w:rPr>
        <w:fldChar w:fldCharType="separate"/>
      </w:r>
      <w:r w:rsidRPr="005D3F76">
        <w:rPr>
          <w:rFonts w:cs="Times New Roman"/>
          <w:noProof/>
          <w:szCs w:val="24"/>
        </w:rPr>
        <w:t>(Norman Fairclough, 2012 para. 2)</w:t>
      </w:r>
      <w:r w:rsidRPr="005D3F76">
        <w:rPr>
          <w:rFonts w:cs="Times New Roman"/>
          <w:szCs w:val="24"/>
        </w:rPr>
        <w:fldChar w:fldCharType="end"/>
      </w:r>
      <w:r w:rsidRPr="005D3F76">
        <w:rPr>
          <w:rFonts w:cs="Times New Roman"/>
          <w:szCs w:val="24"/>
        </w:rPr>
        <w:t xml:space="preserve">. However, most CDA scholars will contend that methodology greatly depends on the person researching and the topic being researched. Fairclough (2012) understands that methods, such as, data selection, collection and analysis really depend upon what is being researched and the point of such research, especially since CDA is considered to be interdisciplinary and these techniques can vary depending on the type of research being performed; however, they should contain some type of textual analysis. </w:t>
      </w:r>
    </w:p>
    <w:p w14:paraId="2D24F710" w14:textId="0CF5F414" w:rsidR="00B03557" w:rsidRPr="005D3F76" w:rsidRDefault="00B03557" w:rsidP="00C56DF5">
      <w:pPr>
        <w:rPr>
          <w:rFonts w:cs="Times New Roman"/>
          <w:szCs w:val="24"/>
        </w:rPr>
      </w:pPr>
      <w:r w:rsidRPr="005D3F76">
        <w:rPr>
          <w:rFonts w:cs="Times New Roman"/>
          <w:szCs w:val="24"/>
        </w:rPr>
        <w:t xml:space="preserve">Recognizing that analyzing one genre of media reporting, such as newspapers, over another, like speeches, is vastly important when considering using CDA as a viable research methodology. </w:t>
      </w:r>
    </w:p>
    <w:p w14:paraId="7E26DB07" w14:textId="77777777" w:rsidR="00B03557" w:rsidRPr="005D3F76" w:rsidRDefault="00B03557" w:rsidP="00C56DF5">
      <w:pPr>
        <w:rPr>
          <w:rFonts w:cs="Times New Roman"/>
          <w:szCs w:val="24"/>
        </w:rPr>
      </w:pPr>
      <w:r w:rsidRPr="005D3F76">
        <w:rPr>
          <w:rFonts w:cs="Times New Roman"/>
          <w:szCs w:val="24"/>
        </w:rPr>
        <w:lastRenderedPageBreak/>
        <w:tab/>
        <w:t xml:space="preserve">Yet, given the conjoint standpoint and the general purposes of CDA, the researcher can find inclusive conceptual and theoretical frameworks that are related </w:t>
      </w:r>
      <w:r w:rsidRPr="005D3F76">
        <w:rPr>
          <w:rFonts w:cs="Times New Roman"/>
          <w:szCs w:val="24"/>
        </w:rPr>
        <w:fldChar w:fldCharType="begin"/>
      </w:r>
      <w:r w:rsidRPr="005D3F76">
        <w:rPr>
          <w:rFonts w:cs="Times New Roman"/>
          <w:szCs w:val="24"/>
        </w:rPr>
        <w:instrText xml:space="preserve"> ADDIN EN.CITE &lt;EndNote&gt;&lt;Cite&gt;&lt;Author&gt;Dijk&lt;/Author&gt;&lt;Year&gt;2008&lt;/Year&gt;&lt;RecNum&gt;191&lt;/RecNum&gt;&lt;DisplayText&gt;(van Dijk, 2008)&lt;/DisplayText&gt;&lt;record&gt;&lt;rec-number&gt;191&lt;/rec-number&gt;&lt;foreign-keys&gt;&lt;key app="EN" db-id="etwareaz8xpxz3et59b50d9vxrata9z2w2zt" timestamp="1457806283"&gt;191&lt;/key&gt;&lt;/foreign-keys&gt;&lt;ref-type name="Book Section"&gt;5&lt;/ref-type&gt;&lt;contributors&gt;&lt;authors&gt;&lt;author&gt;van Dijk, Teun&lt;/author&gt;&lt;/authors&gt;&lt;secondary-authors&gt;&lt;author&gt;Deborah Schiffrin&lt;/author&gt;&lt;author&gt;Deborah Tannen&lt;/author&gt;&lt;author&gt;Heidi E Hamiliton&lt;/author&gt;&lt;/secondary-authors&gt;&lt;/contributors&gt;&lt;titles&gt;&lt;title&gt;Critical Discourse Analysis&lt;/title&gt;&lt;secondary-title&gt;The Handbook of Discourse Analysis&lt;/secondary-title&gt;&lt;/titles&gt;&lt;section&gt;18&lt;/section&gt;&lt;dates&gt;&lt;year&gt;2008&lt;/year&gt;&lt;/dates&gt;&lt;pub-location&gt;Malden, Massachusetts&lt;/pub-location&gt;&lt;publisher&gt;Blackwell Publishers Ltd&lt;/publisher&gt;&lt;urls&gt;&lt;/urls&gt;&lt;/record&gt;&lt;/Cite&gt;&lt;/EndNote&gt;</w:instrText>
      </w:r>
      <w:r w:rsidRPr="005D3F76">
        <w:rPr>
          <w:rFonts w:cs="Times New Roman"/>
          <w:szCs w:val="24"/>
        </w:rPr>
        <w:fldChar w:fldCharType="separate"/>
      </w:r>
      <w:r w:rsidRPr="005D3F76">
        <w:rPr>
          <w:rFonts w:cs="Times New Roman"/>
          <w:noProof/>
          <w:szCs w:val="24"/>
        </w:rPr>
        <w:t>(van Dijk, 2008)</w:t>
      </w:r>
      <w:r w:rsidRPr="005D3F76">
        <w:rPr>
          <w:rFonts w:cs="Times New Roman"/>
          <w:szCs w:val="24"/>
        </w:rPr>
        <w:fldChar w:fldCharType="end"/>
      </w:r>
      <w:r w:rsidRPr="005D3F76">
        <w:rPr>
          <w:rFonts w:cs="Times New Roman"/>
          <w:szCs w:val="24"/>
        </w:rPr>
        <w:t>. CDA in general asks “questions about the way specific discourse structures are deployed in the reproduction of social dominance” from whatever sources or contexts they happen to be from (p. 354). Besides more traditional DA analytical techniques that may be employed, such as: semiotics</w:t>
      </w:r>
      <w:r w:rsidRPr="005D3F76">
        <w:rPr>
          <w:rStyle w:val="EndnoteReference"/>
          <w:rFonts w:cs="Times New Roman"/>
          <w:szCs w:val="24"/>
        </w:rPr>
        <w:endnoteReference w:id="18"/>
      </w:r>
      <w:r w:rsidRPr="005D3F76">
        <w:rPr>
          <w:rFonts w:cs="Times New Roman"/>
          <w:szCs w:val="24"/>
        </w:rPr>
        <w:t>, morphology</w:t>
      </w:r>
      <w:r w:rsidRPr="005D3F76">
        <w:rPr>
          <w:rStyle w:val="EndnoteReference"/>
          <w:rFonts w:cs="Times New Roman"/>
          <w:szCs w:val="24"/>
        </w:rPr>
        <w:endnoteReference w:id="19"/>
      </w:r>
      <w:r w:rsidRPr="005D3F76">
        <w:rPr>
          <w:rFonts w:cs="Times New Roman"/>
          <w:szCs w:val="24"/>
        </w:rPr>
        <w:t>, presuppositions</w:t>
      </w:r>
      <w:r w:rsidRPr="005D3F76">
        <w:rPr>
          <w:rStyle w:val="EndnoteReference"/>
          <w:rFonts w:cs="Times New Roman"/>
          <w:szCs w:val="24"/>
        </w:rPr>
        <w:endnoteReference w:id="20"/>
      </w:r>
      <w:r w:rsidRPr="005D3F76">
        <w:rPr>
          <w:rFonts w:cs="Times New Roman"/>
          <w:szCs w:val="24"/>
        </w:rPr>
        <w:t xml:space="preserve"> or pragmatics</w:t>
      </w:r>
      <w:r w:rsidRPr="005D3F76">
        <w:rPr>
          <w:rStyle w:val="EndnoteReference"/>
          <w:rFonts w:cs="Times New Roman"/>
          <w:szCs w:val="24"/>
        </w:rPr>
        <w:endnoteReference w:id="21"/>
      </w:r>
      <w:r w:rsidRPr="005D3F76">
        <w:rPr>
          <w:rFonts w:cs="Times New Roman"/>
          <w:szCs w:val="24"/>
        </w:rPr>
        <w:t xml:space="preserve">, CDA features concepts relating to ‘ideology,’ ‘class,’ ‘hegemony,’ ‘discrimination,’ ‘politics,’ etc. (p. 354). But for all intents and purposes, the research is driven and guided by the data </w:t>
      </w:r>
      <w:r w:rsidRPr="005D3F76">
        <w:rPr>
          <w:rFonts w:cs="Times New Roman"/>
          <w:szCs w:val="24"/>
        </w:rPr>
        <w:fldChar w:fldCharType="begin"/>
      </w:r>
      <w:r w:rsidRPr="005D3F76">
        <w:rPr>
          <w:rFonts w:cs="Times New Roman"/>
          <w:szCs w:val="24"/>
        </w:rPr>
        <w:instrText xml:space="preserve"> ADDIN EN.CITE &lt;EndNote&gt;&lt;Cite&gt;&lt;Author&gt;Wood&lt;/Author&gt;&lt;Year&gt;2000&lt;/Year&gt;&lt;RecNum&gt;171&lt;/RecNum&gt;&lt;DisplayText&gt;(Wood &amp;amp; Kroger, 2000)&lt;/DisplayText&gt;&lt;record&gt;&lt;rec-number&gt;171&lt;/rec-number&gt;&lt;foreign-keys&gt;&lt;key app="EN" db-id="etwareaz8xpxz3et59b50d9vxrata9z2w2zt" timestamp="1456791914"&gt;171&lt;/key&gt;&lt;/foreign-keys&gt;&lt;ref-type name="Book"&gt;6&lt;/ref-type&gt;&lt;contributors&gt;&lt;authors&gt;&lt;author&gt;Linda A Wood&lt;/author&gt;&lt;author&gt;Rlf O Kroger&lt;/author&gt;&lt;/authors&gt;&lt;/contributors&gt;&lt;titles&gt;&lt;title&gt;Doing Discourse Analysis Methods for Studying Action in Talk and Text&lt;/title&gt;&lt;/titles&gt;&lt;dates&gt;&lt;year&gt;2000&lt;/year&gt;&lt;/dates&gt;&lt;pub-location&gt;Thousand Oaks, CA&lt;/pub-location&gt;&lt;publisher&gt;Sage Publishing Inc&lt;/publisher&gt;&lt;urls&gt;&lt;/urls&gt;&lt;/record&gt;&lt;/Cite&gt;&lt;/EndNote&gt;</w:instrText>
      </w:r>
      <w:r w:rsidRPr="005D3F76">
        <w:rPr>
          <w:rFonts w:cs="Times New Roman"/>
          <w:szCs w:val="24"/>
        </w:rPr>
        <w:fldChar w:fldCharType="separate"/>
      </w:r>
      <w:r w:rsidRPr="005D3F76">
        <w:rPr>
          <w:rFonts w:cs="Times New Roman"/>
          <w:noProof/>
          <w:szCs w:val="24"/>
        </w:rPr>
        <w:t>(Wood &amp; Kroger, 2000)</w:t>
      </w:r>
      <w:r w:rsidRPr="005D3F76">
        <w:rPr>
          <w:rFonts w:cs="Times New Roman"/>
          <w:szCs w:val="24"/>
        </w:rPr>
        <w:fldChar w:fldCharType="end"/>
      </w:r>
      <w:r w:rsidRPr="005D3F76">
        <w:rPr>
          <w:rFonts w:cs="Times New Roman"/>
          <w:szCs w:val="24"/>
        </w:rPr>
        <w:t xml:space="preserve">.  </w:t>
      </w:r>
    </w:p>
    <w:p w14:paraId="33ADA0EB" w14:textId="75E649D0" w:rsidR="00B03557" w:rsidRPr="005D3F76" w:rsidRDefault="00B03557" w:rsidP="00C56DF5">
      <w:pPr>
        <w:ind w:firstLine="720"/>
        <w:rPr>
          <w:rFonts w:cs="Times New Roman"/>
          <w:szCs w:val="24"/>
        </w:rPr>
      </w:pPr>
      <w:r w:rsidRPr="005D3F76">
        <w:rPr>
          <w:rFonts w:cs="Times New Roman"/>
          <w:szCs w:val="24"/>
        </w:rPr>
        <w:t xml:space="preserve">One of the first points in which CDA must contend with concerning a methodological framework in use is the idea of the macro versus the micro within what is being researched—in this case, teacher unions. However, in most cases, the language and discourse use, along with the communicative interactions are considered among the micro-level within CDA </w:t>
      </w:r>
      <w:r w:rsidRPr="005D3F76">
        <w:rPr>
          <w:rFonts w:cs="Times New Roman"/>
          <w:szCs w:val="24"/>
        </w:rPr>
        <w:fldChar w:fldCharType="begin"/>
      </w:r>
      <w:r w:rsidRPr="005D3F76">
        <w:rPr>
          <w:rFonts w:cs="Times New Roman"/>
          <w:szCs w:val="24"/>
        </w:rPr>
        <w:instrText xml:space="preserve"> ADDIN EN.CITE &lt;EndNote&gt;&lt;Cite&gt;&lt;Author&gt;Dijk&lt;/Author&gt;&lt;Year&gt;2008&lt;/Year&gt;&lt;RecNum&gt;191&lt;/RecNum&gt;&lt;DisplayText&gt;(van Dijk, 2008)&lt;/DisplayText&gt;&lt;record&gt;&lt;rec-number&gt;191&lt;/rec-number&gt;&lt;foreign-keys&gt;&lt;key app="EN" db-id="etwareaz8xpxz3et59b50d9vxrata9z2w2zt" timestamp="1457806283"&gt;191&lt;/key&gt;&lt;/foreign-keys&gt;&lt;ref-type name="Book Section"&gt;5&lt;/ref-type&gt;&lt;contributors&gt;&lt;authors&gt;&lt;author&gt;van Dijk, Teun&lt;/author&gt;&lt;/authors&gt;&lt;secondary-authors&gt;&lt;author&gt;Deborah Schiffrin&lt;/author&gt;&lt;author&gt;Deborah Tannen&lt;/author&gt;&lt;author&gt;Heidi E Hamiliton&lt;/author&gt;&lt;/secondary-authors&gt;&lt;/contributors&gt;&lt;titles&gt;&lt;title&gt;Critical Discourse Analysis&lt;/title&gt;&lt;secondary-title&gt;The Handbook of Discourse Analysis&lt;/secondary-title&gt;&lt;/titles&gt;&lt;section&gt;18&lt;/section&gt;&lt;dates&gt;&lt;year&gt;2008&lt;/year&gt;&lt;/dates&gt;&lt;pub-location&gt;Malden, Massachusetts&lt;/pub-location&gt;&lt;publisher&gt;Blackwell Publishers Ltd&lt;/publisher&gt;&lt;urls&gt;&lt;/urls&gt;&lt;/record&gt;&lt;/Cite&gt;&lt;/EndNote&gt;</w:instrText>
      </w:r>
      <w:r w:rsidRPr="005D3F76">
        <w:rPr>
          <w:rFonts w:cs="Times New Roman"/>
          <w:szCs w:val="24"/>
        </w:rPr>
        <w:fldChar w:fldCharType="separate"/>
      </w:r>
      <w:r w:rsidRPr="005D3F76">
        <w:rPr>
          <w:rFonts w:cs="Times New Roman"/>
          <w:noProof/>
          <w:szCs w:val="24"/>
        </w:rPr>
        <w:t>(van Dijk, 2008)</w:t>
      </w:r>
      <w:r w:rsidRPr="005D3F76">
        <w:rPr>
          <w:rFonts w:cs="Times New Roman"/>
          <w:szCs w:val="24"/>
        </w:rPr>
        <w:fldChar w:fldCharType="end"/>
      </w:r>
      <w:r w:rsidRPr="005D3F76">
        <w:rPr>
          <w:rFonts w:cs="Times New Roman"/>
          <w:szCs w:val="24"/>
        </w:rPr>
        <w:t>. The representative for the macro level would be those issues of power, dominance, and inequality being researched. According to van Dijk (2008), CDA must “theoretically bridge the well-known ‘gap’ between micro and macro approaches, which is of course a distinction that is sociological construct” (p. 354). He further claims that CDA essentially is a “</w:t>
      </w:r>
      <w:r w:rsidR="006F28A3" w:rsidRPr="005D3F76">
        <w:rPr>
          <w:rFonts w:cs="Times New Roman"/>
          <w:szCs w:val="24"/>
        </w:rPr>
        <w:t>wholistic” approach</w:t>
      </w:r>
      <w:r w:rsidRPr="005D3F76">
        <w:rPr>
          <w:rFonts w:cs="Times New Roman"/>
          <w:szCs w:val="24"/>
        </w:rPr>
        <w:t xml:space="preserve"> to researching (p. 354). For instance, regarding teacher unions, a story run in a newspaper or magazine concerning teacher union activism in Wisconsin is at a micro level of social interaction. It happens in a specific situation (an episodic framing), at a particular place and time; but at the same time because of this particular presented event within the media, a politician may try to enact particular legislation in regards to public sector unions either in Wisconsin or in other places. This last act outside the newspaper or magazine article would be considered at the macro level (a thematic framing). Van Dijk (2008) identifies that there are </w:t>
      </w:r>
      <w:r w:rsidRPr="005D3F76">
        <w:rPr>
          <w:rFonts w:cs="Times New Roman"/>
          <w:szCs w:val="24"/>
        </w:rPr>
        <w:lastRenderedPageBreak/>
        <w:t>several ways to analyze and connect these levels within the data a researcher is using, and thus, as he claims to arrive at a unified critical analysis:</w:t>
      </w:r>
    </w:p>
    <w:p w14:paraId="27031723" w14:textId="77777777" w:rsidR="00B03557" w:rsidRPr="005D3F76" w:rsidRDefault="00B03557" w:rsidP="00C56DF5">
      <w:pPr>
        <w:ind w:firstLine="720"/>
        <w:rPr>
          <w:rFonts w:cs="Times New Roman"/>
          <w:szCs w:val="24"/>
        </w:rPr>
      </w:pPr>
    </w:p>
    <w:p w14:paraId="3C9B634C" w14:textId="77777777" w:rsidR="00B03557" w:rsidRPr="005D3F76" w:rsidRDefault="00B03557" w:rsidP="00C56DF5">
      <w:pPr>
        <w:pStyle w:val="ListParagraph"/>
        <w:numPr>
          <w:ilvl w:val="0"/>
          <w:numId w:val="6"/>
        </w:numPr>
        <w:spacing w:line="240" w:lineRule="auto"/>
        <w:rPr>
          <w:rFonts w:cs="Times New Roman"/>
          <w:szCs w:val="24"/>
        </w:rPr>
      </w:pPr>
      <w:r w:rsidRPr="005D3F76">
        <w:rPr>
          <w:rFonts w:cs="Times New Roman"/>
          <w:szCs w:val="24"/>
        </w:rPr>
        <w:t xml:space="preserve">Member-groups: Language users-engage in discourse as members of (several) social groups, organizations, or institutions and conversely, groups thus may act “by” their members. </w:t>
      </w:r>
    </w:p>
    <w:p w14:paraId="303D1C53" w14:textId="77777777" w:rsidR="00B03557" w:rsidRPr="005D3F76" w:rsidRDefault="00B03557" w:rsidP="00C56DF5">
      <w:pPr>
        <w:spacing w:line="240" w:lineRule="auto"/>
        <w:rPr>
          <w:rFonts w:cs="Times New Roman"/>
          <w:szCs w:val="24"/>
        </w:rPr>
      </w:pPr>
    </w:p>
    <w:p w14:paraId="33745B18" w14:textId="77777777" w:rsidR="00B03557" w:rsidRPr="005D3F76" w:rsidRDefault="00B03557" w:rsidP="00C56DF5">
      <w:pPr>
        <w:pStyle w:val="ListParagraph"/>
        <w:numPr>
          <w:ilvl w:val="0"/>
          <w:numId w:val="6"/>
        </w:numPr>
        <w:spacing w:line="240" w:lineRule="auto"/>
        <w:rPr>
          <w:rFonts w:cs="Times New Roman"/>
          <w:szCs w:val="24"/>
        </w:rPr>
      </w:pPr>
      <w:r w:rsidRPr="005D3F76">
        <w:rPr>
          <w:rFonts w:cs="Times New Roman"/>
          <w:szCs w:val="24"/>
        </w:rPr>
        <w:t>Actions-process: Social acts of individual actors are thus constituent parts of groups actions and social processes, such as legislation, news making, or the reproduction of racism.</w:t>
      </w:r>
    </w:p>
    <w:p w14:paraId="11D77160" w14:textId="77777777" w:rsidR="00B03557" w:rsidRPr="005D3F76" w:rsidRDefault="00B03557" w:rsidP="00C56DF5">
      <w:pPr>
        <w:pStyle w:val="ListParagraph"/>
        <w:rPr>
          <w:rFonts w:cs="Times New Roman"/>
          <w:szCs w:val="24"/>
        </w:rPr>
      </w:pPr>
    </w:p>
    <w:p w14:paraId="1125388F" w14:textId="3319250F" w:rsidR="00B03557" w:rsidRPr="005D3F76" w:rsidRDefault="00B03557" w:rsidP="00C56DF5">
      <w:pPr>
        <w:pStyle w:val="ListParagraph"/>
        <w:numPr>
          <w:ilvl w:val="0"/>
          <w:numId w:val="6"/>
        </w:numPr>
        <w:spacing w:line="240" w:lineRule="auto"/>
        <w:rPr>
          <w:rFonts w:cs="Times New Roman"/>
          <w:szCs w:val="24"/>
        </w:rPr>
      </w:pPr>
      <w:r w:rsidRPr="005D3F76">
        <w:rPr>
          <w:rFonts w:cs="Times New Roman"/>
          <w:szCs w:val="24"/>
        </w:rPr>
        <w:t>Context-social structure: Situations of discursive interaction are similarly part or constitutive of social structure</w:t>
      </w:r>
      <w:r w:rsidR="006F28A3" w:rsidRPr="005D3F76">
        <w:rPr>
          <w:rFonts w:cs="Times New Roman"/>
          <w:szCs w:val="24"/>
        </w:rPr>
        <w:t xml:space="preserve"> </w:t>
      </w:r>
      <w:r w:rsidRPr="005D3F76">
        <w:rPr>
          <w:rFonts w:cs="Times New Roman"/>
          <w:szCs w:val="24"/>
        </w:rPr>
        <w:t>…</w:t>
      </w:r>
      <w:r w:rsidR="006F28A3" w:rsidRPr="005D3F76">
        <w:rPr>
          <w:rFonts w:cs="Times New Roman"/>
          <w:szCs w:val="24"/>
        </w:rPr>
        <w:t xml:space="preserve"> “</w:t>
      </w:r>
      <w:r w:rsidRPr="005D3F76">
        <w:rPr>
          <w:rFonts w:cs="Times New Roman"/>
          <w:szCs w:val="24"/>
        </w:rPr>
        <w:t>local” and more “global” contexts are closely related, and both exercise constraints on discourse.</w:t>
      </w:r>
    </w:p>
    <w:p w14:paraId="5BF780C4" w14:textId="77777777" w:rsidR="00B03557" w:rsidRPr="005D3F76" w:rsidRDefault="00B03557" w:rsidP="00C56DF5">
      <w:pPr>
        <w:pStyle w:val="ListParagraph"/>
        <w:rPr>
          <w:rFonts w:cs="Times New Roman"/>
          <w:szCs w:val="24"/>
        </w:rPr>
      </w:pPr>
    </w:p>
    <w:p w14:paraId="4113CF99" w14:textId="77777777" w:rsidR="00B03557" w:rsidRPr="005D3F76" w:rsidRDefault="00B03557" w:rsidP="00C56DF5">
      <w:pPr>
        <w:pStyle w:val="ListParagraph"/>
        <w:numPr>
          <w:ilvl w:val="0"/>
          <w:numId w:val="6"/>
        </w:numPr>
        <w:spacing w:line="240" w:lineRule="auto"/>
        <w:rPr>
          <w:rFonts w:cs="Times New Roman"/>
          <w:szCs w:val="24"/>
        </w:rPr>
      </w:pPr>
      <w:r w:rsidRPr="005D3F76">
        <w:rPr>
          <w:rFonts w:cs="Times New Roman"/>
          <w:szCs w:val="24"/>
        </w:rPr>
        <w:t>Personal and social cognition: Language users as social actors have both personal and social cognition: personal memories, knowledge and opinions, as well as those shared with members of the group or culture as a whole. Both types of cognition influence interaction and discourse of individual members, whereas, shared “social representations” govern the collective actions of a group. (p. 354).</w:t>
      </w:r>
    </w:p>
    <w:p w14:paraId="300FE5BE" w14:textId="329DCC09" w:rsidR="00B03557" w:rsidRPr="005D3F76" w:rsidRDefault="00B03557" w:rsidP="00C56DF5">
      <w:pPr>
        <w:rPr>
          <w:rFonts w:cs="Times New Roman"/>
          <w:szCs w:val="24"/>
        </w:rPr>
      </w:pPr>
    </w:p>
    <w:p w14:paraId="6CED7699" w14:textId="77777777" w:rsidR="00B03557" w:rsidRPr="005D3F76" w:rsidRDefault="00B03557" w:rsidP="00C56DF5">
      <w:pPr>
        <w:ind w:firstLine="360"/>
        <w:rPr>
          <w:rFonts w:cs="Times New Roman"/>
          <w:szCs w:val="24"/>
        </w:rPr>
      </w:pPr>
      <w:r w:rsidRPr="005D3F76">
        <w:rPr>
          <w:rFonts w:cs="Times New Roman"/>
          <w:szCs w:val="24"/>
        </w:rPr>
        <w:t xml:space="preserve">Next, a CDA methodological framework must also include the notions contending with the idea of social power of groups and institutions within society </w:t>
      </w:r>
      <w:r w:rsidRPr="005D3F76">
        <w:rPr>
          <w:rFonts w:cs="Times New Roman"/>
          <w:szCs w:val="24"/>
        </w:rPr>
        <w:fldChar w:fldCharType="begin"/>
      </w:r>
      <w:r w:rsidRPr="005D3F76">
        <w:rPr>
          <w:rFonts w:cs="Times New Roman"/>
          <w:szCs w:val="24"/>
        </w:rPr>
        <w:instrText xml:space="preserve"> ADDIN EN.CITE &lt;EndNote&gt;&lt;Cite&gt;&lt;Author&gt;Wood&lt;/Author&gt;&lt;Year&gt;2000&lt;/Year&gt;&lt;RecNum&gt;171&lt;/RecNum&gt;&lt;DisplayText&gt;(van Dijk, 2008; Wood &amp;amp; Kroger, 2000)&lt;/DisplayText&gt;&lt;record&gt;&lt;rec-number&gt;171&lt;/rec-number&gt;&lt;foreign-keys&gt;&lt;key app="EN" db-id="etwareaz8xpxz3et59b50d9vxrata9z2w2zt" timestamp="1456791914"&gt;171&lt;/key&gt;&lt;/foreign-keys&gt;&lt;ref-type name="Book"&gt;6&lt;/ref-type&gt;&lt;contributors&gt;&lt;authors&gt;&lt;author&gt;Linda A Wood&lt;/author&gt;&lt;author&gt;Rlf O Kroger&lt;/author&gt;&lt;/authors&gt;&lt;/contributors&gt;&lt;titles&gt;&lt;title&gt;Doing Discourse Analysis Methods for Studying Action in Talk and Text&lt;/title&gt;&lt;/titles&gt;&lt;dates&gt;&lt;year&gt;2000&lt;/year&gt;&lt;/dates&gt;&lt;pub-location&gt;Thousand Oaks, CA&lt;/pub-location&gt;&lt;publisher&gt;Sage Publishing Inc&lt;/publisher&gt;&lt;urls&gt;&lt;/urls&gt;&lt;/record&gt;&lt;/Cite&gt;&lt;Cite&gt;&lt;Author&gt;Dijk&lt;/Author&gt;&lt;Year&gt;2008&lt;/Year&gt;&lt;RecNum&gt;191&lt;/RecNum&gt;&lt;record&gt;&lt;rec-number&gt;191&lt;/rec-number&gt;&lt;foreign-keys&gt;&lt;key app="EN" db-id="etwareaz8xpxz3et59b50d9vxrata9z2w2zt" timestamp="1457806283"&gt;191&lt;/key&gt;&lt;/foreign-keys&gt;&lt;ref-type name="Book Section"&gt;5&lt;/ref-type&gt;&lt;contributors&gt;&lt;authors&gt;&lt;author&gt;van Dijk, Teun&lt;/author&gt;&lt;/authors&gt;&lt;secondary-authors&gt;&lt;author&gt;Deborah Schiffrin&lt;/author&gt;&lt;author&gt;Deborah Tannen&lt;/author&gt;&lt;author&gt;Heidi E Hamiliton&lt;/author&gt;&lt;/secondary-authors&gt;&lt;/contributors&gt;&lt;titles&gt;&lt;title&gt;Critical Discourse Analysis&lt;/title&gt;&lt;secondary-title&gt;The Handbook of Discourse Analysis&lt;/secondary-title&gt;&lt;/titles&gt;&lt;section&gt;18&lt;/section&gt;&lt;dates&gt;&lt;year&gt;2008&lt;/year&gt;&lt;/dates&gt;&lt;pub-location&gt;Malden, Massachusetts&lt;/pub-location&gt;&lt;publisher&gt;Blackwell Publishers Ltd&lt;/publisher&gt;&lt;urls&gt;&lt;/urls&gt;&lt;/record&gt;&lt;/Cite&gt;&lt;/EndNote&gt;</w:instrText>
      </w:r>
      <w:r w:rsidRPr="005D3F76">
        <w:rPr>
          <w:rFonts w:cs="Times New Roman"/>
          <w:szCs w:val="24"/>
        </w:rPr>
        <w:fldChar w:fldCharType="separate"/>
      </w:r>
      <w:r w:rsidRPr="005D3F76">
        <w:rPr>
          <w:rFonts w:cs="Times New Roman"/>
          <w:noProof/>
          <w:szCs w:val="24"/>
        </w:rPr>
        <w:t>(van Dijk, 2008; Wood &amp; Kroger, 2000)</w:t>
      </w:r>
      <w:r w:rsidRPr="005D3F76">
        <w:rPr>
          <w:rFonts w:cs="Times New Roman"/>
          <w:szCs w:val="24"/>
        </w:rPr>
        <w:fldChar w:fldCharType="end"/>
      </w:r>
      <w:r w:rsidRPr="005D3F76">
        <w:rPr>
          <w:rFonts w:cs="Times New Roman"/>
          <w:szCs w:val="24"/>
        </w:rPr>
        <w:t xml:space="preserve">. Groups have control over other groups if they are able to control the minds and eventual actions of other groups outside their own. These dominant groups amalgamate into the very laws, policies, and norms of general society, this is what Gramsci </w:t>
      </w:r>
      <w:r w:rsidRPr="005D3F76">
        <w:rPr>
          <w:rFonts w:cs="Times New Roman"/>
          <w:szCs w:val="24"/>
        </w:rPr>
        <w:fldChar w:fldCharType="begin"/>
      </w:r>
      <w:r w:rsidRPr="005D3F76">
        <w:rPr>
          <w:rFonts w:cs="Times New Roman"/>
          <w:szCs w:val="24"/>
        </w:rPr>
        <w:instrText xml:space="preserve"> ADDIN EN.CITE &lt;EndNote&gt;&lt;Cite ExcludeAuth="1"&gt;&lt;Author&gt;Gramsci&lt;/Author&gt;&lt;Year&gt;1971&lt;/Year&gt;&lt;RecNum&gt;3&lt;/RecNum&gt;&lt;DisplayText&gt;(1971)&lt;/DisplayText&gt;&lt;record&gt;&lt;rec-number&gt;3&lt;/rec-number&gt;&lt;foreign-keys&gt;&lt;key app="EN" db-id="etwareaz8xpxz3et59b50d9vxrata9z2w2zt" timestamp="1444522353"&gt;3&lt;/key&gt;&lt;/foreign-keys&gt;&lt;ref-type name="Book"&gt;6&lt;/ref-type&gt;&lt;contributors&gt;&lt;authors&gt;&lt;author&gt;Antonio Gramsci&lt;/author&gt;&lt;/authors&gt;&lt;/contributors&gt;&lt;titles&gt;&lt;title&gt;Selections from the Prison Notebooks&lt;/title&gt;&lt;/titles&gt;&lt;dates&gt;&lt;year&gt;1971&lt;/year&gt;&lt;/dates&gt;&lt;pub-location&gt;London&lt;/pub-location&gt;&lt;publisher&gt;Lawrence and Wishart&lt;/publisher&gt;&lt;urls&gt;&lt;/urls&gt;&lt;/record&gt;&lt;/Cite&gt;&lt;/EndNote&gt;</w:instrText>
      </w:r>
      <w:r w:rsidRPr="005D3F76">
        <w:rPr>
          <w:rFonts w:cs="Times New Roman"/>
          <w:szCs w:val="24"/>
        </w:rPr>
        <w:fldChar w:fldCharType="separate"/>
      </w:r>
      <w:r w:rsidRPr="005D3F76">
        <w:rPr>
          <w:rFonts w:cs="Times New Roman"/>
          <w:noProof/>
          <w:szCs w:val="24"/>
        </w:rPr>
        <w:t>(1971)</w:t>
      </w:r>
      <w:r w:rsidRPr="005D3F76">
        <w:rPr>
          <w:rFonts w:cs="Times New Roman"/>
          <w:szCs w:val="24"/>
        </w:rPr>
        <w:fldChar w:fldCharType="end"/>
      </w:r>
      <w:r w:rsidRPr="005D3F76">
        <w:rPr>
          <w:rFonts w:cs="Times New Roman"/>
          <w:szCs w:val="24"/>
        </w:rPr>
        <w:t xml:space="preserve"> would call hegemonic ideology, and in this research this will be referenced later as the ‘little p policies’ that were discussed in Chapter One. Therefore, many of the actions of these dominant groups are not done by force or abusive actions, but rather in the everyday actions and/or discourses produced by them, and ultimately the results of those actions. </w:t>
      </w:r>
    </w:p>
    <w:p w14:paraId="6CEBBDD8" w14:textId="77777777" w:rsidR="00B03557" w:rsidRPr="005D3F76" w:rsidRDefault="00B03557" w:rsidP="00C56DF5">
      <w:pPr>
        <w:ind w:firstLine="360"/>
        <w:rPr>
          <w:rFonts w:cs="Times New Roman"/>
          <w:szCs w:val="24"/>
        </w:rPr>
      </w:pPr>
      <w:r w:rsidRPr="005D3F76">
        <w:rPr>
          <w:rFonts w:cs="Times New Roman"/>
          <w:szCs w:val="24"/>
        </w:rPr>
        <w:lastRenderedPageBreak/>
        <w:t xml:space="preserve">In this regard it is essential that an analysis using CDA must contend with the principles of power and the discourse within the data. It is important to note that access “to specific forms of discourse” such as, the newspapers, “is itself a power resource,” one that reflects the powerful group that it represents </w:t>
      </w:r>
      <w:r w:rsidRPr="005D3F76">
        <w:rPr>
          <w:rFonts w:cs="Times New Roman"/>
          <w:szCs w:val="24"/>
        </w:rPr>
        <w:fldChar w:fldCharType="begin"/>
      </w:r>
      <w:r w:rsidRPr="005D3F76">
        <w:rPr>
          <w:rFonts w:cs="Times New Roman"/>
          <w:szCs w:val="24"/>
        </w:rPr>
        <w:instrText xml:space="preserve"> ADDIN EN.CITE &lt;EndNote&gt;&lt;Cite&gt;&lt;Author&gt;Dijk&lt;/Author&gt;&lt;Year&gt;2008&lt;/Year&gt;&lt;RecNum&gt;191&lt;/RecNum&gt;&lt;Pages&gt;355&lt;/Pages&gt;&lt;DisplayText&gt;(van Dijk, 2008, p. 355)&lt;/DisplayText&gt;&lt;record&gt;&lt;rec-number&gt;191&lt;/rec-number&gt;&lt;foreign-keys&gt;&lt;key app="EN" db-id="etwareaz8xpxz3et59b50d9vxrata9z2w2zt" timestamp="1457806283"&gt;191&lt;/key&gt;&lt;/foreign-keys&gt;&lt;ref-type name="Book Section"&gt;5&lt;/ref-type&gt;&lt;contributors&gt;&lt;authors&gt;&lt;author&gt;van Dijk, Teun&lt;/author&gt;&lt;/authors&gt;&lt;secondary-authors&gt;&lt;author&gt;Deborah Schiffrin&lt;/author&gt;&lt;author&gt;Deborah Tannen&lt;/author&gt;&lt;author&gt;Heidi E Hamiliton&lt;/author&gt;&lt;/secondary-authors&gt;&lt;/contributors&gt;&lt;titles&gt;&lt;title&gt;Critical Discourse Analysis&lt;/title&gt;&lt;secondary-title&gt;The Handbook of Discourse Analysis&lt;/secondary-title&gt;&lt;/titles&gt;&lt;section&gt;18&lt;/section&gt;&lt;dates&gt;&lt;year&gt;2008&lt;/year&gt;&lt;/dates&gt;&lt;pub-location&gt;Malden, Massachusetts&lt;/pub-location&gt;&lt;publisher&gt;Blackwell Publishers Ltd&lt;/publisher&gt;&lt;urls&gt;&lt;/urls&gt;&lt;/record&gt;&lt;/Cite&gt;&lt;/EndNote&gt;</w:instrText>
      </w:r>
      <w:r w:rsidRPr="005D3F76">
        <w:rPr>
          <w:rFonts w:cs="Times New Roman"/>
          <w:szCs w:val="24"/>
        </w:rPr>
        <w:fldChar w:fldCharType="separate"/>
      </w:r>
      <w:r w:rsidRPr="005D3F76">
        <w:rPr>
          <w:rFonts w:cs="Times New Roman"/>
          <w:noProof/>
          <w:szCs w:val="24"/>
        </w:rPr>
        <w:t>(van Dijk, 2008, p. 355)</w:t>
      </w:r>
      <w:r w:rsidRPr="005D3F76">
        <w:rPr>
          <w:rFonts w:cs="Times New Roman"/>
          <w:szCs w:val="24"/>
        </w:rPr>
        <w:fldChar w:fldCharType="end"/>
      </w:r>
      <w:r w:rsidRPr="005D3F76">
        <w:rPr>
          <w:rFonts w:cs="Times New Roman"/>
          <w:szCs w:val="24"/>
        </w:rPr>
        <w:t xml:space="preserve">. With this perception it is easier to understand within the analysis that these groups have more chances to control the behaviors and eventually the minds of others. Given the function of discourse that is highly political, such as the teacher unions, “the enactment, reproduction, and legitimization of power and domination,” is thus important to discuss within the context of the methodology for CDA </w:t>
      </w:r>
      <w:r w:rsidRPr="005D3F76">
        <w:rPr>
          <w:rFonts w:cs="Times New Roman"/>
          <w:szCs w:val="24"/>
        </w:rPr>
        <w:fldChar w:fldCharType="begin"/>
      </w:r>
      <w:r w:rsidRPr="005D3F76">
        <w:rPr>
          <w:rFonts w:cs="Times New Roman"/>
          <w:szCs w:val="24"/>
        </w:rPr>
        <w:instrText xml:space="preserve"> ADDIN EN.CITE &lt;EndNote&gt;&lt;Cite&gt;&lt;Author&gt;Dijk&lt;/Author&gt;&lt;Year&gt;2008&lt;/Year&gt;&lt;RecNum&gt;191&lt;/RecNum&gt;&lt;Pages&gt;360&lt;/Pages&gt;&lt;DisplayText&gt;(van Dijk, 2008, p. 360)&lt;/DisplayText&gt;&lt;record&gt;&lt;rec-number&gt;191&lt;/rec-number&gt;&lt;foreign-keys&gt;&lt;key app="EN" db-id="etwareaz8xpxz3et59b50d9vxrata9z2w2zt" timestamp="1457806283"&gt;191&lt;/key&gt;&lt;/foreign-keys&gt;&lt;ref-type name="Book Section"&gt;5&lt;/ref-type&gt;&lt;contributors&gt;&lt;authors&gt;&lt;author&gt;van Dijk, Teun&lt;/author&gt;&lt;/authors&gt;&lt;secondary-authors&gt;&lt;author&gt;Deborah Schiffrin&lt;/author&gt;&lt;author&gt;Deborah Tannen&lt;/author&gt;&lt;author&gt;Heidi E Hamiliton&lt;/author&gt;&lt;/secondary-authors&gt;&lt;/contributors&gt;&lt;titles&gt;&lt;title&gt;Critical Discourse Analysis&lt;/title&gt;&lt;secondary-title&gt;The Handbook of Discourse Analysis&lt;/secondary-title&gt;&lt;/titles&gt;&lt;section&gt;18&lt;/section&gt;&lt;dates&gt;&lt;year&gt;2008&lt;/year&gt;&lt;/dates&gt;&lt;pub-location&gt;Malden, Massachusetts&lt;/pub-location&gt;&lt;publisher&gt;Blackwell Publishers Ltd&lt;/publisher&gt;&lt;urls&gt;&lt;/urls&gt;&lt;/record&gt;&lt;/Cite&gt;&lt;/EndNote&gt;</w:instrText>
      </w:r>
      <w:r w:rsidRPr="005D3F76">
        <w:rPr>
          <w:rFonts w:cs="Times New Roman"/>
          <w:szCs w:val="24"/>
        </w:rPr>
        <w:fldChar w:fldCharType="separate"/>
      </w:r>
      <w:r w:rsidRPr="005D3F76">
        <w:rPr>
          <w:rFonts w:cs="Times New Roman"/>
          <w:noProof/>
          <w:szCs w:val="24"/>
        </w:rPr>
        <w:t>(van Dijk, 2008, p. 360)</w:t>
      </w:r>
      <w:r w:rsidRPr="005D3F76">
        <w:rPr>
          <w:rFonts w:cs="Times New Roman"/>
          <w:szCs w:val="24"/>
        </w:rPr>
        <w:fldChar w:fldCharType="end"/>
      </w:r>
      <w:r w:rsidRPr="005D3F76">
        <w:rPr>
          <w:rFonts w:cs="Times New Roman"/>
          <w:szCs w:val="24"/>
        </w:rPr>
        <w:t xml:space="preserve">. Although much of the discourse that is examined and researched within CDA frameworks is political by nature, it is relatively unknown within the political science and public policy fields, even though there is some rhetorical overlap and discussion within political science of such issues of discourse </w:t>
      </w:r>
      <w:r w:rsidRPr="005D3F76">
        <w:rPr>
          <w:rFonts w:cs="Times New Roman"/>
          <w:szCs w:val="24"/>
        </w:rPr>
        <w:fldChar w:fldCharType="begin"/>
      </w:r>
      <w:r w:rsidRPr="005D3F76">
        <w:rPr>
          <w:rFonts w:cs="Times New Roman"/>
          <w:szCs w:val="24"/>
        </w:rPr>
        <w:instrText xml:space="preserve"> ADDIN EN.CITE &lt;EndNote&gt;&lt;Cite&gt;&lt;Author&gt;Fox&lt;/Author&gt;&lt;Year&gt;1995&lt;/Year&gt;&lt;RecNum&gt;198&lt;/RecNum&gt;&lt;DisplayText&gt;(Derian &amp;amp; Miller, 1989; Fox &amp;amp; Miller, 1995)&lt;/DisplayText&gt;&lt;record&gt;&lt;rec-number&gt;198&lt;/rec-number&gt;&lt;foreign-keys&gt;&lt;key app="EN" db-id="etwareaz8xpxz3et59b50d9vxrata9z2w2zt" timestamp="1458764793"&gt;198&lt;/key&gt;&lt;/foreign-keys&gt;&lt;ref-type name="Book"&gt;6&lt;/ref-type&gt;&lt;contributors&gt;&lt;authors&gt;&lt;author&gt;C.J. Fox&lt;/author&gt;&lt;author&gt;H.T. Miller&lt;/author&gt;&lt;/authors&gt;&lt;/contributors&gt;&lt;titles&gt;&lt;title&gt;Postmodern Public: A Demonstration Toward Discourse&lt;/title&gt;&lt;/titles&gt;&lt;dates&gt;&lt;year&gt;1995&lt;/year&gt;&lt;/dates&gt;&lt;pub-location&gt;London, CA&lt;/pub-location&gt;&lt;publisher&gt;Sage&lt;/publisher&gt;&lt;urls&gt;&lt;/urls&gt;&lt;/record&gt;&lt;/Cite&gt;&lt;Cite&gt;&lt;Author&gt;Derian&lt;/Author&gt;&lt;Year&gt;1989&lt;/Year&gt;&lt;RecNum&gt;197&lt;/RecNum&gt;&lt;record&gt;&lt;rec-number&gt;197&lt;/rec-number&gt;&lt;foreign-keys&gt;&lt;key app="EN" db-id="etwareaz8xpxz3et59b50d9vxrata9z2w2zt" timestamp="1458764687"&gt;197&lt;/key&gt;&lt;/foreign-keys&gt;&lt;ref-type name="Book"&gt;6&lt;/ref-type&gt;&lt;contributors&gt;&lt;authors&gt;&lt;author&gt;J.D. Derian&lt;/author&gt;&lt;author&gt;M.J. Miller&lt;/author&gt;&lt;/authors&gt;&lt;/contributors&gt;&lt;titles&gt;&lt;title&gt;International/Intertextual Relations&lt;/title&gt;&lt;/titles&gt;&lt;dates&gt;&lt;year&gt;1989&lt;/year&gt;&lt;/dates&gt;&lt;pub-location&gt;Lesington, MA&lt;/pub-location&gt;&lt;publisher&gt;D.C. Heath&lt;/publisher&gt;&lt;urls&gt;&lt;/urls&gt;&lt;/record&gt;&lt;/Cite&gt;&lt;/EndNote&gt;</w:instrText>
      </w:r>
      <w:r w:rsidRPr="005D3F76">
        <w:rPr>
          <w:rFonts w:cs="Times New Roman"/>
          <w:szCs w:val="24"/>
        </w:rPr>
        <w:fldChar w:fldCharType="separate"/>
      </w:r>
      <w:r w:rsidRPr="005D3F76">
        <w:rPr>
          <w:rFonts w:cs="Times New Roman"/>
          <w:noProof/>
          <w:szCs w:val="24"/>
        </w:rPr>
        <w:t>(Derian &amp; Miller, 1989; Fox &amp; Miller, 1995)</w:t>
      </w:r>
      <w:r w:rsidRPr="005D3F76">
        <w:rPr>
          <w:rFonts w:cs="Times New Roman"/>
          <w:szCs w:val="24"/>
        </w:rPr>
        <w:fldChar w:fldCharType="end"/>
      </w:r>
      <w:r w:rsidRPr="005D3F76">
        <w:rPr>
          <w:rFonts w:cs="Times New Roman"/>
          <w:szCs w:val="24"/>
        </w:rPr>
        <w:t xml:space="preserve">.  </w:t>
      </w:r>
    </w:p>
    <w:p w14:paraId="2ADF07D3" w14:textId="37F459A4" w:rsidR="00B03557" w:rsidRPr="005D3F76" w:rsidRDefault="00B03557" w:rsidP="00C56DF5">
      <w:pPr>
        <w:ind w:firstLine="360"/>
        <w:rPr>
          <w:rFonts w:cs="Times New Roman"/>
          <w:szCs w:val="24"/>
        </w:rPr>
      </w:pPr>
      <w:r w:rsidRPr="005D3F76">
        <w:rPr>
          <w:rFonts w:cs="Times New Roman"/>
          <w:szCs w:val="24"/>
        </w:rPr>
        <w:t xml:space="preserve">With these principles in mind, the products of the media conform generally well to </w:t>
      </w:r>
      <w:r w:rsidR="00E341FA" w:rsidRPr="005D3F76">
        <w:rPr>
          <w:rFonts w:cs="Times New Roman"/>
          <w:szCs w:val="24"/>
        </w:rPr>
        <w:t>research agenda/methods</w:t>
      </w:r>
      <w:r w:rsidRPr="005D3F76">
        <w:rPr>
          <w:rFonts w:cs="Times New Roman"/>
          <w:szCs w:val="24"/>
        </w:rPr>
        <w:t xml:space="preserve"> within CDA. The point of using CDA as a methodology within the context of the media, as it will pertain to this particular research regarding teacher unions, is that “events and actions may be described with syntactic variations that are a function of the underlying involvement of actors” </w:t>
      </w:r>
      <w:r w:rsidRPr="005D3F76">
        <w:rPr>
          <w:rFonts w:cs="Times New Roman"/>
          <w:szCs w:val="24"/>
        </w:rPr>
        <w:fldChar w:fldCharType="begin"/>
      </w:r>
      <w:r w:rsidRPr="005D3F76">
        <w:rPr>
          <w:rFonts w:cs="Times New Roman"/>
          <w:szCs w:val="24"/>
        </w:rPr>
        <w:instrText xml:space="preserve"> ADDIN EN.CITE &lt;EndNote&gt;&lt;Cite&gt;&lt;Author&gt;Dijk&lt;/Author&gt;&lt;Year&gt;2008&lt;/Year&gt;&lt;RecNum&gt;191&lt;/RecNum&gt;&lt;Pages&gt;359&lt;/Pages&gt;&lt;DisplayText&gt;(van Dijk, 2008, p. 359)&lt;/DisplayText&gt;&lt;record&gt;&lt;rec-number&gt;191&lt;/rec-number&gt;&lt;foreign-keys&gt;&lt;key app="EN" db-id="etwareaz8xpxz3et59b50d9vxrata9z2w2zt" timestamp="1457806283"&gt;191&lt;/key&gt;&lt;/foreign-keys&gt;&lt;ref-type name="Book Section"&gt;5&lt;/ref-type&gt;&lt;contributors&gt;&lt;authors&gt;&lt;author&gt;van Dijk, Teun&lt;/author&gt;&lt;/authors&gt;&lt;secondary-authors&gt;&lt;author&gt;Deborah Schiffrin&lt;/author&gt;&lt;author&gt;Deborah Tannen&lt;/author&gt;&lt;author&gt;Heidi E Hamiliton&lt;/author&gt;&lt;/secondary-authors&gt;&lt;/contributors&gt;&lt;titles&gt;&lt;title&gt;Critical Discourse Analysis&lt;/title&gt;&lt;secondary-title&gt;The Handbook of Discourse Analysis&lt;/secondary-title&gt;&lt;/titles&gt;&lt;section&gt;18&lt;/section&gt;&lt;dates&gt;&lt;year&gt;2008&lt;/year&gt;&lt;/dates&gt;&lt;pub-location&gt;Malden, Massachusetts&lt;/pub-location&gt;&lt;publisher&gt;Blackwell Publishers Ltd&lt;/publisher&gt;&lt;urls&gt;&lt;/urls&gt;&lt;/record&gt;&lt;/Cite&gt;&lt;/EndNote&gt;</w:instrText>
      </w:r>
      <w:r w:rsidRPr="005D3F76">
        <w:rPr>
          <w:rFonts w:cs="Times New Roman"/>
          <w:szCs w:val="24"/>
        </w:rPr>
        <w:fldChar w:fldCharType="separate"/>
      </w:r>
      <w:r w:rsidRPr="005D3F76">
        <w:rPr>
          <w:rFonts w:cs="Times New Roman"/>
          <w:noProof/>
          <w:szCs w:val="24"/>
        </w:rPr>
        <w:t>(van Dijk, 2008, p. 359)</w:t>
      </w:r>
      <w:r w:rsidRPr="005D3F76">
        <w:rPr>
          <w:rFonts w:cs="Times New Roman"/>
          <w:szCs w:val="24"/>
        </w:rPr>
        <w:fldChar w:fldCharType="end"/>
      </w:r>
      <w:r w:rsidRPr="005D3F76">
        <w:rPr>
          <w:rFonts w:cs="Times New Roman"/>
          <w:szCs w:val="24"/>
        </w:rPr>
        <w:t xml:space="preserve">. The cultural studies perspective of the media transitions well into the CDA methodology in this regard by defining the media not as an echo of reality, but as a product of ‘political, economic, and cultural forces’ </w:t>
      </w:r>
      <w:r w:rsidRPr="005D3F76">
        <w:rPr>
          <w:rFonts w:cs="Times New Roman"/>
          <w:szCs w:val="24"/>
        </w:rPr>
        <w:fldChar w:fldCharType="begin"/>
      </w:r>
      <w:r w:rsidRPr="005D3F76">
        <w:rPr>
          <w:rFonts w:cs="Times New Roman"/>
          <w:szCs w:val="24"/>
        </w:rPr>
        <w:instrText xml:space="preserve"> ADDIN EN.CITE &lt;EndNote&gt;&lt;Cite&gt;&lt;Author&gt;Fowler&lt;/Author&gt;&lt;Year&gt;1991&lt;/Year&gt;&lt;RecNum&gt;194&lt;/RecNum&gt;&lt;DisplayText&gt;(Fowler, 1991)&lt;/DisplayText&gt;&lt;record&gt;&lt;rec-number&gt;194&lt;/rec-number&gt;&lt;foreign-keys&gt;&lt;key app="EN" db-id="etwareaz8xpxz3et59b50d9vxrata9z2w2zt" timestamp="1458673362"&gt;194&lt;/key&gt;&lt;/foreign-keys&gt;&lt;ref-type name="Book"&gt;6&lt;/ref-type&gt;&lt;contributors&gt;&lt;authors&gt;&lt;author&gt;R. Fowler&lt;/author&gt;&lt;/authors&gt;&lt;/contributors&gt;&lt;titles&gt;&lt;title&gt;Language in the News Discourse and Ideology in the Press&lt;/title&gt;&lt;/titles&gt;&lt;dates&gt;&lt;year&gt;1991&lt;/year&gt;&lt;/dates&gt;&lt;pub-location&gt;London&lt;/pub-location&gt;&lt;publisher&gt;Routledge and Kegan Paul&lt;/publisher&gt;&lt;urls&gt;&lt;/urls&gt;&lt;/record&gt;&lt;/Cite&gt;&lt;/EndNote&gt;</w:instrText>
      </w:r>
      <w:r w:rsidRPr="005D3F76">
        <w:rPr>
          <w:rFonts w:cs="Times New Roman"/>
          <w:szCs w:val="24"/>
        </w:rPr>
        <w:fldChar w:fldCharType="separate"/>
      </w:r>
      <w:r w:rsidRPr="005D3F76">
        <w:rPr>
          <w:rFonts w:cs="Times New Roman"/>
          <w:noProof/>
          <w:szCs w:val="24"/>
        </w:rPr>
        <w:t>(Fowler, 1991)</w:t>
      </w:r>
      <w:r w:rsidRPr="005D3F76">
        <w:rPr>
          <w:rFonts w:cs="Times New Roman"/>
          <w:szCs w:val="24"/>
        </w:rPr>
        <w:fldChar w:fldCharType="end"/>
      </w:r>
      <w:r w:rsidRPr="005D3F76">
        <w:rPr>
          <w:rFonts w:cs="Times New Roman"/>
          <w:szCs w:val="24"/>
        </w:rPr>
        <w:t xml:space="preserve">. But taking it one step further, Van Dijk (2008) claims that a methodology incorporating CDA and the media should also include a focus on “linguistic tools”’ such as, “the analysis of transitivity in syntax, lexical structure, modality, and speech acts” such as, the use of metaphors, presuppositions and the like (p. 359). </w:t>
      </w:r>
    </w:p>
    <w:p w14:paraId="493BE2F9" w14:textId="77777777" w:rsidR="00B03557" w:rsidRPr="005D3F76" w:rsidRDefault="00B03557" w:rsidP="00C56DF5">
      <w:pPr>
        <w:ind w:firstLine="360"/>
        <w:rPr>
          <w:rFonts w:cs="Times New Roman"/>
          <w:szCs w:val="24"/>
        </w:rPr>
      </w:pPr>
      <w:r w:rsidRPr="005D3F76">
        <w:rPr>
          <w:rFonts w:cs="Times New Roman"/>
          <w:szCs w:val="24"/>
        </w:rPr>
        <w:lastRenderedPageBreak/>
        <w:t>Hence, as stated previously, using CDA as a methodology is not unlike other qualitative methods whereby the researcher looks for patterns within the data, and then categorizes using themes and other techniques of qualitative methods</w:t>
      </w:r>
      <w:r w:rsidRPr="005D3F76">
        <w:rPr>
          <w:rStyle w:val="EndnoteReference"/>
          <w:rFonts w:cs="Times New Roman"/>
          <w:szCs w:val="24"/>
        </w:rPr>
        <w:endnoteReference w:id="22"/>
      </w:r>
      <w:r w:rsidRPr="005D3F76">
        <w:rPr>
          <w:rFonts w:cs="Times New Roman"/>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&lt;EndNote&gt;&lt;Cite&gt;&lt;Author&gt;Wood&lt;/Author&gt;&lt;Year&gt;2000&lt;/Year&gt;&lt;RecNum&gt;171&lt;/RecNum&gt;&lt;DisplayText&gt;(Wood &amp;amp; Kroger, 2000)&lt;/DisplayText&gt;&lt;record&gt;&lt;rec-number&gt;171&lt;/rec-number&gt;&lt;foreign-keys&gt;&lt;key app="EN" db-id="etwareaz8xpxz3et59b50d9vxrata9z2w2zt" timestamp="1456791914"&gt;171&lt;/key&gt;&lt;/foreign-keys&gt;&lt;ref-type name="Book"&gt;6&lt;/ref-type&gt;&lt;contributors&gt;&lt;authors&gt;&lt;author&gt;Linda A Wood&lt;/author&gt;&lt;author&gt;Rlf O Kroger&lt;/author&gt;&lt;/authors&gt;&lt;/contributors&gt;&lt;titles&gt;&lt;title&gt;Doing Discourse Analysis Methods for Studying Action in Talk and Text&lt;/title&gt;&lt;/titles&gt;&lt;dates&gt;&lt;year&gt;2000&lt;/year&gt;&lt;/dates&gt;&lt;pub-location&gt;Thousand Oaks, CA&lt;/pub-location&gt;&lt;publisher&gt;Sage Publishing Inc&lt;/publisher&gt;&lt;urls&gt;&lt;/urls&gt;&lt;/record&gt;&lt;/Cite&gt;&lt;/EndNote&gt;</w:instrText>
      </w:r>
      <w:r w:rsidRPr="005D3F76">
        <w:rPr>
          <w:rFonts w:cs="Times New Roman"/>
          <w:szCs w:val="24"/>
        </w:rPr>
        <w:fldChar w:fldCharType="separate"/>
      </w:r>
      <w:r w:rsidRPr="005D3F76">
        <w:rPr>
          <w:rFonts w:cs="Times New Roman"/>
          <w:noProof/>
          <w:szCs w:val="24"/>
        </w:rPr>
        <w:t>(Wood &amp; Kroger, 2000)</w:t>
      </w:r>
      <w:r w:rsidRPr="005D3F76">
        <w:rPr>
          <w:rFonts w:cs="Times New Roman"/>
          <w:szCs w:val="24"/>
        </w:rPr>
        <w:fldChar w:fldCharType="end"/>
      </w:r>
      <w:r w:rsidRPr="005D3F76">
        <w:rPr>
          <w:rFonts w:cs="Times New Roman"/>
          <w:szCs w:val="24"/>
        </w:rPr>
        <w:t xml:space="preserve">. However, CDA takes these ideas two steps further by being “concerned with the identification of social functions” instead of like many other qualitative methodologies that are primarily “concerned with the generation of a set of interrelated (and often hierarchical) categories (a set that may or may not be taken to represent some internal psychological structure) (p. 28). In doing CDA research, the researcher may use words, phrases, sentences, paragraphs, or even larger pieces to determine what is going on within the discourse and the text being researched. Within this, the chosen discourse/data within the research can then be taken apart to see how it systematized and ordered. </w:t>
      </w:r>
    </w:p>
    <w:p w14:paraId="197F4293" w14:textId="77777777" w:rsidR="00B03557" w:rsidRPr="005D3F76" w:rsidRDefault="00B03557" w:rsidP="00C56DF5">
      <w:pPr>
        <w:ind w:firstLine="360"/>
        <w:rPr>
          <w:rFonts w:cs="Times New Roman"/>
          <w:szCs w:val="24"/>
        </w:rPr>
      </w:pPr>
      <w:r w:rsidRPr="005D3F76">
        <w:rPr>
          <w:rFonts w:cs="Times New Roman"/>
          <w:szCs w:val="24"/>
        </w:rPr>
        <w:t xml:space="preserve">The final stage of any CDA methodological framework, is to take the information found within the discourse/data and interpret and analyze it for content relating to issues of social justice. Thus, taking the “micro” within the data set and trying to generalize and obtain understandings related to the “macro” </w:t>
      </w:r>
      <w:r w:rsidRPr="005D3F76">
        <w:rPr>
          <w:rFonts w:cs="Times New Roman"/>
          <w:szCs w:val="24"/>
        </w:rPr>
        <w:fldChar w:fldCharType="begin"/>
      </w:r>
      <w:r w:rsidRPr="005D3F76">
        <w:rPr>
          <w:rFonts w:cs="Times New Roman"/>
          <w:szCs w:val="24"/>
        </w:rPr>
        <w:instrText xml:space="preserve"> ADDIN EN.CITE &lt;EndNote&gt;&lt;Cite&gt;&lt;Author&gt;Dijk&lt;/Author&gt;&lt;Year&gt;2008&lt;/Year&gt;&lt;RecNum&gt;191&lt;/RecNum&gt;&lt;DisplayText&gt;(van Dijk, 2008)&lt;/DisplayText&gt;&lt;record&gt;&lt;rec-number&gt;191&lt;/rec-number&gt;&lt;foreign-keys&gt;&lt;key app="EN" db-id="etwareaz8xpxz3et59b50d9vxrata9z2w2zt" timestamp="1457806283"&gt;191&lt;/key&gt;&lt;/foreign-keys&gt;&lt;ref-type name="Book Section"&gt;5&lt;/ref-type&gt;&lt;contributors&gt;&lt;authors&gt;&lt;author&gt;van Dijk, Teun&lt;/author&gt;&lt;/authors&gt;&lt;secondary-authors&gt;&lt;author&gt;Deborah Schiffrin&lt;/author&gt;&lt;author&gt;Deborah Tannen&lt;/author&gt;&lt;author&gt;Heidi E Hamiliton&lt;/author&gt;&lt;/secondary-authors&gt;&lt;/contributors&gt;&lt;titles&gt;&lt;title&gt;Critical Discourse Analysis&lt;/title&gt;&lt;secondary-title&gt;The Handbook of Discourse Analysis&lt;/secondary-title&gt;&lt;/titles&gt;&lt;section&gt;18&lt;/section&gt;&lt;dates&gt;&lt;year&gt;2008&lt;/year&gt;&lt;/dates&gt;&lt;pub-location&gt;Malden, Massachusetts&lt;/pub-location&gt;&lt;publisher&gt;Blackwell Publishers Ltd&lt;/publisher&gt;&lt;urls&gt;&lt;/urls&gt;&lt;/record&gt;&lt;/Cite&gt;&lt;/EndNote&gt;</w:instrText>
      </w:r>
      <w:r w:rsidRPr="005D3F76">
        <w:rPr>
          <w:rFonts w:cs="Times New Roman"/>
          <w:szCs w:val="24"/>
        </w:rPr>
        <w:fldChar w:fldCharType="separate"/>
      </w:r>
      <w:r w:rsidRPr="005D3F76">
        <w:rPr>
          <w:rFonts w:cs="Times New Roman"/>
          <w:noProof/>
          <w:szCs w:val="24"/>
        </w:rPr>
        <w:t>(van Dijk, 2008)</w:t>
      </w:r>
      <w:r w:rsidRPr="005D3F76">
        <w:rPr>
          <w:rFonts w:cs="Times New Roman"/>
          <w:szCs w:val="24"/>
        </w:rPr>
        <w:fldChar w:fldCharType="end"/>
      </w:r>
      <w:r w:rsidRPr="005D3F76">
        <w:rPr>
          <w:rFonts w:cs="Times New Roman"/>
          <w:szCs w:val="24"/>
        </w:rPr>
        <w:t xml:space="preserve">. In this way, what is found in the discourses/data, speak for themselves, allowing the researcher in the analysis to identify what is undergirding the surface structure of the text and possibly hiding the real meaning and force within the discourse. </w:t>
      </w:r>
    </w:p>
    <w:p w14:paraId="4229CC42" w14:textId="19F4EC8F" w:rsidR="00B03557" w:rsidRPr="005D3F76" w:rsidRDefault="00B03557" w:rsidP="00C56DF5">
      <w:pPr>
        <w:ind w:firstLine="360"/>
        <w:rPr>
          <w:rFonts w:cs="Times New Roman"/>
          <w:b/>
          <w:szCs w:val="24"/>
        </w:rPr>
      </w:pPr>
      <w:r w:rsidRPr="005D3F76">
        <w:rPr>
          <w:rFonts w:cs="Times New Roman"/>
          <w:szCs w:val="24"/>
        </w:rPr>
        <w:t>Critical discourse analysis must present a unified whole between method and theory as an outcome of the work that is performed. In this manner, the final product of research using CDA is a philosophica</w:t>
      </w:r>
      <w:r w:rsidR="00631054" w:rsidRPr="005D3F76">
        <w:rPr>
          <w:rFonts w:cs="Times New Roman"/>
          <w:szCs w:val="24"/>
        </w:rPr>
        <w:t>l endeavor of a data set that utilizes discourse on a particular topic being researched</w:t>
      </w:r>
      <w:r w:rsidRPr="005D3F76">
        <w:rPr>
          <w:rFonts w:cs="Times New Roman"/>
          <w:szCs w:val="24"/>
        </w:rPr>
        <w:t>, i.e. teacher unions. Each work that utilizes CDA as a component of “tool”</w:t>
      </w:r>
      <w:r w:rsidR="00631054" w:rsidRPr="005D3F76">
        <w:rPr>
          <w:rFonts w:cs="Times New Roman"/>
          <w:szCs w:val="24"/>
        </w:rPr>
        <w:t xml:space="preserve"> looks different because of the research that is conducted.</w:t>
      </w:r>
      <w:r w:rsidRPr="005D3F76">
        <w:rPr>
          <w:rFonts w:cs="Times New Roman"/>
          <w:szCs w:val="24"/>
        </w:rPr>
        <w:t xml:space="preserve"> It is most important to remember that a </w:t>
      </w:r>
      <w:r w:rsidRPr="005D3F76">
        <w:rPr>
          <w:rFonts w:cs="Times New Roman"/>
          <w:szCs w:val="24"/>
        </w:rPr>
        <w:lastRenderedPageBreak/>
        <w:t>thorough and thoughtful job of research must be done for this “wholistic” outcome to take place. Thus, in what follows, the procedure for the research that will be performed on teacher unions within the state of Wisconsin will be articulated.</w:t>
      </w:r>
    </w:p>
    <w:p w14:paraId="588DC50F" w14:textId="77777777" w:rsidR="00B03557" w:rsidRPr="005D3F76" w:rsidRDefault="00B03557" w:rsidP="0012433F">
      <w:pPr>
        <w:pStyle w:val="Heading2"/>
        <w:rPr>
          <w:rFonts w:cs="Times New Roman"/>
        </w:rPr>
      </w:pPr>
      <w:bookmarkStart w:id="14" w:name="_Toc462843634"/>
      <w:r w:rsidRPr="005D3F76">
        <w:rPr>
          <w:rFonts w:cs="Times New Roman"/>
        </w:rPr>
        <w:t>The Research Situation and the Procedures of Investigation</w:t>
      </w:r>
      <w:bookmarkEnd w:id="14"/>
    </w:p>
    <w:p w14:paraId="51CDBC6C" w14:textId="2B10B4DE" w:rsidR="00B03557" w:rsidRPr="005D3F76" w:rsidRDefault="00B03557" w:rsidP="00C56DF5">
      <w:pPr>
        <w:rPr>
          <w:rFonts w:cs="Times New Roman"/>
          <w:szCs w:val="24"/>
        </w:rPr>
      </w:pPr>
      <w:r w:rsidRPr="005D3F76">
        <w:rPr>
          <w:rFonts w:cs="Times New Roman"/>
          <w:szCs w:val="24"/>
        </w:rPr>
        <w:tab/>
        <w:t xml:space="preserve">In Chapter Two I reviewed the history of teacher unions and </w:t>
      </w:r>
      <w:r w:rsidR="00631054" w:rsidRPr="005D3F76">
        <w:rPr>
          <w:rFonts w:cs="Times New Roman"/>
          <w:szCs w:val="24"/>
        </w:rPr>
        <w:t xml:space="preserve">the role that they play within </w:t>
      </w:r>
      <w:r w:rsidRPr="005D3F76">
        <w:rPr>
          <w:rFonts w:cs="Times New Roman"/>
          <w:szCs w:val="24"/>
        </w:rPr>
        <w:t>U. S. society. Here, I explain the methodology that I will be using to determine the impact that the media is having upon the public’s perception of public sector/teacher unions based upon the discourse being used by the media toward these organizations. In what follows, I will apply the methodology previously explained to analyze the data acquired concerning the media’s portrayal of unions in the state of Wisconsin, specifically the newspaper as the media form.</w:t>
      </w:r>
      <w:r w:rsidRPr="005D3F76">
        <w:rPr>
          <w:rFonts w:cs="Times New Roman"/>
          <w:szCs w:val="24"/>
        </w:rPr>
        <w:tab/>
        <w:t xml:space="preserve">   </w:t>
      </w:r>
    </w:p>
    <w:p w14:paraId="5CC24B42" w14:textId="4909A384" w:rsidR="00B03557" w:rsidRPr="005D3F76" w:rsidRDefault="00B03557" w:rsidP="00C56DF5">
      <w:pPr>
        <w:rPr>
          <w:rFonts w:cs="Times New Roman"/>
          <w:szCs w:val="24"/>
        </w:rPr>
      </w:pPr>
      <w:r w:rsidRPr="005D3F76">
        <w:rPr>
          <w:rFonts w:cs="Times New Roman"/>
          <w:b/>
          <w:szCs w:val="24"/>
        </w:rPr>
        <w:tab/>
      </w:r>
      <w:r w:rsidRPr="005D3F76">
        <w:rPr>
          <w:rFonts w:cs="Times New Roman"/>
          <w:szCs w:val="24"/>
        </w:rPr>
        <w:t>In this research on teacher unions focusing on the state of Wisconsin, I have chosen to utilize articles from three reputable newspaper organizations for the basis of my analysis.  These three newspapers represent differing levels of contextualization — national (</w:t>
      </w:r>
      <w:r w:rsidRPr="005D3F76">
        <w:rPr>
          <w:rFonts w:cs="Times New Roman"/>
          <w:i/>
          <w:szCs w:val="24"/>
        </w:rPr>
        <w:t>New York Times</w:t>
      </w:r>
      <w:r w:rsidRPr="005D3F76">
        <w:rPr>
          <w:rFonts w:cs="Times New Roman"/>
          <w:szCs w:val="24"/>
        </w:rPr>
        <w:t>), state (</w:t>
      </w:r>
      <w:r w:rsidRPr="005D3F76">
        <w:rPr>
          <w:rFonts w:cs="Times New Roman"/>
          <w:i/>
          <w:szCs w:val="24"/>
        </w:rPr>
        <w:t>Wisconsin State Journal</w:t>
      </w:r>
      <w:r w:rsidRPr="005D3F76">
        <w:rPr>
          <w:rFonts w:cs="Times New Roman"/>
          <w:szCs w:val="24"/>
        </w:rPr>
        <w:t>), and local (</w:t>
      </w:r>
      <w:r w:rsidRPr="005D3F76">
        <w:rPr>
          <w:rFonts w:cs="Times New Roman"/>
          <w:i/>
          <w:szCs w:val="24"/>
        </w:rPr>
        <w:t>Capital Times</w:t>
      </w:r>
      <w:r w:rsidRPr="005D3F76">
        <w:rPr>
          <w:rFonts w:cs="Times New Roman"/>
          <w:szCs w:val="24"/>
        </w:rPr>
        <w:t>).  The articles were written by various authors in the time period of January 1</w:t>
      </w:r>
      <w:r w:rsidRPr="005D3F76">
        <w:rPr>
          <w:rFonts w:cs="Times New Roman"/>
          <w:szCs w:val="24"/>
          <w:vertAlign w:val="superscript"/>
        </w:rPr>
        <w:t>st</w:t>
      </w:r>
      <w:r w:rsidRPr="005D3F76">
        <w:rPr>
          <w:rFonts w:cs="Times New Roman"/>
          <w:szCs w:val="24"/>
        </w:rPr>
        <w:t>, 2011 through December 31</w:t>
      </w:r>
      <w:r w:rsidRPr="005D3F76">
        <w:rPr>
          <w:rFonts w:cs="Times New Roman"/>
          <w:szCs w:val="24"/>
          <w:vertAlign w:val="superscript"/>
        </w:rPr>
        <w:t>st</w:t>
      </w:r>
      <w:r w:rsidRPr="005D3F76">
        <w:rPr>
          <w:rFonts w:cs="Times New Roman"/>
          <w:szCs w:val="24"/>
        </w:rPr>
        <w:t>, 2015. I chose these dates because the issues concerning teacher unions within the state of Wisconsin began in the early part of 2011 shortly before Governor Scott Walker helped to push the ACT 10 legislation into law. Further, even though CDA does not essentially necessitate a large data set to get accurate and well defined results, the time period was extended to 2015 to give both brea</w:t>
      </w:r>
      <w:r w:rsidR="00631054" w:rsidRPr="005D3F76">
        <w:rPr>
          <w:rFonts w:cs="Times New Roman"/>
          <w:szCs w:val="24"/>
        </w:rPr>
        <w:t>d</w:t>
      </w:r>
      <w:r w:rsidRPr="005D3F76">
        <w:rPr>
          <w:rFonts w:cs="Times New Roman"/>
          <w:szCs w:val="24"/>
        </w:rPr>
        <w:t xml:space="preserve">th and depth to the analysis. </w:t>
      </w:r>
    </w:p>
    <w:p w14:paraId="24CDFC85" w14:textId="77777777" w:rsidR="00B03557" w:rsidRPr="005D3F76" w:rsidRDefault="00B03557" w:rsidP="0012433F">
      <w:pPr>
        <w:pStyle w:val="Heading2"/>
        <w:rPr>
          <w:rFonts w:cs="Times New Roman"/>
        </w:rPr>
      </w:pPr>
      <w:bookmarkStart w:id="15" w:name="_Toc462843635"/>
      <w:r w:rsidRPr="005D3F76">
        <w:rPr>
          <w:rFonts w:cs="Times New Roman"/>
        </w:rPr>
        <w:t>About the Newspapers and Their Articles</w:t>
      </w:r>
      <w:bookmarkEnd w:id="15"/>
    </w:p>
    <w:p w14:paraId="0D5D301E" w14:textId="1871A6BE" w:rsidR="00B03557" w:rsidRPr="005D3F76" w:rsidRDefault="00B03557" w:rsidP="00C56DF5">
      <w:pPr>
        <w:rPr>
          <w:rFonts w:cs="Times New Roman"/>
          <w:szCs w:val="24"/>
        </w:rPr>
      </w:pPr>
      <w:r w:rsidRPr="005D3F76">
        <w:rPr>
          <w:rFonts w:cs="Times New Roman"/>
          <w:szCs w:val="24"/>
        </w:rPr>
        <w:tab/>
        <w:t xml:space="preserve">The first newspaper I chose to use in my research on teacher unions in Wisconsin is the </w:t>
      </w:r>
      <w:r w:rsidRPr="005D3F76">
        <w:rPr>
          <w:rFonts w:cs="Times New Roman"/>
          <w:i/>
          <w:szCs w:val="24"/>
        </w:rPr>
        <w:t>New York Times</w:t>
      </w:r>
      <w:r w:rsidRPr="005D3F76">
        <w:rPr>
          <w:rFonts w:cs="Times New Roman"/>
          <w:szCs w:val="24"/>
        </w:rPr>
        <w:t xml:space="preserve">. I chose the </w:t>
      </w:r>
      <w:r w:rsidRPr="005D3F76">
        <w:rPr>
          <w:rFonts w:cs="Times New Roman"/>
          <w:i/>
          <w:szCs w:val="24"/>
        </w:rPr>
        <w:t>New York Times</w:t>
      </w:r>
      <w:r w:rsidRPr="005D3F76">
        <w:rPr>
          <w:rFonts w:cs="Times New Roman"/>
          <w:szCs w:val="24"/>
        </w:rPr>
        <w:t xml:space="preserve"> because the </w:t>
      </w:r>
      <w:r w:rsidRPr="005D3F76">
        <w:rPr>
          <w:rFonts w:cs="Times New Roman"/>
          <w:i/>
          <w:szCs w:val="24"/>
        </w:rPr>
        <w:t xml:space="preserve">Times </w:t>
      </w:r>
      <w:r w:rsidRPr="005D3F76">
        <w:rPr>
          <w:rFonts w:cs="Times New Roman"/>
          <w:szCs w:val="24"/>
        </w:rPr>
        <w:t xml:space="preserve">is considered a national paper </w:t>
      </w:r>
      <w:r w:rsidRPr="005D3F76">
        <w:rPr>
          <w:rFonts w:cs="Times New Roman"/>
          <w:szCs w:val="24"/>
        </w:rPr>
        <w:lastRenderedPageBreak/>
        <w:t xml:space="preserve">and is read all over the U.S. It is considered to be a reliable and reputable source from which to garner good information </w:t>
      </w:r>
      <w:r w:rsidRPr="005D3F76">
        <w:rPr>
          <w:rFonts w:cs="Times New Roman"/>
          <w:szCs w:val="24"/>
        </w:rPr>
        <w:fldChar w:fldCharType="begin"/>
      </w:r>
      <w:r w:rsidRPr="005D3F76">
        <w:rPr>
          <w:rFonts w:cs="Times New Roman"/>
          <w:szCs w:val="24"/>
        </w:rPr>
        <w:instrText xml:space="preserve"> ADDIN EN.CITE &lt;EndNote&gt;&lt;Cite&gt;&lt;Author&gt;Soderlund&lt;/Author&gt;&lt;Year&gt;2002&lt;/Year&gt;&lt;RecNum&gt;227&lt;/RecNum&gt;&lt;DisplayText&gt;(Soderlund, 2002)&lt;/DisplayText&gt;&lt;record&gt;&lt;rec-number&gt;227&lt;/rec-number&gt;&lt;foreign-keys&gt;&lt;key app="EN" db-id="etwareaz8xpxz3et59b50d9vxrata9z2w2zt" timestamp="1462298153"&gt;227&lt;/key&gt;&lt;/foreign-keys&gt;&lt;ref-type name="Journal Article"&gt;17&lt;/ref-type&gt;&lt;contributors&gt;&lt;authors&gt;&lt;author&gt;Gretchen Soderlund&lt;/author&gt;&lt;/authors&gt;&lt;/contributors&gt;&lt;titles&gt;&lt;title&gt;Covering Urban Vice: The New York Times, &amp;quot;White Slavery,&amp;quot; and the Construction of Journalistic Knowledge&lt;/title&gt;&lt;secondary-title&gt;Critical Studies in Media Communication&lt;/secondary-title&gt;&lt;/titles&gt;&lt;periodical&gt;&lt;full-title&gt;Critical Studies in Media Communication&lt;/full-title&gt;&lt;/periodical&gt;&lt;pages&gt;438-460&lt;/pages&gt;&lt;volume&gt;19&lt;/volume&gt;&lt;number&gt;4&lt;/number&gt;&lt;dates&gt;&lt;year&gt;2002&lt;/year&gt;&lt;/dates&gt;&lt;urls&gt;&lt;/urls&gt;&lt;/record&gt;&lt;/Cite&gt;&lt;/EndNote&gt;</w:instrText>
      </w:r>
      <w:r w:rsidRPr="005D3F76">
        <w:rPr>
          <w:rFonts w:cs="Times New Roman"/>
          <w:szCs w:val="24"/>
        </w:rPr>
        <w:fldChar w:fldCharType="separate"/>
      </w:r>
      <w:r w:rsidRPr="005D3F76">
        <w:rPr>
          <w:rFonts w:cs="Times New Roman"/>
          <w:noProof/>
          <w:szCs w:val="24"/>
        </w:rPr>
        <w:t>(Soderlund, 2002)</w:t>
      </w:r>
      <w:r w:rsidRPr="005D3F76">
        <w:rPr>
          <w:rFonts w:cs="Times New Roman"/>
          <w:szCs w:val="24"/>
        </w:rPr>
        <w:fldChar w:fldCharType="end"/>
      </w:r>
      <w:r w:rsidRPr="005D3F76">
        <w:rPr>
          <w:rFonts w:cs="Times New Roman"/>
          <w:szCs w:val="24"/>
        </w:rPr>
        <w:t xml:space="preserve">.  The </w:t>
      </w:r>
      <w:r w:rsidRPr="005D3F76">
        <w:rPr>
          <w:rFonts w:cs="Times New Roman"/>
          <w:i/>
          <w:szCs w:val="24"/>
        </w:rPr>
        <w:t>Times</w:t>
      </w:r>
      <w:r w:rsidRPr="005D3F76">
        <w:rPr>
          <w:rFonts w:cs="Times New Roman"/>
          <w:szCs w:val="24"/>
        </w:rPr>
        <w:t xml:space="preserve"> has been continuously publishing since </w:t>
      </w:r>
      <w:r w:rsidR="00631054" w:rsidRPr="005D3F76">
        <w:rPr>
          <w:rFonts w:cs="Times New Roman"/>
          <w:szCs w:val="24"/>
        </w:rPr>
        <w:t>18</w:t>
      </w:r>
      <w:r w:rsidRPr="005D3F76">
        <w:rPr>
          <w:rFonts w:cs="Times New Roman"/>
          <w:szCs w:val="24"/>
        </w:rPr>
        <w:t xml:space="preserve">51 and has won over 117 Pulitzer Prizes for its journalistic integrity </w:t>
      </w:r>
      <w:r w:rsidRPr="005D3F76">
        <w:rPr>
          <w:rFonts w:cs="Times New Roman"/>
          <w:szCs w:val="24"/>
        </w:rPr>
        <w:fldChar w:fldCharType="begin"/>
      </w:r>
      <w:r w:rsidRPr="005D3F76">
        <w:rPr>
          <w:rFonts w:cs="Times New Roman"/>
          <w:szCs w:val="24"/>
        </w:rPr>
        <w:instrText xml:space="preserve"> ADDIN EN.CITE &lt;EndNote&gt;&lt;Cite&gt;&lt;Author&gt;Times&lt;/Author&gt;&lt;Year&gt;2016&lt;/Year&gt;&lt;RecNum&gt;223&lt;/RecNum&gt;&lt;DisplayText&gt;(The New York Times, 2016)&lt;/DisplayText&gt;&lt;record&gt;&lt;rec-number&gt;223&lt;/rec-number&gt;&lt;foreign-keys&gt;&lt;key app="EN" db-id="etwareaz8xpxz3et59b50d9vxrata9z2w2zt" timestamp="1462287036"&gt;223&lt;/key&gt;&lt;/foreign-keys&gt;&lt;ref-type name="Web Page"&gt;12&lt;/ref-type&gt;&lt;contributors&gt;&lt;authors&gt;&lt;author&gt;The New York Times,&lt;/author&gt;&lt;/authors&gt;&lt;/contributors&gt;&lt;titles&gt;&lt;/titles&gt;&lt;volume&gt;2016&lt;/volume&gt;&lt;number&gt;May&lt;/number&gt;&lt;dates&gt;&lt;year&gt;2016&lt;/year&gt;&lt;/dates&gt;&lt;pub-location&gt;New York, New York&lt;/pub-location&gt;&lt;publisher&gt;The New York Times Company&lt;/publisher&gt;&lt;urls&gt;&lt;related-urls&gt;&lt;url&gt;http://www.nytimes.com/&lt;/url&gt;&lt;/related-urls&gt;&lt;/urls&gt;&lt;/record&gt;&lt;/Cite&gt;&lt;/EndNote&gt;</w:instrText>
      </w:r>
      <w:r w:rsidRPr="005D3F76">
        <w:rPr>
          <w:rFonts w:cs="Times New Roman"/>
          <w:szCs w:val="24"/>
        </w:rPr>
        <w:fldChar w:fldCharType="separate"/>
      </w:r>
      <w:r w:rsidRPr="005D3F76">
        <w:rPr>
          <w:rFonts w:cs="Times New Roman"/>
          <w:noProof/>
          <w:szCs w:val="24"/>
        </w:rPr>
        <w:t>(The New York Times, 2016)</w:t>
      </w:r>
      <w:r w:rsidRPr="005D3F76">
        <w:rPr>
          <w:rFonts w:cs="Times New Roman"/>
          <w:szCs w:val="24"/>
        </w:rPr>
        <w:fldChar w:fldCharType="end"/>
      </w:r>
      <w:r w:rsidRPr="005D3F76">
        <w:rPr>
          <w:rFonts w:cs="Times New Roman"/>
          <w:szCs w:val="24"/>
        </w:rPr>
        <w:t xml:space="preserve">.  The </w:t>
      </w:r>
      <w:r w:rsidRPr="005D3F76">
        <w:rPr>
          <w:rFonts w:cs="Times New Roman"/>
          <w:i/>
          <w:szCs w:val="24"/>
        </w:rPr>
        <w:t>Times</w:t>
      </w:r>
      <w:r w:rsidRPr="005D3F76">
        <w:rPr>
          <w:rFonts w:cs="Times New Roman"/>
          <w:szCs w:val="24"/>
        </w:rPr>
        <w:t xml:space="preserve"> over its history has been referred to as the “newspaper of record,” meaning that the </w:t>
      </w:r>
      <w:r w:rsidRPr="005D3F76">
        <w:rPr>
          <w:rFonts w:cs="Times New Roman"/>
          <w:i/>
          <w:szCs w:val="24"/>
        </w:rPr>
        <w:t>Times</w:t>
      </w:r>
      <w:r w:rsidRPr="005D3F76">
        <w:rPr>
          <w:rFonts w:cs="Times New Roman"/>
          <w:szCs w:val="24"/>
        </w:rPr>
        <w:t xml:space="preserve"> tries to reflect history as accurately and unbiased as possible </w:t>
      </w:r>
      <w:r w:rsidRPr="005D3F76">
        <w:rPr>
          <w:rFonts w:cs="Times New Roman"/>
          <w:szCs w:val="24"/>
        </w:rPr>
        <w:fldChar w:fldCharType="begin"/>
      </w:r>
      <w:r w:rsidRPr="005D3F76">
        <w:rPr>
          <w:rFonts w:cs="Times New Roman"/>
          <w:szCs w:val="24"/>
        </w:rPr>
        <w:instrText xml:space="preserve"> ADDIN EN.CITE &lt;EndNote&gt;&lt;Cite&gt;&lt;Author&gt;Britannica&lt;/Author&gt;&lt;Year&gt;2015&lt;/Year&gt;&lt;RecNum&gt;228&lt;/RecNum&gt;&lt;DisplayText&gt;(The Editors of Encyclopedia Britannica, 2015)&lt;/DisplayText&gt;&lt;record&gt;&lt;rec-number&gt;228&lt;/rec-number&gt;&lt;foreign-keys&gt;&lt;key app="EN" db-id="etwareaz8xpxz3et59b50d9vxrata9z2w2zt" timestamp="1462298843"&gt;228&lt;/key&gt;&lt;/foreign-keys&gt;&lt;ref-type name="Encyclopedia"&gt;53&lt;/ref-type&gt;&lt;contributors&gt;&lt;authors&gt;&lt;author&gt;The Editors of Encyclopedia Britannica,&lt;/author&gt;&lt;/authors&gt;&lt;/contributors&gt;&lt;titles&gt;&lt;title&gt;The New York Times American Newspaper&lt;/title&gt;&lt;secondary-title&gt;Encyclopaedia Britannica&lt;/secondary-title&gt;&lt;/titles&gt;&lt;dates&gt;&lt;year&gt;2015&lt;/year&gt;&lt;/dates&gt;&lt;pub-location&gt;England&lt;/pub-location&gt;&lt;publisher&gt;Encyclopaedia Britanica Inc.&lt;/publisher&gt;&lt;urls&gt;&lt;related-urls&gt;&lt;url&gt;http://www.britannica.com/topic/The-New-York-Times&lt;/url&gt;&lt;/related-urls&gt;&lt;/urls&gt;&lt;/record&gt;&lt;/Cite&gt;&lt;/EndNote&gt;</w:instrText>
      </w:r>
      <w:r w:rsidRPr="005D3F76">
        <w:rPr>
          <w:rFonts w:cs="Times New Roman"/>
          <w:szCs w:val="24"/>
        </w:rPr>
        <w:fldChar w:fldCharType="separate"/>
      </w:r>
      <w:r w:rsidRPr="005D3F76">
        <w:rPr>
          <w:rFonts w:cs="Times New Roman"/>
          <w:noProof/>
          <w:szCs w:val="24"/>
        </w:rPr>
        <w:t>(The Editors of Encyclopedia Britannica, 2015)</w:t>
      </w:r>
      <w:r w:rsidRPr="005D3F76">
        <w:rPr>
          <w:rFonts w:cs="Times New Roman"/>
          <w:szCs w:val="24"/>
        </w:rPr>
        <w:fldChar w:fldCharType="end"/>
      </w:r>
      <w:r w:rsidRPr="005D3F76">
        <w:rPr>
          <w:rFonts w:cs="Times New Roman"/>
          <w:szCs w:val="24"/>
        </w:rPr>
        <w:t xml:space="preserve">. </w:t>
      </w:r>
    </w:p>
    <w:p w14:paraId="4B0BB269" w14:textId="77777777" w:rsidR="00B03557" w:rsidRPr="005D3F76" w:rsidRDefault="00B03557" w:rsidP="00C56DF5">
      <w:pPr>
        <w:rPr>
          <w:rFonts w:cs="Times New Roman"/>
          <w:szCs w:val="24"/>
        </w:rPr>
      </w:pPr>
      <w:r w:rsidRPr="005D3F76">
        <w:rPr>
          <w:rFonts w:cs="Times New Roman"/>
          <w:szCs w:val="24"/>
        </w:rPr>
        <w:tab/>
        <w:t xml:space="preserve">The </w:t>
      </w:r>
      <w:r w:rsidRPr="005D3F76">
        <w:rPr>
          <w:rFonts w:cs="Times New Roman"/>
          <w:i/>
          <w:szCs w:val="24"/>
        </w:rPr>
        <w:t xml:space="preserve">Times </w:t>
      </w:r>
      <w:r w:rsidRPr="005D3F76">
        <w:rPr>
          <w:rFonts w:cs="Times New Roman"/>
          <w:szCs w:val="24"/>
        </w:rPr>
        <w:t xml:space="preserve">has three major sections. The first is the </w:t>
      </w:r>
      <w:r w:rsidRPr="005D3F76">
        <w:rPr>
          <w:rFonts w:cs="Times New Roman"/>
          <w:i/>
          <w:szCs w:val="24"/>
        </w:rPr>
        <w:t>News</w:t>
      </w:r>
      <w:r w:rsidRPr="005D3F76">
        <w:rPr>
          <w:rFonts w:cs="Times New Roman"/>
          <w:szCs w:val="24"/>
        </w:rPr>
        <w:t xml:space="preserve"> section and includes columns titled: </w:t>
      </w:r>
      <w:r w:rsidRPr="005D3F76">
        <w:rPr>
          <w:rFonts w:cs="Times New Roman"/>
          <w:i/>
          <w:szCs w:val="24"/>
        </w:rPr>
        <w:t>International, Business, Education, The Metro Section</w:t>
      </w:r>
      <w:r w:rsidRPr="005D3F76">
        <w:rPr>
          <w:rFonts w:cs="Times New Roman"/>
          <w:szCs w:val="24"/>
        </w:rPr>
        <w:t>,</w:t>
      </w:r>
      <w:r w:rsidRPr="005D3F76">
        <w:rPr>
          <w:rFonts w:cs="Times New Roman"/>
          <w:i/>
          <w:szCs w:val="24"/>
        </w:rPr>
        <w:t xml:space="preserve"> Weather</w:t>
      </w:r>
      <w:r w:rsidRPr="005D3F76">
        <w:rPr>
          <w:rFonts w:cs="Times New Roman"/>
          <w:szCs w:val="24"/>
        </w:rPr>
        <w:t xml:space="preserve">, </w:t>
      </w:r>
      <w:r w:rsidRPr="005D3F76">
        <w:rPr>
          <w:rFonts w:cs="Times New Roman"/>
          <w:i/>
          <w:szCs w:val="24"/>
        </w:rPr>
        <w:t>Technology</w:t>
      </w:r>
      <w:r w:rsidRPr="005D3F76">
        <w:rPr>
          <w:rFonts w:cs="Times New Roman"/>
          <w:szCs w:val="24"/>
        </w:rPr>
        <w:t>,</w:t>
      </w:r>
      <w:r w:rsidRPr="005D3F76">
        <w:rPr>
          <w:rFonts w:cs="Times New Roman"/>
          <w:i/>
          <w:szCs w:val="24"/>
        </w:rPr>
        <w:t xml:space="preserve"> Sports</w:t>
      </w:r>
      <w:r w:rsidRPr="005D3F76">
        <w:rPr>
          <w:rFonts w:cs="Times New Roman"/>
          <w:szCs w:val="24"/>
        </w:rPr>
        <w:t xml:space="preserve">, </w:t>
      </w:r>
      <w:r w:rsidRPr="005D3F76">
        <w:rPr>
          <w:rFonts w:cs="Times New Roman"/>
          <w:i/>
          <w:szCs w:val="24"/>
        </w:rPr>
        <w:t>Health</w:t>
      </w:r>
      <w:r w:rsidRPr="005D3F76">
        <w:rPr>
          <w:rFonts w:cs="Times New Roman"/>
          <w:szCs w:val="24"/>
        </w:rPr>
        <w:t>,</w:t>
      </w:r>
      <w:r w:rsidRPr="005D3F76">
        <w:rPr>
          <w:rFonts w:cs="Times New Roman"/>
          <w:i/>
          <w:szCs w:val="24"/>
        </w:rPr>
        <w:t xml:space="preserve"> Science</w:t>
      </w:r>
      <w:r w:rsidRPr="005D3F76">
        <w:rPr>
          <w:rFonts w:cs="Times New Roman"/>
          <w:szCs w:val="24"/>
        </w:rPr>
        <w:t>, and the</w:t>
      </w:r>
      <w:r w:rsidRPr="005D3F76">
        <w:rPr>
          <w:rFonts w:cs="Times New Roman"/>
          <w:i/>
          <w:szCs w:val="24"/>
        </w:rPr>
        <w:t xml:space="preserve"> Obituaries</w:t>
      </w:r>
      <w:r w:rsidRPr="005D3F76">
        <w:rPr>
          <w:rFonts w:cs="Times New Roman"/>
          <w:szCs w:val="24"/>
        </w:rPr>
        <w:t xml:space="preserve">. Another section titled </w:t>
      </w:r>
      <w:r w:rsidRPr="005D3F76">
        <w:rPr>
          <w:rFonts w:cs="Times New Roman"/>
          <w:i/>
          <w:szCs w:val="24"/>
        </w:rPr>
        <w:t>Opinion</w:t>
      </w:r>
      <w:r w:rsidRPr="005D3F76">
        <w:rPr>
          <w:rFonts w:cs="Times New Roman"/>
          <w:szCs w:val="24"/>
        </w:rPr>
        <w:t xml:space="preserve"> has columns dealing with </w:t>
      </w:r>
      <w:r w:rsidRPr="005D3F76">
        <w:rPr>
          <w:rFonts w:cs="Times New Roman"/>
          <w:i/>
          <w:szCs w:val="24"/>
        </w:rPr>
        <w:t xml:space="preserve">Editorials </w:t>
      </w:r>
      <w:r w:rsidRPr="005D3F76">
        <w:rPr>
          <w:rFonts w:cs="Times New Roman"/>
          <w:szCs w:val="24"/>
        </w:rPr>
        <w:t xml:space="preserve">and </w:t>
      </w:r>
      <w:r w:rsidRPr="005D3F76">
        <w:rPr>
          <w:rFonts w:cs="Times New Roman"/>
          <w:i/>
          <w:szCs w:val="24"/>
        </w:rPr>
        <w:t>Op-Eds</w:t>
      </w:r>
      <w:r w:rsidRPr="005D3F76">
        <w:rPr>
          <w:rFonts w:cs="Times New Roman"/>
          <w:szCs w:val="24"/>
        </w:rPr>
        <w:t xml:space="preserve">. The last section includes columns relating to </w:t>
      </w:r>
      <w:r w:rsidRPr="005D3F76">
        <w:rPr>
          <w:rFonts w:cs="Times New Roman"/>
          <w:i/>
          <w:szCs w:val="24"/>
        </w:rPr>
        <w:t>Features</w:t>
      </w:r>
      <w:r w:rsidRPr="005D3F76">
        <w:rPr>
          <w:rFonts w:cs="Times New Roman"/>
          <w:szCs w:val="24"/>
        </w:rPr>
        <w:t xml:space="preserve"> and includes the following: </w:t>
      </w:r>
      <w:r w:rsidRPr="005D3F76">
        <w:rPr>
          <w:rFonts w:cs="Times New Roman"/>
          <w:i/>
          <w:szCs w:val="24"/>
        </w:rPr>
        <w:t>The New York Magazine</w:t>
      </w:r>
      <w:r w:rsidRPr="005D3F76">
        <w:rPr>
          <w:rFonts w:cs="Times New Roman"/>
          <w:szCs w:val="24"/>
        </w:rPr>
        <w:t xml:space="preserve">, </w:t>
      </w:r>
      <w:r w:rsidRPr="005D3F76">
        <w:rPr>
          <w:rFonts w:cs="Times New Roman"/>
          <w:i/>
          <w:szCs w:val="24"/>
        </w:rPr>
        <w:t>Art</w:t>
      </w:r>
      <w:r w:rsidRPr="005D3F76">
        <w:rPr>
          <w:rFonts w:cs="Times New Roman"/>
          <w:szCs w:val="24"/>
        </w:rPr>
        <w:t xml:space="preserve">, </w:t>
      </w:r>
      <w:r w:rsidRPr="005D3F76">
        <w:rPr>
          <w:rFonts w:cs="Times New Roman"/>
          <w:i/>
          <w:szCs w:val="24"/>
        </w:rPr>
        <w:t>Movies</w:t>
      </w:r>
      <w:r w:rsidRPr="005D3F76">
        <w:rPr>
          <w:rFonts w:cs="Times New Roman"/>
          <w:szCs w:val="24"/>
        </w:rPr>
        <w:t xml:space="preserve">, </w:t>
      </w:r>
      <w:r w:rsidRPr="005D3F76">
        <w:rPr>
          <w:rFonts w:cs="Times New Roman"/>
          <w:i/>
          <w:szCs w:val="24"/>
        </w:rPr>
        <w:t>The New York Times Book Review</w:t>
      </w:r>
      <w:r w:rsidRPr="005D3F76">
        <w:rPr>
          <w:rFonts w:cs="Times New Roman"/>
          <w:szCs w:val="24"/>
        </w:rPr>
        <w:t xml:space="preserve">, </w:t>
      </w:r>
      <w:r w:rsidRPr="005D3F76">
        <w:rPr>
          <w:rFonts w:cs="Times New Roman"/>
          <w:i/>
          <w:szCs w:val="24"/>
        </w:rPr>
        <w:t>Food</w:t>
      </w:r>
      <w:r w:rsidRPr="005D3F76">
        <w:rPr>
          <w:rFonts w:cs="Times New Roman"/>
          <w:szCs w:val="24"/>
        </w:rPr>
        <w:t xml:space="preserve">, </w:t>
      </w:r>
      <w:r w:rsidRPr="005D3F76">
        <w:rPr>
          <w:rFonts w:cs="Times New Roman"/>
          <w:i/>
          <w:szCs w:val="24"/>
        </w:rPr>
        <w:t>Fashion and Style</w:t>
      </w:r>
      <w:r w:rsidRPr="005D3F76">
        <w:rPr>
          <w:rFonts w:cs="Times New Roman"/>
          <w:szCs w:val="24"/>
        </w:rPr>
        <w:t xml:space="preserve">, </w:t>
      </w:r>
      <w:r w:rsidRPr="005D3F76">
        <w:rPr>
          <w:rFonts w:cs="Times New Roman"/>
          <w:i/>
          <w:szCs w:val="24"/>
        </w:rPr>
        <w:t>NYC Guide</w:t>
      </w:r>
      <w:r w:rsidRPr="005D3F76">
        <w:rPr>
          <w:rFonts w:cs="Times New Roman"/>
          <w:szCs w:val="24"/>
        </w:rPr>
        <w:t xml:space="preserve">, </w:t>
      </w:r>
      <w:r w:rsidRPr="005D3F76">
        <w:rPr>
          <w:rFonts w:cs="Times New Roman"/>
          <w:i/>
          <w:szCs w:val="24"/>
        </w:rPr>
        <w:t>Crossword</w:t>
      </w:r>
      <w:r w:rsidRPr="005D3F76">
        <w:rPr>
          <w:rFonts w:cs="Times New Roman"/>
          <w:szCs w:val="24"/>
        </w:rPr>
        <w:t xml:space="preserve">, </w:t>
      </w:r>
      <w:r w:rsidRPr="005D3F76">
        <w:rPr>
          <w:rFonts w:cs="Times New Roman"/>
          <w:i/>
          <w:szCs w:val="24"/>
        </w:rPr>
        <w:t>The New York Times Style Guide</w:t>
      </w:r>
      <w:r w:rsidRPr="005D3F76">
        <w:rPr>
          <w:rFonts w:cs="Times New Roman"/>
          <w:szCs w:val="24"/>
        </w:rPr>
        <w:t xml:space="preserve"> </w:t>
      </w:r>
      <w:r w:rsidRPr="005D3F76">
        <w:rPr>
          <w:rFonts w:cs="Times New Roman"/>
          <w:i/>
          <w:szCs w:val="24"/>
        </w:rPr>
        <w:t>Travel</w:t>
      </w:r>
      <w:r w:rsidRPr="005D3F76">
        <w:rPr>
          <w:rFonts w:cs="Times New Roman"/>
          <w:szCs w:val="24"/>
        </w:rPr>
        <w:t xml:space="preserve">, </w:t>
      </w:r>
      <w:r w:rsidRPr="005D3F76">
        <w:rPr>
          <w:rFonts w:cs="Times New Roman"/>
          <w:i/>
          <w:szCs w:val="24"/>
        </w:rPr>
        <w:t>Theater</w:t>
      </w:r>
      <w:r w:rsidRPr="005D3F76">
        <w:rPr>
          <w:rFonts w:cs="Times New Roman"/>
          <w:szCs w:val="24"/>
        </w:rPr>
        <w:t xml:space="preserve">, </w:t>
      </w:r>
      <w:r w:rsidRPr="005D3F76">
        <w:rPr>
          <w:rFonts w:cs="Times New Roman"/>
          <w:i/>
          <w:szCs w:val="24"/>
        </w:rPr>
        <w:t>Home and Garden</w:t>
      </w:r>
      <w:r w:rsidRPr="005D3F76">
        <w:rPr>
          <w:rFonts w:cs="Times New Roman"/>
          <w:szCs w:val="24"/>
        </w:rPr>
        <w:t xml:space="preserve">, and the </w:t>
      </w:r>
      <w:r w:rsidRPr="005D3F76">
        <w:rPr>
          <w:rFonts w:cs="Times New Roman"/>
          <w:i/>
          <w:szCs w:val="24"/>
        </w:rPr>
        <w:t>Sunday Review</w:t>
      </w:r>
      <w:r w:rsidRPr="005D3F76">
        <w:rPr>
          <w:rFonts w:cs="Times New Roman"/>
          <w:szCs w:val="24"/>
        </w:rPr>
        <w:t xml:space="preserve"> </w:t>
      </w:r>
      <w:r w:rsidRPr="005D3F76">
        <w:rPr>
          <w:rFonts w:cs="Times New Roman"/>
          <w:szCs w:val="24"/>
        </w:rPr>
        <w:fldChar w:fldCharType="begin"/>
      </w:r>
      <w:r w:rsidRPr="005D3F76">
        <w:rPr>
          <w:rFonts w:cs="Times New Roman"/>
          <w:szCs w:val="24"/>
        </w:rPr>
        <w:instrText xml:space="preserve"> ADDIN EN.CITE &lt;EndNote&gt;&lt;Cite&gt;&lt;Year&gt;2016&lt;/Year&gt;&lt;RecNum&gt;229&lt;/RecNum&gt;&lt;DisplayText&gt;(&amp;quot;The Times in Print for Tuesday, May 10, 2016,&amp;quot; 2016)&lt;/DisplayText&gt;&lt;record&gt;&lt;rec-number&gt;229&lt;/rec-number&gt;&lt;foreign-keys&gt;&lt;key app="EN" db-id="etwareaz8xpxz3et59b50d9vxrata9z2w2zt" timestamp="1462905328"&gt;229&lt;/key&gt;&lt;/foreign-keys&gt;&lt;ref-type name="Web Page"&gt;12&lt;/ref-type&gt;&lt;contributors&gt;&lt;/contributors&gt;&lt;titles&gt;&lt;title&gt;The Times in Print for Tuesday, May 10, 2016&lt;/title&gt;&lt;/titles&gt;&lt;volume&gt;2016&lt;/volume&gt;&lt;number&gt;May&lt;/number&gt;&lt;dates&gt;&lt;year&gt;2016&lt;/year&gt;&lt;/dates&gt;&lt;pub-location&gt;New York, New York&lt;/pub-location&gt;&lt;publisher&gt;The New York Times Company&lt;/publisher&gt;&lt;urls&gt;&lt;related-urls&gt;&lt;url&gt;http://www.nytimes.com/pages/todayspaper/index.html&lt;/url&gt;&lt;/related-urls&gt;&lt;/urls&gt;&lt;/record&gt;&lt;/Cite&gt;&lt;/EndNote&gt;</w:instrText>
      </w:r>
      <w:r w:rsidRPr="005D3F76">
        <w:rPr>
          <w:rFonts w:cs="Times New Roman"/>
          <w:szCs w:val="24"/>
        </w:rPr>
        <w:fldChar w:fldCharType="separate"/>
      </w:r>
      <w:r w:rsidRPr="005D3F76">
        <w:rPr>
          <w:rFonts w:cs="Times New Roman"/>
          <w:noProof/>
          <w:szCs w:val="24"/>
        </w:rPr>
        <w:t>("The Times in Print for Tuesday, May 10, 2016," 2016)</w:t>
      </w:r>
      <w:r w:rsidRPr="005D3F76">
        <w:rPr>
          <w:rFonts w:cs="Times New Roman"/>
          <w:szCs w:val="24"/>
        </w:rPr>
        <w:fldChar w:fldCharType="end"/>
      </w:r>
      <w:r w:rsidRPr="005D3F76">
        <w:rPr>
          <w:rFonts w:cs="Times New Roman"/>
          <w:szCs w:val="24"/>
        </w:rPr>
        <w:t xml:space="preserve">.  Not all sections of the </w:t>
      </w:r>
      <w:r w:rsidRPr="005D3F76">
        <w:rPr>
          <w:rFonts w:cs="Times New Roman"/>
          <w:i/>
          <w:szCs w:val="24"/>
        </w:rPr>
        <w:t>Times</w:t>
      </w:r>
      <w:r w:rsidRPr="005D3F76">
        <w:rPr>
          <w:rFonts w:cs="Times New Roman"/>
          <w:szCs w:val="24"/>
        </w:rPr>
        <w:t xml:space="preserve"> are available all over the nation, but rather are available in areas where the information is relevant. However, the major sections of the paper are available all over the nation, including most of the columns under the </w:t>
      </w:r>
      <w:r w:rsidRPr="005D3F76">
        <w:rPr>
          <w:rFonts w:cs="Times New Roman"/>
          <w:i/>
          <w:szCs w:val="24"/>
        </w:rPr>
        <w:t>News</w:t>
      </w:r>
      <w:r w:rsidRPr="005D3F76">
        <w:rPr>
          <w:rFonts w:cs="Times New Roman"/>
          <w:szCs w:val="24"/>
        </w:rPr>
        <w:t xml:space="preserve"> and </w:t>
      </w:r>
      <w:r w:rsidRPr="005D3F76">
        <w:rPr>
          <w:rFonts w:cs="Times New Roman"/>
          <w:i/>
          <w:szCs w:val="24"/>
        </w:rPr>
        <w:t xml:space="preserve">Opinion </w:t>
      </w:r>
      <w:r w:rsidRPr="005D3F76">
        <w:rPr>
          <w:rFonts w:cs="Times New Roman"/>
          <w:szCs w:val="24"/>
        </w:rPr>
        <w:t xml:space="preserve">sections. </w:t>
      </w:r>
    </w:p>
    <w:p w14:paraId="1AC832E0" w14:textId="177F2C4C" w:rsidR="00B03557" w:rsidRPr="005D3F76" w:rsidRDefault="00B03557" w:rsidP="00C56DF5">
      <w:pPr>
        <w:rPr>
          <w:rFonts w:cs="Times New Roman"/>
          <w:szCs w:val="24"/>
        </w:rPr>
      </w:pPr>
      <w:r w:rsidRPr="005D3F76">
        <w:rPr>
          <w:rFonts w:cs="Times New Roman"/>
          <w:szCs w:val="24"/>
        </w:rPr>
        <w:tab/>
        <w:t xml:space="preserve">As far as the styles of the </w:t>
      </w:r>
      <w:r w:rsidRPr="005D3F76">
        <w:rPr>
          <w:rFonts w:cs="Times New Roman"/>
          <w:i/>
          <w:szCs w:val="24"/>
        </w:rPr>
        <w:t>Times</w:t>
      </w:r>
      <w:r w:rsidRPr="005D3F76">
        <w:rPr>
          <w:rFonts w:cs="Times New Roman"/>
          <w:szCs w:val="24"/>
        </w:rPr>
        <w:t xml:space="preserve">, they use a typical column, section, header and top line formatting within their newspaper. Within the writing of the articles, they use honorifics rather than plain last names which helps to add weight to the formality of the overall paper </w:t>
      </w:r>
      <w:r w:rsidRPr="005D3F76">
        <w:rPr>
          <w:rFonts w:cs="Times New Roman"/>
          <w:szCs w:val="24"/>
        </w:rPr>
        <w:fldChar w:fldCharType="begin"/>
      </w:r>
      <w:r w:rsidRPr="005D3F76">
        <w:rPr>
          <w:rFonts w:cs="Times New Roman"/>
          <w:szCs w:val="24"/>
        </w:rPr>
        <w:instrText xml:space="preserve"> ADDIN EN.CITE &lt;EndNote&gt;&lt;Cite&gt;&lt;Author&gt;Soderlund&lt;/Author&gt;&lt;Year&gt;2002&lt;/Year&gt;&lt;RecNum&gt;227&lt;/RecNum&gt;&lt;DisplayText&gt;(Soderlund, 2002)&lt;/DisplayText&gt;&lt;record&gt;&lt;rec-number&gt;227&lt;/rec-number&gt;&lt;foreign-keys&gt;&lt;key app="EN" db-id="etwareaz8xpxz3et59b50d9vxrata9z2w2zt" timestamp="1462298153"&gt;227&lt;/key&gt;&lt;/foreign-keys&gt;&lt;ref-type name="Journal Article"&gt;17&lt;/ref-type&gt;&lt;contributors&gt;&lt;authors&gt;&lt;author&gt;Gretchen Soderlund&lt;/author&gt;&lt;/authors&gt;&lt;/contributors&gt;&lt;titles&gt;&lt;title&gt;Covering Urban Vice: The New York Times, &amp;quot;White Slavery,&amp;quot; and the Construction of Journalistic Knowledge&lt;/title&gt;&lt;secondary-title&gt;Critical Studies in Media Communication&lt;/secondary-title&gt;&lt;/titles&gt;&lt;periodical&gt;&lt;full-title&gt;Critical Studies in Media Communication&lt;/full-title&gt;&lt;/periodical&gt;&lt;pages&gt;438-460&lt;/pages&gt;&lt;volume&gt;19&lt;/volume&gt;&lt;number&gt;4&lt;/number&gt;&lt;dates&gt;&lt;year&gt;2002&lt;/year&gt;&lt;/dates&gt;&lt;urls&gt;&lt;/urls&gt;&lt;/record&gt;&lt;/Cite&gt;&lt;/EndNote&gt;</w:instrText>
      </w:r>
      <w:r w:rsidRPr="005D3F76">
        <w:rPr>
          <w:rFonts w:cs="Times New Roman"/>
          <w:szCs w:val="24"/>
        </w:rPr>
        <w:fldChar w:fldCharType="separate"/>
      </w:r>
      <w:r w:rsidRPr="005D3F76">
        <w:rPr>
          <w:rFonts w:cs="Times New Roman"/>
          <w:noProof/>
          <w:szCs w:val="24"/>
        </w:rPr>
        <w:t>(Soderlund, 2002)</w:t>
      </w:r>
      <w:r w:rsidRPr="005D3F76">
        <w:rPr>
          <w:rFonts w:cs="Times New Roman"/>
          <w:szCs w:val="24"/>
        </w:rPr>
        <w:fldChar w:fldCharType="end"/>
      </w:r>
      <w:r w:rsidRPr="005D3F76">
        <w:rPr>
          <w:rFonts w:cs="Times New Roman"/>
          <w:szCs w:val="24"/>
        </w:rPr>
        <w:t xml:space="preserve">. According to the company that owns the </w:t>
      </w:r>
      <w:r w:rsidRPr="005D3F76">
        <w:rPr>
          <w:rFonts w:cs="Times New Roman"/>
          <w:i/>
          <w:szCs w:val="24"/>
        </w:rPr>
        <w:t>Times</w:t>
      </w:r>
      <w:r w:rsidRPr="005D3F76">
        <w:rPr>
          <w:rFonts w:cs="Times New Roman"/>
          <w:szCs w:val="24"/>
        </w:rPr>
        <w:t xml:space="preserve">, the language used in the </w:t>
      </w:r>
      <w:r w:rsidRPr="005D3F76">
        <w:rPr>
          <w:rFonts w:cs="Times New Roman"/>
          <w:i/>
          <w:szCs w:val="24"/>
        </w:rPr>
        <w:t>Times</w:t>
      </w:r>
      <w:r w:rsidRPr="005D3F76">
        <w:rPr>
          <w:rFonts w:cs="Times New Roman"/>
          <w:szCs w:val="24"/>
        </w:rPr>
        <w:t xml:space="preserve"> is supposed to reflect a genuine integrity that shows its substantiated place in history. Therefore, profanity and other ‘vulgar’ language is strictly forbidden by writers within the </w:t>
      </w:r>
      <w:r w:rsidRPr="005D3F76">
        <w:rPr>
          <w:rFonts w:cs="Times New Roman"/>
          <w:i/>
          <w:szCs w:val="24"/>
        </w:rPr>
        <w:t>Times</w:t>
      </w:r>
      <w:r w:rsidRPr="005D3F76">
        <w:rPr>
          <w:rFonts w:cs="Times New Roman"/>
          <w:szCs w:val="24"/>
        </w:rPr>
        <w:t xml:space="preserve">. Other </w:t>
      </w:r>
      <w:r w:rsidRPr="005D3F76">
        <w:rPr>
          <w:rFonts w:cs="Times New Roman"/>
          <w:szCs w:val="24"/>
        </w:rPr>
        <w:lastRenderedPageBreak/>
        <w:t>important stylistic components include the use of more experts within articles which enhances the seemingly factual component of the newspaper itself.</w:t>
      </w:r>
    </w:p>
    <w:p w14:paraId="0D546EDB" w14:textId="0F434386" w:rsidR="00B03557" w:rsidRPr="005D3F76" w:rsidRDefault="00631054" w:rsidP="00C56DF5">
      <w:pPr>
        <w:rPr>
          <w:rFonts w:cs="Times New Roman"/>
          <w:szCs w:val="24"/>
        </w:rPr>
      </w:pPr>
      <w:r w:rsidRPr="005D3F76">
        <w:rPr>
          <w:rFonts w:cs="Times New Roman"/>
          <w:szCs w:val="24"/>
        </w:rPr>
        <w:tab/>
        <w:t>To</w:t>
      </w:r>
      <w:r w:rsidR="00B03557" w:rsidRPr="005D3F76">
        <w:rPr>
          <w:rFonts w:cs="Times New Roman"/>
          <w:szCs w:val="24"/>
        </w:rPr>
        <w:t xml:space="preserve"> some, the </w:t>
      </w:r>
      <w:r w:rsidR="00B03557" w:rsidRPr="005D3F76">
        <w:rPr>
          <w:rFonts w:cs="Times New Roman"/>
          <w:i/>
          <w:szCs w:val="24"/>
        </w:rPr>
        <w:t>Times</w:t>
      </w:r>
      <w:r w:rsidR="00B03557" w:rsidRPr="005D3F76">
        <w:rPr>
          <w:rFonts w:cs="Times New Roman"/>
          <w:szCs w:val="24"/>
        </w:rPr>
        <w:t xml:space="preserve"> political stance and how they report the news seems biased toward a liberal stance. In a 2007 Rasmussen Report, 40% of the 1000 adults surveyed believed that the </w:t>
      </w:r>
      <w:r w:rsidR="00B03557" w:rsidRPr="005D3F76">
        <w:rPr>
          <w:rFonts w:cs="Times New Roman"/>
          <w:i/>
          <w:szCs w:val="24"/>
        </w:rPr>
        <w:t>Times</w:t>
      </w:r>
      <w:r w:rsidR="00B03557" w:rsidRPr="005D3F76">
        <w:rPr>
          <w:rFonts w:cs="Times New Roman"/>
          <w:szCs w:val="24"/>
        </w:rPr>
        <w:t xml:space="preserve"> “has a bias in favor of liberals,” while only 17% found it had a more conservative bias </w:t>
      </w:r>
      <w:r w:rsidR="00B03557" w:rsidRPr="005D3F76">
        <w:rPr>
          <w:rFonts w:cs="Times New Roman"/>
          <w:szCs w:val="24"/>
        </w:rPr>
        <w:fldChar w:fldCharType="begin"/>
      </w:r>
      <w:r w:rsidR="00B03557" w:rsidRPr="005D3F76">
        <w:rPr>
          <w:rFonts w:cs="Times New Roman"/>
          <w:szCs w:val="24"/>
        </w:rPr>
        <w:instrText xml:space="preserve"> ADDIN EN.CITE &lt;EndNote&gt;&lt;Cite&gt;&lt;Author&gt;center&lt;/Author&gt;&lt;Year&gt;2007&lt;/Year&gt;&lt;RecNum&gt;231&lt;/RecNum&gt;&lt;Suffix&gt; para. 5&lt;/Suffix&gt;&lt;DisplayText&gt;(Media Research Center, 2007 para. 5)&lt;/DisplayText&gt;&lt;record&gt;&lt;rec-number&gt;231&lt;/rec-number&gt;&lt;foreign-keys&gt;&lt;key app="EN" db-id="etwareaz8xpxz3et59b50d9vxrata9z2w2zt" timestamp="1462907472"&gt;231&lt;/key&gt;&lt;/foreign-keys&gt;&lt;ref-type name="Report"&gt;27&lt;/ref-type&gt;&lt;contributors&gt;&lt;authors&gt;&lt;author&gt;Media Research Center,&lt;/author&gt;&lt;/authors&gt;&lt;secondary-authors&gt;&lt;author&gt;Media Research Center,&lt;/author&gt;&lt;/secondary-authors&gt;&lt;tertiary-authors&gt;&lt;author&gt;CFC&lt;/author&gt;&lt;/tertiary-authors&gt;&lt;/contributors&gt;&lt;titles&gt;&lt;title&gt;Exhibit 2-13: Rasmussen Reports on Media Bias, 2007&lt;/title&gt;&lt;/titles&gt;&lt;dates&gt;&lt;year&gt;2007&lt;/year&gt;&lt;pub-dates&gt;&lt;date&gt;October 13, 2009&lt;/date&gt;&lt;/pub-dates&gt;&lt;/dates&gt;&lt;publisher&gt;Media Research Center,&lt;/publisher&gt;&lt;isbn&gt;Exhibit 2-13&lt;/isbn&gt;&lt;urls&gt;&lt;/urls&gt;&lt;/record&gt;&lt;/Cite&gt;&lt;/EndNote&gt;</w:instrText>
      </w:r>
      <w:r w:rsidR="00B03557" w:rsidRPr="005D3F76">
        <w:rPr>
          <w:rFonts w:cs="Times New Roman"/>
          <w:szCs w:val="24"/>
        </w:rPr>
        <w:fldChar w:fldCharType="separate"/>
      </w:r>
      <w:r w:rsidR="00B03557" w:rsidRPr="005D3F76">
        <w:rPr>
          <w:rFonts w:cs="Times New Roman"/>
          <w:noProof/>
          <w:szCs w:val="24"/>
        </w:rPr>
        <w:t>(Media Research Center, 2007 para. 5)</w:t>
      </w:r>
      <w:r w:rsidR="00B03557" w:rsidRPr="005D3F76">
        <w:rPr>
          <w:rFonts w:cs="Times New Roman"/>
          <w:szCs w:val="24"/>
        </w:rPr>
        <w:fldChar w:fldCharType="end"/>
      </w:r>
      <w:r w:rsidR="00B03557" w:rsidRPr="005D3F76">
        <w:rPr>
          <w:rFonts w:cs="Times New Roman"/>
          <w:szCs w:val="24"/>
        </w:rPr>
        <w:t xml:space="preserve">. A public editor, Daniel Okrent </w:t>
      </w:r>
      <w:r w:rsidR="00B03557" w:rsidRPr="005D3F76">
        <w:rPr>
          <w:rFonts w:cs="Times New Roman"/>
          <w:szCs w:val="24"/>
        </w:rPr>
        <w:fldChar w:fldCharType="begin"/>
      </w:r>
      <w:r w:rsidR="00B03557" w:rsidRPr="005D3F76">
        <w:rPr>
          <w:rFonts w:cs="Times New Roman"/>
          <w:szCs w:val="24"/>
        </w:rPr>
        <w:instrText xml:space="preserve"> ADDIN EN.CITE &lt;EndNote&gt;&lt;Cite Hidden="1"&gt;&lt;Author&gt;Okrent&lt;/Author&gt;&lt;Year&gt;2004&lt;/Year&gt;&lt;RecNum&gt;232&lt;/RecNum&gt;&lt;record&gt;&lt;rec-number&gt;232&lt;/rec-number&gt;&lt;foreign-keys&gt;&lt;key app="EN" db-id="etwareaz8xpxz3et59b50d9vxrata9z2w2zt" timestamp="1462909153"&gt;232&lt;/key&gt;&lt;/foreign-keys&gt;&lt;ref-type name="Newspaper Article"&gt;23&lt;/ref-type&gt;&lt;contributors&gt;&lt;authors&gt;&lt;author&gt;Daniel Okrent&lt;/author&gt;&lt;/authors&gt;&lt;/contributors&gt;&lt;titles&gt;&lt;title&gt;Is the New York Times a Liberal Newspaper?&lt;/title&gt;&lt;secondary-title&gt;The New York Times&lt;/secondary-title&gt;&lt;/titles&gt;&lt;section&gt;Op-Ed&lt;/section&gt;&lt;dates&gt;&lt;year&gt;2004&lt;/year&gt;&lt;pub-dates&gt;&lt;date&gt;July 25, 2004&lt;/date&gt;&lt;/pub-dates&gt;&lt;/dates&gt;&lt;pub-location&gt;New York, New York&lt;/pub-location&gt;&lt;publisher&gt;The New York Times Company&lt;/publisher&gt;&lt;urls&gt;&lt;/urls&gt;&lt;/record&gt;&lt;/Cite&gt;&lt;/EndNote&gt;</w:instrText>
      </w:r>
      <w:r w:rsidR="00B03557" w:rsidRPr="005D3F76">
        <w:rPr>
          <w:rFonts w:cs="Times New Roman"/>
          <w:szCs w:val="24"/>
        </w:rPr>
        <w:fldChar w:fldCharType="end"/>
      </w:r>
      <w:r w:rsidR="00B03557" w:rsidRPr="005D3F76">
        <w:rPr>
          <w:rFonts w:cs="Times New Roman"/>
          <w:szCs w:val="24"/>
        </w:rPr>
        <w:t xml:space="preserve">in 2004 wrote an opinion piece that claimed the </w:t>
      </w:r>
      <w:r w:rsidR="00B03557" w:rsidRPr="005D3F76">
        <w:rPr>
          <w:rFonts w:cs="Times New Roman"/>
          <w:i/>
          <w:szCs w:val="24"/>
        </w:rPr>
        <w:t>New York Times</w:t>
      </w:r>
      <w:r w:rsidR="00B03557" w:rsidRPr="005D3F76">
        <w:rPr>
          <w:rFonts w:cs="Times New Roman"/>
          <w:szCs w:val="24"/>
        </w:rPr>
        <w:t xml:space="preserve"> did exhibit liberal bias in coverage that concerned social issues within the U.S. such as, gay marriage and abortion. However, ‘harder news,’ such as, </w:t>
      </w:r>
      <w:r w:rsidR="00B03557" w:rsidRPr="005D3F76">
        <w:rPr>
          <w:rFonts w:cs="Times New Roman"/>
          <w:i/>
          <w:szCs w:val="24"/>
        </w:rPr>
        <w:t>Business</w:t>
      </w:r>
      <w:r w:rsidR="00B03557" w:rsidRPr="005D3F76">
        <w:rPr>
          <w:rFonts w:cs="Times New Roman"/>
          <w:szCs w:val="24"/>
        </w:rPr>
        <w:t xml:space="preserve"> and </w:t>
      </w:r>
      <w:r w:rsidR="00B03557" w:rsidRPr="005D3F76">
        <w:rPr>
          <w:rFonts w:cs="Times New Roman"/>
          <w:i/>
          <w:szCs w:val="24"/>
        </w:rPr>
        <w:t>Education</w:t>
      </w:r>
      <w:r w:rsidR="00B03557" w:rsidRPr="005D3F76">
        <w:rPr>
          <w:rFonts w:cs="Times New Roman"/>
          <w:szCs w:val="24"/>
        </w:rPr>
        <w:t xml:space="preserve"> seemed too many, including Okrent, to be less liberally biased and more evenly reported. So using the </w:t>
      </w:r>
      <w:r w:rsidR="00B03557" w:rsidRPr="005D3F76">
        <w:rPr>
          <w:rFonts w:cs="Times New Roman"/>
          <w:i/>
          <w:szCs w:val="24"/>
        </w:rPr>
        <w:t>Times</w:t>
      </w:r>
      <w:r w:rsidR="00B03557" w:rsidRPr="005D3F76">
        <w:rPr>
          <w:rFonts w:cs="Times New Roman"/>
          <w:szCs w:val="24"/>
        </w:rPr>
        <w:t xml:space="preserve"> seems to be a more balanced media representation for researching teacher unions. Table 2 in Appendix A represents the articles that were used for researching perception of teacher unions within the state of Wisconsin according to the national media. </w:t>
      </w:r>
    </w:p>
    <w:p w14:paraId="7B2D72DD" w14:textId="647B05E3" w:rsidR="00B03557" w:rsidRPr="005D3F76" w:rsidRDefault="00B03557" w:rsidP="00C56DF5">
      <w:pPr>
        <w:rPr>
          <w:rFonts w:cs="Times New Roman"/>
          <w:szCs w:val="24"/>
        </w:rPr>
      </w:pPr>
      <w:r w:rsidRPr="005D3F76">
        <w:rPr>
          <w:rFonts w:cs="Times New Roman"/>
          <w:szCs w:val="24"/>
        </w:rPr>
        <w:tab/>
        <w:t xml:space="preserve">The second newspaper that I chose to use concerning the perception of teacher unions in the media comes from the state level in Wisconsin--the </w:t>
      </w:r>
      <w:r w:rsidRPr="005D3F76">
        <w:rPr>
          <w:rFonts w:cs="Times New Roman"/>
          <w:i/>
          <w:szCs w:val="24"/>
        </w:rPr>
        <w:t>Wisconsin State Journal (WSJ)</w:t>
      </w:r>
      <w:r w:rsidRPr="005D3F76">
        <w:rPr>
          <w:rFonts w:cs="Times New Roman"/>
          <w:szCs w:val="24"/>
        </w:rPr>
        <w:t xml:space="preserve">. The </w:t>
      </w:r>
      <w:r w:rsidRPr="005D3F76">
        <w:rPr>
          <w:rFonts w:cs="Times New Roman"/>
          <w:i/>
          <w:szCs w:val="24"/>
        </w:rPr>
        <w:t xml:space="preserve">Wisconsin State Journal </w:t>
      </w:r>
      <w:r w:rsidRPr="005D3F76">
        <w:rPr>
          <w:rFonts w:cs="Times New Roman"/>
          <w:szCs w:val="24"/>
        </w:rPr>
        <w:t xml:space="preserve">is a daily newspaper that was founded in 1839 by a hotel proprietor, William W. Wyman. Though today the paper is owned by Lee Enterprises (Capital Newspapers), a company that publishes 54 daily newspapers in 23 states across the U.S., it is still rooted in the history and traditions that it was founded upon in Madison, Wisconsin </w:t>
      </w:r>
      <w:r w:rsidRPr="005D3F76">
        <w:rPr>
          <w:rFonts w:cs="Times New Roman"/>
          <w:szCs w:val="24"/>
        </w:rPr>
        <w:fldChar w:fldCharType="begin"/>
      </w:r>
      <w:r w:rsidRPr="005D3F76">
        <w:rPr>
          <w:rFonts w:cs="Times New Roman"/>
          <w:szCs w:val="24"/>
        </w:rPr>
        <w:instrText xml:space="preserve"> ADDIN EN.CITE &lt;EndNote&gt;&lt;Cite&gt;&lt;Author&gt;Simmons&lt;/Author&gt;&lt;Year&gt;2014&lt;/Year&gt;&lt;RecNum&gt;233&lt;/RecNum&gt;&lt;DisplayText&gt;(Simmons, 2014)&lt;/DisplayText&gt;&lt;record&gt;&lt;rec-number&gt;233&lt;/rec-number&gt;&lt;foreign-keys&gt;&lt;key app="EN" db-id="etwareaz8xpxz3et59b50d9vxrata9z2w2zt" timestamp="1462914992"&gt;233&lt;/key&gt;&lt;/foreign-keys&gt;&lt;ref-type name="Web Page"&gt;12&lt;/ref-type&gt;&lt;contributors&gt;&lt;authors&gt;&lt;author&gt;Dan Simmons&lt;/author&gt;&lt;/authors&gt;&lt;/contributors&gt;&lt;titles&gt;&lt;title&gt;The Wisconsin State Journal and Madison: A &amp;apos;Trusted Relationship&amp;apos; for 175 Years&lt;/title&gt;&lt;secondary-title&gt;The 12 Gifts to Our Readers Series&lt;/secondary-title&gt;&lt;/titles&gt;&lt;volume&gt;2016&lt;/volume&gt;&lt;number&gt;May&lt;/number&gt;&lt;dates&gt;&lt;year&gt;2014&lt;/year&gt;&lt;/dates&gt;&lt;pub-location&gt;Madison, Wisconsin&lt;/pub-location&gt;&lt;publisher&gt;Wisconsin State Journal&lt;/publisher&gt;&lt;urls&gt;&lt;related-urls&gt;&lt;url&gt;http://host.madison.com/wsj/news/local/a-long-shared-history-the-wisconsin-state-journal-s-th/collection_663a4db9-8f16-5517-9e69-d6279974a135.html&lt;/url&gt;&lt;/related-urls&gt;&lt;/urls&gt;&lt;/record&gt;&lt;/Cite&gt;&lt;/EndNote&gt;</w:instrText>
      </w:r>
      <w:r w:rsidRPr="005D3F76">
        <w:rPr>
          <w:rFonts w:cs="Times New Roman"/>
          <w:szCs w:val="24"/>
        </w:rPr>
        <w:fldChar w:fldCharType="separate"/>
      </w:r>
      <w:r w:rsidRPr="005D3F76">
        <w:rPr>
          <w:rFonts w:cs="Times New Roman"/>
          <w:noProof/>
          <w:szCs w:val="24"/>
        </w:rPr>
        <w:t>(Simmons, 2014)</w:t>
      </w:r>
      <w:r w:rsidRPr="005D3F76">
        <w:rPr>
          <w:rFonts w:cs="Times New Roman"/>
          <w:szCs w:val="24"/>
        </w:rPr>
        <w:fldChar w:fldCharType="end"/>
      </w:r>
      <w:r w:rsidRPr="005D3F76">
        <w:rPr>
          <w:rFonts w:cs="Times New Roman"/>
          <w:szCs w:val="24"/>
        </w:rPr>
        <w:t xml:space="preserve">. Although WSJ is not widely known outside the state of Wisconsin, it was nominated for two Pulitzer Prizes for its new reporting of the “27 days of around-the-clock protests” at the Wisconsin state capital during the 2011 Wisconsin protests </w:t>
      </w:r>
      <w:r w:rsidRPr="005D3F76">
        <w:rPr>
          <w:rFonts w:cs="Times New Roman"/>
          <w:szCs w:val="24"/>
        </w:rPr>
        <w:fldChar w:fldCharType="begin"/>
      </w:r>
      <w:r w:rsidRPr="005D3F76">
        <w:rPr>
          <w:rFonts w:cs="Times New Roman"/>
          <w:szCs w:val="24"/>
        </w:rPr>
        <w:instrText xml:space="preserve"> ADDIN EN.CITE &lt;EndNote&gt;&lt;Cite&gt;&lt;Author&gt;University&lt;/Author&gt;&lt;Year&gt;2012&lt;/Year&gt;&lt;RecNum&gt;234&lt;/RecNum&gt;&lt;DisplayText&gt;(Columbia University, 2012)&lt;/DisplayText&gt;&lt;record&gt;&lt;rec-number&gt;234&lt;/rec-number&gt;&lt;foreign-keys&gt;&lt;key app="EN" db-id="etwareaz8xpxz3et59b50d9vxrata9z2w2zt" timestamp="1462918650"&gt;234&lt;/key&gt;&lt;/foreign-keys&gt;&lt;ref-type name="Web Page"&gt;12&lt;/ref-type&gt;&lt;contributors&gt;&lt;authors&gt;&lt;author&gt;Columbia University,&lt;/author&gt;&lt;/authors&gt;&lt;secondary-authors&gt;&lt;author&gt;Columbia University&lt;/author&gt;&lt;/secondary-authors&gt;&lt;/contributors&gt;&lt;titles&gt;&lt;title&gt;2012 Pulitzer Prizes Journalism&lt;/title&gt;&lt;secondary-title&gt;Pulitzer Prizes&lt;/secondary-title&gt;&lt;/titles&gt;&lt;volume&gt;2016&lt;/volume&gt;&lt;number&gt;May&lt;/number&gt;&lt;dates&gt;&lt;year&gt;2012&lt;/year&gt;&lt;/dates&gt;&lt;pub-location&gt;Brooklyn, New York&lt;/pub-location&gt;&lt;publisher&gt;Columbia University&lt;/publisher&gt;&lt;urls&gt;&lt;related-urls&gt;&lt;url&gt;http://www.pulitzer.org/prize-winners-by-year/2012&lt;/url&gt;&lt;/related-urls&gt;&lt;/urls&gt;&lt;/record&gt;&lt;/Cite&gt;&lt;/EndNote&gt;</w:instrText>
      </w:r>
      <w:r w:rsidRPr="005D3F76">
        <w:rPr>
          <w:rFonts w:cs="Times New Roman"/>
          <w:szCs w:val="24"/>
        </w:rPr>
        <w:fldChar w:fldCharType="separate"/>
      </w:r>
      <w:r w:rsidRPr="005D3F76">
        <w:rPr>
          <w:rFonts w:cs="Times New Roman"/>
          <w:noProof/>
          <w:szCs w:val="24"/>
        </w:rPr>
        <w:t>(Columbia University, 2012)</w:t>
      </w:r>
      <w:r w:rsidRPr="005D3F76">
        <w:rPr>
          <w:rFonts w:cs="Times New Roman"/>
          <w:szCs w:val="24"/>
        </w:rPr>
        <w:fldChar w:fldCharType="end"/>
      </w:r>
      <w:r w:rsidRPr="005D3F76">
        <w:rPr>
          <w:rFonts w:cs="Times New Roman"/>
          <w:szCs w:val="24"/>
        </w:rPr>
        <w:t xml:space="preserve">. These </w:t>
      </w:r>
      <w:r w:rsidRPr="005D3F76">
        <w:rPr>
          <w:rFonts w:cs="Times New Roman"/>
          <w:szCs w:val="24"/>
        </w:rPr>
        <w:lastRenderedPageBreak/>
        <w:t xml:space="preserve">protest are directly related to what is being researched concerning teacher unions within this work, hence the reasoning for choosing the </w:t>
      </w:r>
      <w:r w:rsidRPr="005D3F76">
        <w:rPr>
          <w:rFonts w:cs="Times New Roman"/>
          <w:i/>
          <w:szCs w:val="24"/>
        </w:rPr>
        <w:t>WSJ</w:t>
      </w:r>
      <w:r w:rsidRPr="005D3F76">
        <w:rPr>
          <w:rFonts w:cs="Times New Roman"/>
          <w:szCs w:val="24"/>
        </w:rPr>
        <w:t xml:space="preserve">. </w:t>
      </w:r>
    </w:p>
    <w:p w14:paraId="199C880A" w14:textId="2E524CA1" w:rsidR="00B03557" w:rsidRPr="005D3F76" w:rsidRDefault="00B03557" w:rsidP="00C56DF5">
      <w:pPr>
        <w:rPr>
          <w:rFonts w:cs="Times New Roman"/>
          <w:szCs w:val="24"/>
        </w:rPr>
      </w:pPr>
      <w:r w:rsidRPr="005D3F76">
        <w:rPr>
          <w:rFonts w:cs="Times New Roman"/>
          <w:szCs w:val="24"/>
        </w:rPr>
        <w:tab/>
        <w:t xml:space="preserve">Stylistically, the WSJ is like many other state level papers that largely focus on politics and business matters. The sections include: </w:t>
      </w:r>
      <w:r w:rsidRPr="005D3F76">
        <w:rPr>
          <w:rFonts w:cs="Times New Roman"/>
          <w:i/>
          <w:szCs w:val="24"/>
        </w:rPr>
        <w:t>Politics</w:t>
      </w:r>
      <w:r w:rsidRPr="005D3F76">
        <w:rPr>
          <w:rFonts w:cs="Times New Roman"/>
          <w:szCs w:val="24"/>
        </w:rPr>
        <w:t xml:space="preserve">, </w:t>
      </w:r>
      <w:r w:rsidRPr="005D3F76">
        <w:rPr>
          <w:rFonts w:cs="Times New Roman"/>
          <w:i/>
          <w:szCs w:val="24"/>
        </w:rPr>
        <w:t>Sports</w:t>
      </w:r>
      <w:r w:rsidRPr="005D3F76">
        <w:rPr>
          <w:rFonts w:cs="Times New Roman"/>
          <w:szCs w:val="24"/>
        </w:rPr>
        <w:t xml:space="preserve">, </w:t>
      </w:r>
      <w:r w:rsidRPr="005D3F76">
        <w:rPr>
          <w:rFonts w:cs="Times New Roman"/>
          <w:i/>
          <w:szCs w:val="24"/>
        </w:rPr>
        <w:t>Education</w:t>
      </w:r>
      <w:r w:rsidRPr="005D3F76">
        <w:rPr>
          <w:rFonts w:cs="Times New Roman"/>
          <w:szCs w:val="24"/>
        </w:rPr>
        <w:t xml:space="preserve">, </w:t>
      </w:r>
      <w:r w:rsidRPr="005D3F76">
        <w:rPr>
          <w:rFonts w:cs="Times New Roman"/>
          <w:i/>
          <w:szCs w:val="24"/>
        </w:rPr>
        <w:t>Opinion</w:t>
      </w:r>
      <w:r w:rsidRPr="005D3F76">
        <w:rPr>
          <w:rFonts w:cs="Times New Roman"/>
          <w:szCs w:val="24"/>
        </w:rPr>
        <w:t xml:space="preserve">, </w:t>
      </w:r>
      <w:r w:rsidRPr="005D3F76">
        <w:rPr>
          <w:rFonts w:cs="Times New Roman"/>
          <w:i/>
          <w:szCs w:val="24"/>
        </w:rPr>
        <w:t>Entertainment</w:t>
      </w:r>
      <w:r w:rsidRPr="005D3F76">
        <w:rPr>
          <w:rFonts w:cs="Times New Roman"/>
          <w:szCs w:val="24"/>
        </w:rPr>
        <w:t xml:space="preserve">, </w:t>
      </w:r>
      <w:r w:rsidRPr="005D3F76">
        <w:rPr>
          <w:rFonts w:cs="Times New Roman"/>
          <w:i/>
          <w:szCs w:val="24"/>
        </w:rPr>
        <w:t>Business</w:t>
      </w:r>
      <w:r w:rsidRPr="005D3F76">
        <w:rPr>
          <w:rFonts w:cs="Times New Roman"/>
          <w:szCs w:val="24"/>
        </w:rPr>
        <w:t xml:space="preserve">, and </w:t>
      </w:r>
      <w:r w:rsidRPr="005D3F76">
        <w:rPr>
          <w:rFonts w:cs="Times New Roman"/>
          <w:i/>
          <w:szCs w:val="24"/>
        </w:rPr>
        <w:t xml:space="preserve">Lifestyle </w:t>
      </w:r>
      <w:r w:rsidRPr="005D3F76">
        <w:rPr>
          <w:rFonts w:cs="Times New Roman"/>
          <w:i/>
          <w:szCs w:val="24"/>
        </w:rPr>
        <w:fldChar w:fldCharType="begin"/>
      </w:r>
      <w:r w:rsidRPr="005D3F76">
        <w:rPr>
          <w:rFonts w:cs="Times New Roman"/>
          <w:i/>
          <w:szCs w:val="24"/>
        </w:rPr>
        <w:instrText xml:space="preserve"> ADDIN EN.CITE &lt;EndNote&gt;&lt;Cite&gt;&lt;Author&gt;Journal&lt;/Author&gt;&lt;Year&gt;2016&lt;/Year&gt;&lt;RecNum&gt;235&lt;/RecNum&gt;&lt;DisplayText&gt;(Wisconsin State Journal, 2016)&lt;/DisplayText&gt;&lt;record&gt;&lt;rec-number&gt;235&lt;/rec-number&gt;&lt;foreign-keys&gt;&lt;key app="EN" db-id="etwareaz8xpxz3et59b50d9vxrata9z2w2zt" timestamp="1462920110"&gt;235&lt;/key&gt;&lt;/foreign-keys&gt;&lt;ref-type name="Web Page"&gt;12&lt;/ref-type&gt;&lt;contributors&gt;&lt;authors&gt;&lt;author&gt;Wisconsin State Journal,&lt;/author&gt;&lt;/authors&gt;&lt;/contributors&gt;&lt;titles&gt;&lt;title&gt;Top News Today&lt;/title&gt;&lt;/titles&gt;&lt;volume&gt;2016&lt;/volume&gt;&lt;number&gt;May&lt;/number&gt;&lt;dates&gt;&lt;year&gt;2016&lt;/year&gt;&lt;/dates&gt;&lt;pub-location&gt;Madison, Wisconsin&lt;/pub-location&gt;&lt;publisher&gt;Lee Enterprises&lt;/publisher&gt;&lt;urls&gt;&lt;related-urls&gt;&lt;url&gt;http://host.madison.com/wsj/&lt;/url&gt;&lt;/related-urls&gt;&lt;/urls&gt;&lt;/record&gt;&lt;/Cite&gt;&lt;/EndNote&gt;</w:instrText>
      </w:r>
      <w:r w:rsidRPr="005D3F76">
        <w:rPr>
          <w:rFonts w:cs="Times New Roman"/>
          <w:i/>
          <w:szCs w:val="24"/>
        </w:rPr>
        <w:fldChar w:fldCharType="separate"/>
      </w:r>
      <w:r w:rsidRPr="005D3F76">
        <w:rPr>
          <w:rFonts w:cs="Times New Roman"/>
          <w:i/>
          <w:noProof/>
          <w:szCs w:val="24"/>
        </w:rPr>
        <w:t>(Wisconsin State Journal, 2016)</w:t>
      </w:r>
      <w:r w:rsidRPr="005D3F76">
        <w:rPr>
          <w:rFonts w:cs="Times New Roman"/>
          <w:i/>
          <w:szCs w:val="24"/>
        </w:rPr>
        <w:fldChar w:fldCharType="end"/>
      </w:r>
      <w:r w:rsidRPr="005D3F76">
        <w:rPr>
          <w:rFonts w:cs="Times New Roman"/>
          <w:i/>
          <w:szCs w:val="24"/>
        </w:rPr>
        <w:t xml:space="preserve">. </w:t>
      </w:r>
      <w:r w:rsidRPr="005D3F76">
        <w:rPr>
          <w:rFonts w:cs="Times New Roman"/>
          <w:szCs w:val="24"/>
        </w:rPr>
        <w:t xml:space="preserve">As does the </w:t>
      </w:r>
      <w:r w:rsidRPr="005D3F76">
        <w:rPr>
          <w:rFonts w:cs="Times New Roman"/>
          <w:i/>
          <w:szCs w:val="24"/>
        </w:rPr>
        <w:t>Times</w:t>
      </w:r>
      <w:r w:rsidRPr="005D3F76">
        <w:rPr>
          <w:rFonts w:cs="Times New Roman"/>
          <w:szCs w:val="24"/>
        </w:rPr>
        <w:t xml:space="preserve"> and many other newspapers throughout the U.S., they use a column, section, header, and top story selection within their daily paper. Although not explicitly outlined in any research that I could find pertaining to company policy concerning language usage, observationally the </w:t>
      </w:r>
      <w:r w:rsidRPr="005D3F76">
        <w:rPr>
          <w:rFonts w:cs="Times New Roman"/>
          <w:i/>
          <w:szCs w:val="24"/>
        </w:rPr>
        <w:t>WSJ, like the Times</w:t>
      </w:r>
      <w:r w:rsidRPr="005D3F76">
        <w:rPr>
          <w:rFonts w:cs="Times New Roman"/>
          <w:szCs w:val="24"/>
        </w:rPr>
        <w:t xml:space="preserve">, reframes from using any vulgar language within its paper. </w:t>
      </w:r>
    </w:p>
    <w:p w14:paraId="251BB5EF" w14:textId="26527A75" w:rsidR="00B03557" w:rsidRPr="005D3F76" w:rsidRDefault="00B03557" w:rsidP="00C56DF5">
      <w:pPr>
        <w:rPr>
          <w:rFonts w:cs="Times New Roman"/>
          <w:szCs w:val="24"/>
        </w:rPr>
      </w:pPr>
      <w:r w:rsidRPr="005D3F76">
        <w:rPr>
          <w:rFonts w:cs="Times New Roman"/>
          <w:szCs w:val="24"/>
        </w:rPr>
        <w:tab/>
        <w:t xml:space="preserve">The political stance within the </w:t>
      </w:r>
      <w:r w:rsidRPr="005D3F76">
        <w:rPr>
          <w:rFonts w:cs="Times New Roman"/>
          <w:i/>
          <w:szCs w:val="24"/>
        </w:rPr>
        <w:t>WSJ</w:t>
      </w:r>
      <w:r w:rsidRPr="005D3F76">
        <w:rPr>
          <w:rFonts w:cs="Times New Roman"/>
          <w:szCs w:val="24"/>
        </w:rPr>
        <w:t xml:space="preserve"> is highly conservative according to its history. The WSJ moved throughout its long history to many buildings around the Madison area, but eventually ended up in the same building as the </w:t>
      </w:r>
      <w:r w:rsidRPr="005D3F76">
        <w:rPr>
          <w:rFonts w:cs="Times New Roman"/>
          <w:i/>
          <w:szCs w:val="24"/>
        </w:rPr>
        <w:t>Capital Times</w:t>
      </w:r>
      <w:r w:rsidRPr="005D3F76">
        <w:rPr>
          <w:rFonts w:cs="Times New Roman"/>
          <w:szCs w:val="24"/>
        </w:rPr>
        <w:t xml:space="preserve">, the newspaper that will be discussed next. These two newspapers have been </w:t>
      </w:r>
    </w:p>
    <w:p w14:paraId="331F648C" w14:textId="1F730BB5" w:rsidR="00B03557" w:rsidRPr="005D3F76" w:rsidRDefault="00B03557" w:rsidP="00C56DF5">
      <w:pPr>
        <w:ind w:left="720"/>
        <w:rPr>
          <w:rFonts w:cs="Times New Roman"/>
          <w:szCs w:val="24"/>
        </w:rPr>
      </w:pPr>
      <w:r w:rsidRPr="005D3F76">
        <w:rPr>
          <w:rFonts w:cs="Times New Roman"/>
          <w:szCs w:val="24"/>
        </w:rPr>
        <w:t>co-dependent rivals for nearly a century. William Evjue, founder of the Capital Times, earlier worked for the State Journal, [but] he left over a disagreement with the State Journal on La Follette’s</w:t>
      </w:r>
      <w:r w:rsidRPr="005D3F76">
        <w:rPr>
          <w:rStyle w:val="EndnoteReference"/>
          <w:rFonts w:cs="Times New Roman"/>
          <w:szCs w:val="24"/>
        </w:rPr>
        <w:endnoteReference w:id="23"/>
      </w:r>
      <w:r w:rsidRPr="005D3F76">
        <w:rPr>
          <w:rFonts w:cs="Times New Roman"/>
          <w:szCs w:val="24"/>
        </w:rPr>
        <w:t xml:space="preserve"> opposition to entering World War I.  The State Journal under editors such as A.M. Brayton and Roy L. Matson, assumed a more conservative stance.</w:t>
      </w:r>
      <w:r w:rsidRPr="005D3F76">
        <w:rPr>
          <w:rFonts w:cs="Times New Roman"/>
          <w:i/>
          <w:szCs w:val="24"/>
        </w:rPr>
        <w:t xml:space="preserve"> </w:t>
      </w:r>
      <w:r w:rsidRPr="005D3F76">
        <w:rPr>
          <w:rFonts w:cs="Times New Roman"/>
          <w:i/>
          <w:szCs w:val="24"/>
        </w:rPr>
        <w:fldChar w:fldCharType="begin"/>
      </w:r>
      <w:r w:rsidRPr="005D3F76">
        <w:rPr>
          <w:rFonts w:cs="Times New Roman"/>
          <w:i/>
          <w:szCs w:val="24"/>
        </w:rPr>
        <w:instrText xml:space="preserve"> ADDIN EN.CITE &lt;EndNote&gt;&lt;Cite&gt;&lt;Author&gt;Simmons&lt;/Author&gt;&lt;Year&gt;2014&lt;/Year&gt;&lt;RecNum&gt;233&lt;/RecNum&gt;&lt;Suffix&gt; para. 17-18&lt;/Suffix&gt;&lt;DisplayText&gt;(Simmons, 2014 para. 17-18)&lt;/DisplayText&gt;&lt;record&gt;&lt;rec-number&gt;233&lt;/rec-number&gt;&lt;foreign-keys&gt;&lt;key app="EN" db-id="etwareaz8xpxz3et59b50d9vxrata9z2w2zt" timestamp="1462914992"&gt;233&lt;/key&gt;&lt;/foreign-keys&gt;&lt;ref-type name="Web Page"&gt;12&lt;/ref-type&gt;&lt;contributors&gt;&lt;authors&gt;&lt;author&gt;Dan Simmons&lt;/author&gt;&lt;/authors&gt;&lt;/contributors&gt;&lt;titles&gt;&lt;title&gt;The Wisconsin State Journal and Madison: A &amp;apos;Trusted Relationship&amp;apos; for 175 Years&lt;/title&gt;&lt;secondary-title&gt;The 12 Gifts to Our Readers Series&lt;/secondary-title&gt;&lt;/titles&gt;&lt;volume&gt;2016&lt;/volume&gt;&lt;number&gt;May&lt;/number&gt;&lt;dates&gt;&lt;year&gt;2014&lt;/year&gt;&lt;/dates&gt;&lt;pub-location&gt;Madison, Wisconsin&lt;/pub-location&gt;&lt;publisher&gt;Wisconsin State Journal&lt;/publisher&gt;&lt;urls&gt;&lt;related-urls&gt;&lt;url&gt;http://host.madison.com/wsj/news/local/a-long-shared-history-the-wisconsin-state-journal-s-th/collection_663a4db9-8f16-5517-9e69-d6279974a135.html&lt;/url&gt;&lt;/related-urls&gt;&lt;/urls&gt;&lt;/record&gt;&lt;/Cite&gt;&lt;/EndNote&gt;</w:instrText>
      </w:r>
      <w:r w:rsidRPr="005D3F76">
        <w:rPr>
          <w:rFonts w:cs="Times New Roman"/>
          <w:i/>
          <w:szCs w:val="24"/>
        </w:rPr>
        <w:fldChar w:fldCharType="separate"/>
      </w:r>
      <w:r w:rsidRPr="005D3F76">
        <w:rPr>
          <w:rFonts w:cs="Times New Roman"/>
          <w:i/>
          <w:noProof/>
          <w:szCs w:val="24"/>
        </w:rPr>
        <w:t>(</w:t>
      </w:r>
      <w:r w:rsidRPr="005D3F76">
        <w:rPr>
          <w:rFonts w:cs="Times New Roman"/>
          <w:noProof/>
          <w:szCs w:val="24"/>
        </w:rPr>
        <w:t>Simmons</w:t>
      </w:r>
      <w:r w:rsidRPr="005D3F76">
        <w:rPr>
          <w:rFonts w:cs="Times New Roman"/>
          <w:i/>
          <w:noProof/>
          <w:szCs w:val="24"/>
        </w:rPr>
        <w:t xml:space="preserve">, </w:t>
      </w:r>
      <w:r w:rsidRPr="005D3F76">
        <w:rPr>
          <w:rFonts w:cs="Times New Roman"/>
          <w:noProof/>
          <w:szCs w:val="24"/>
        </w:rPr>
        <w:t>2014</w:t>
      </w:r>
      <w:r w:rsidRPr="005D3F76">
        <w:rPr>
          <w:rFonts w:cs="Times New Roman"/>
          <w:i/>
          <w:noProof/>
          <w:szCs w:val="24"/>
        </w:rPr>
        <w:t xml:space="preserve"> </w:t>
      </w:r>
      <w:r w:rsidRPr="005D3F76">
        <w:rPr>
          <w:rFonts w:cs="Times New Roman"/>
          <w:noProof/>
          <w:szCs w:val="24"/>
        </w:rPr>
        <w:t>para</w:t>
      </w:r>
      <w:r w:rsidRPr="005D3F76">
        <w:rPr>
          <w:rFonts w:cs="Times New Roman"/>
          <w:i/>
          <w:noProof/>
          <w:szCs w:val="24"/>
        </w:rPr>
        <w:t xml:space="preserve">. </w:t>
      </w:r>
      <w:r w:rsidRPr="005D3F76">
        <w:rPr>
          <w:rFonts w:cs="Times New Roman"/>
          <w:noProof/>
          <w:szCs w:val="24"/>
        </w:rPr>
        <w:t>17</w:t>
      </w:r>
      <w:r w:rsidRPr="005D3F76">
        <w:rPr>
          <w:rFonts w:cs="Times New Roman"/>
          <w:i/>
          <w:noProof/>
          <w:szCs w:val="24"/>
        </w:rPr>
        <w:t>-18)</w:t>
      </w:r>
      <w:r w:rsidRPr="005D3F76">
        <w:rPr>
          <w:rFonts w:cs="Times New Roman"/>
          <w:i/>
          <w:szCs w:val="24"/>
        </w:rPr>
        <w:fldChar w:fldCharType="end"/>
      </w:r>
    </w:p>
    <w:p w14:paraId="566116B7" w14:textId="41C77085" w:rsidR="00B03557" w:rsidRPr="005D3F76" w:rsidRDefault="00B03557" w:rsidP="00C56DF5">
      <w:pPr>
        <w:rPr>
          <w:rFonts w:cs="Times New Roman"/>
          <w:szCs w:val="24"/>
        </w:rPr>
      </w:pPr>
      <w:r w:rsidRPr="005D3F76">
        <w:rPr>
          <w:rFonts w:cs="Times New Roman"/>
          <w:szCs w:val="24"/>
        </w:rPr>
        <w:t xml:space="preserve">The newspaper has consistently remained aligned with the Republican Party, although in the 1990’s the editor, Frank Denton, moved the paper’s leanings more toward what he called the “center-right” after seeing that over the last 50 years Madison had become less liberal (para. 19). Table 3 in Appendix A represents the articles that were pulled and used to research within </w:t>
      </w:r>
      <w:r w:rsidRPr="005D3F76">
        <w:rPr>
          <w:rFonts w:cs="Times New Roman"/>
          <w:i/>
          <w:szCs w:val="24"/>
        </w:rPr>
        <w:t>WSJ</w:t>
      </w:r>
      <w:r w:rsidRPr="005D3F76">
        <w:rPr>
          <w:rFonts w:cs="Times New Roman"/>
          <w:szCs w:val="24"/>
        </w:rPr>
        <w:t xml:space="preserve">. </w:t>
      </w:r>
    </w:p>
    <w:p w14:paraId="65B14BBC" w14:textId="2BE13C33" w:rsidR="00B03557" w:rsidRPr="005D3F76" w:rsidRDefault="00B03557" w:rsidP="00C56DF5">
      <w:pPr>
        <w:rPr>
          <w:rFonts w:cs="Times New Roman"/>
          <w:szCs w:val="24"/>
        </w:rPr>
      </w:pPr>
      <w:r w:rsidRPr="005D3F76">
        <w:rPr>
          <w:rFonts w:cs="Times New Roman"/>
          <w:szCs w:val="24"/>
        </w:rPr>
        <w:lastRenderedPageBreak/>
        <w:tab/>
        <w:t xml:space="preserve">The local paper that I chose to use for the research on teacher unions in Wisconsin is the </w:t>
      </w:r>
      <w:r w:rsidRPr="005D3F76">
        <w:rPr>
          <w:rFonts w:cs="Times New Roman"/>
          <w:i/>
          <w:szCs w:val="24"/>
        </w:rPr>
        <w:t xml:space="preserve">Capital Times </w:t>
      </w:r>
      <w:r w:rsidRPr="005D3F76">
        <w:rPr>
          <w:rFonts w:cs="Times New Roman"/>
          <w:szCs w:val="24"/>
        </w:rPr>
        <w:t>(C</w:t>
      </w:r>
      <w:r w:rsidRPr="005D3F76">
        <w:rPr>
          <w:rFonts w:cs="Times New Roman"/>
          <w:i/>
          <w:szCs w:val="24"/>
        </w:rPr>
        <w:t>ap Times</w:t>
      </w:r>
      <w:r w:rsidRPr="005D3F76">
        <w:rPr>
          <w:rFonts w:cs="Times New Roman"/>
          <w:szCs w:val="24"/>
        </w:rPr>
        <w:t xml:space="preserve">).  The </w:t>
      </w:r>
      <w:r w:rsidRPr="005D3F76">
        <w:rPr>
          <w:rFonts w:cs="Times New Roman"/>
          <w:i/>
          <w:szCs w:val="24"/>
        </w:rPr>
        <w:t xml:space="preserve">Cap Times </w:t>
      </w:r>
      <w:r w:rsidRPr="005D3F76">
        <w:rPr>
          <w:rFonts w:cs="Times New Roman"/>
          <w:szCs w:val="24"/>
        </w:rPr>
        <w:t xml:space="preserve">began publishing in 1917 </w:t>
      </w:r>
      <w:r w:rsidRPr="005D3F76">
        <w:rPr>
          <w:rFonts w:cs="Times New Roman"/>
          <w:szCs w:val="24"/>
        </w:rPr>
        <w:fldChar w:fldCharType="begin"/>
      </w:r>
      <w:r w:rsidRPr="005D3F76">
        <w:rPr>
          <w:rFonts w:cs="Times New Roman"/>
          <w:szCs w:val="24"/>
        </w:rPr>
        <w:instrText xml:space="preserve"> ADDIN EN.CITE &lt;EndNote&gt;&lt;Cite&gt;&lt;Author&gt;Weisberger&lt;/Author&gt;&lt;Year&gt;1994&lt;/Year&gt;&lt;RecNum&gt;239&lt;/RecNum&gt;&lt;DisplayText&gt;(Weisberger, 1994)&lt;/DisplayText&gt;&lt;record&gt;&lt;rec-number&gt;239&lt;/rec-number&gt;&lt;foreign-keys&gt;&lt;key app="EN" db-id="etwareaz8xpxz3et59b50d9vxrata9z2w2zt" timestamp="1462983470"&gt;239&lt;/key&gt;&lt;/foreign-keys&gt;&lt;ref-type name="Book"&gt;6&lt;/ref-type&gt;&lt;contributors&gt;&lt;authors&gt;&lt;author&gt;Bernard A Weisberger&lt;/author&gt;&lt;/authors&gt;&lt;/contributors&gt;&lt;titles&gt;&lt;title&gt;The La Follettes of Wisconsin: Love and Politics in Progressive America&lt;/title&gt;&lt;/titles&gt;&lt;dates&gt;&lt;year&gt;1994&lt;/year&gt;&lt;/dates&gt;&lt;pub-location&gt;Madison, Wisconsin&lt;/pub-location&gt;&lt;publisher&gt;University of Wisconsin Press&lt;/publisher&gt;&lt;urls&gt;&lt;/urls&gt;&lt;/record&gt;&lt;/Cite&gt;&lt;/EndNote&gt;</w:instrText>
      </w:r>
      <w:r w:rsidRPr="005D3F76">
        <w:rPr>
          <w:rFonts w:cs="Times New Roman"/>
          <w:szCs w:val="24"/>
        </w:rPr>
        <w:fldChar w:fldCharType="separate"/>
      </w:r>
      <w:r w:rsidRPr="005D3F76">
        <w:rPr>
          <w:rFonts w:cs="Times New Roman"/>
          <w:noProof/>
          <w:szCs w:val="24"/>
        </w:rPr>
        <w:t>(Weisberger, 1994)</w:t>
      </w:r>
      <w:r w:rsidRPr="005D3F76">
        <w:rPr>
          <w:rFonts w:cs="Times New Roman"/>
          <w:szCs w:val="24"/>
        </w:rPr>
        <w:fldChar w:fldCharType="end"/>
      </w:r>
      <w:r w:rsidRPr="005D3F76">
        <w:rPr>
          <w:rFonts w:cs="Times New Roman"/>
          <w:szCs w:val="24"/>
        </w:rPr>
        <w:t xml:space="preserve">. However, after years of trying to ‘scoop’ one another and vying for advertising contracts, the paper was purchased by Capital Newspapers in 1948, the same company that owns </w:t>
      </w:r>
      <w:r w:rsidRPr="005D3F76">
        <w:rPr>
          <w:rFonts w:cs="Times New Roman"/>
          <w:i/>
          <w:szCs w:val="24"/>
        </w:rPr>
        <w:t>WSJ</w:t>
      </w:r>
      <w:r w:rsidRPr="005D3F76">
        <w:rPr>
          <w:rFonts w:cs="Times New Roman"/>
          <w:szCs w:val="24"/>
        </w:rPr>
        <w:t xml:space="preserve">. This acquisition by Capital Newspapers did not end the long held competition between the </w:t>
      </w:r>
      <w:r w:rsidRPr="005D3F76">
        <w:rPr>
          <w:rFonts w:cs="Times New Roman"/>
          <w:i/>
          <w:szCs w:val="24"/>
        </w:rPr>
        <w:t>WSJ</w:t>
      </w:r>
      <w:r w:rsidRPr="005D3F76">
        <w:rPr>
          <w:rFonts w:cs="Times New Roman"/>
          <w:szCs w:val="24"/>
        </w:rPr>
        <w:t xml:space="preserve"> and the </w:t>
      </w:r>
      <w:r w:rsidRPr="005D3F76">
        <w:rPr>
          <w:rFonts w:cs="Times New Roman"/>
          <w:i/>
          <w:szCs w:val="24"/>
        </w:rPr>
        <w:t>Cap Times</w:t>
      </w:r>
      <w:r w:rsidRPr="005D3F76">
        <w:rPr>
          <w:rFonts w:cs="Times New Roman"/>
          <w:szCs w:val="24"/>
        </w:rPr>
        <w:t xml:space="preserve">. This competitive edge between the two news organizations has led to quality journalism by both, and although the </w:t>
      </w:r>
      <w:r w:rsidRPr="005D3F76">
        <w:rPr>
          <w:rFonts w:cs="Times New Roman"/>
          <w:i/>
          <w:szCs w:val="24"/>
        </w:rPr>
        <w:t>Cap Times</w:t>
      </w:r>
      <w:r w:rsidRPr="005D3F76">
        <w:rPr>
          <w:rFonts w:cs="Times New Roman"/>
          <w:szCs w:val="24"/>
        </w:rPr>
        <w:t xml:space="preserve"> has not won a Pulitzer Prize, they have won many local and state sponsored awards for local newspapers in the state of Wisconsin. The reason I chose to use the </w:t>
      </w:r>
      <w:r w:rsidRPr="005D3F76">
        <w:rPr>
          <w:rFonts w:cs="Times New Roman"/>
          <w:i/>
          <w:szCs w:val="24"/>
        </w:rPr>
        <w:t xml:space="preserve">Cap </w:t>
      </w:r>
      <w:r w:rsidRPr="005D3F76">
        <w:rPr>
          <w:rFonts w:cs="Times New Roman"/>
          <w:szCs w:val="24"/>
        </w:rPr>
        <w:t>Times in the research that will follow is because of the newspapers longevity and reputation in the local Madison community.</w:t>
      </w:r>
    </w:p>
    <w:p w14:paraId="5DB362A8" w14:textId="503C8B2B" w:rsidR="00B03557" w:rsidRPr="005D3F76" w:rsidRDefault="00B03557" w:rsidP="00C56DF5">
      <w:pPr>
        <w:rPr>
          <w:rFonts w:cs="Times New Roman"/>
          <w:szCs w:val="24"/>
        </w:rPr>
      </w:pPr>
      <w:r w:rsidRPr="005D3F76">
        <w:rPr>
          <w:rFonts w:cs="Times New Roman"/>
          <w:szCs w:val="24"/>
        </w:rPr>
        <w:tab/>
        <w:t xml:space="preserve">Stylistically, the </w:t>
      </w:r>
      <w:r w:rsidRPr="005D3F76">
        <w:rPr>
          <w:rFonts w:cs="Times New Roman"/>
          <w:i/>
          <w:szCs w:val="24"/>
        </w:rPr>
        <w:t>Cap Times</w:t>
      </w:r>
      <w:r w:rsidRPr="005D3F76">
        <w:rPr>
          <w:rFonts w:cs="Times New Roman"/>
          <w:szCs w:val="24"/>
        </w:rPr>
        <w:t xml:space="preserve"> look is different from both the </w:t>
      </w:r>
      <w:r w:rsidRPr="005D3F76">
        <w:rPr>
          <w:rFonts w:cs="Times New Roman"/>
          <w:i/>
          <w:szCs w:val="24"/>
        </w:rPr>
        <w:t>Times</w:t>
      </w:r>
      <w:r w:rsidRPr="005D3F76">
        <w:rPr>
          <w:rFonts w:cs="Times New Roman"/>
          <w:szCs w:val="24"/>
        </w:rPr>
        <w:t xml:space="preserve"> and the </w:t>
      </w:r>
      <w:r w:rsidRPr="005D3F76">
        <w:rPr>
          <w:rFonts w:cs="Times New Roman"/>
          <w:i/>
          <w:szCs w:val="24"/>
        </w:rPr>
        <w:t>WSJ</w:t>
      </w:r>
      <w:r w:rsidRPr="005D3F76">
        <w:rPr>
          <w:rFonts w:cs="Times New Roman"/>
          <w:szCs w:val="24"/>
        </w:rPr>
        <w:t xml:space="preserve">. Due in part to newspaper sales all over the country are in decline, the </w:t>
      </w:r>
      <w:r w:rsidRPr="005D3F76">
        <w:rPr>
          <w:rFonts w:cs="Times New Roman"/>
          <w:i/>
          <w:szCs w:val="24"/>
        </w:rPr>
        <w:t>Cap Times</w:t>
      </w:r>
      <w:r w:rsidRPr="005D3F76">
        <w:rPr>
          <w:rFonts w:cs="Times New Roman"/>
          <w:szCs w:val="24"/>
        </w:rPr>
        <w:t xml:space="preserve"> went to a bi-weekly printed paper in 2008, with the majority of their articles published online </w:t>
      </w:r>
      <w:r w:rsidRPr="005D3F76">
        <w:rPr>
          <w:rFonts w:cs="Times New Roman"/>
          <w:szCs w:val="24"/>
        </w:rPr>
        <w:fldChar w:fldCharType="begin"/>
      </w:r>
      <w:r w:rsidRPr="005D3F76">
        <w:rPr>
          <w:rFonts w:cs="Times New Roman"/>
          <w:szCs w:val="24"/>
        </w:rPr>
        <w:instrText xml:space="preserve"> ADDIN EN.CITE &lt;EndNote&gt;&lt;Cite&gt;&lt;Author&gt;Barthel&lt;/Author&gt;&lt;Year&gt;2015&lt;/Year&gt;&lt;RecNum&gt;240&lt;/RecNum&gt;&lt;DisplayText&gt;(Barthel, 2015; Stein &amp;amp; Kissinger, 2015)&lt;/DisplayText&gt;&lt;record&gt;&lt;rec-number&gt;240&lt;/rec-number&gt;&lt;foreign-keys&gt;&lt;key app="EN" db-id="etwareaz8xpxz3et59b50d9vxrata9z2w2zt" timestamp="1462986596"&gt;240&lt;/key&gt;&lt;/foreign-keys&gt;&lt;ref-type name="Web Page"&gt;12&lt;/ref-type&gt;&lt;contributors&gt;&lt;authors&gt;&lt;author&gt;Michael Barthel&lt;/author&gt;&lt;/authors&gt;&lt;secondary-authors&gt;&lt;author&gt;Pew Research Center Journalism &amp;amp; Media&lt;/author&gt;&lt;/secondary-authors&gt;&lt;/contributors&gt;&lt;titles&gt;&lt;title&gt;Newspapers: Fact Sheet&lt;/title&gt;&lt;secondary-title&gt;State Of The News Media 2015&lt;/secondary-title&gt;&lt;/titles&gt;&lt;volume&gt;2016&lt;/volume&gt;&lt;number&gt;May&lt;/number&gt;&lt;dates&gt;&lt;year&gt;2015&lt;/year&gt;&lt;/dates&gt;&lt;publisher&gt;Pew Research Center Journalism &amp;amp; Media&lt;/publisher&gt;&lt;urls&gt;&lt;related-urls&gt;&lt;url&gt;http://www.journalism.org/2015/04/29/newspapers-fact-sheet/&lt;/url&gt;&lt;/related-urls&gt;&lt;/urls&gt;&lt;/record&gt;&lt;/Cite&gt;&lt;Cite&gt;&lt;Author&gt;Stein&lt;/Author&gt;&lt;Year&gt;2015&lt;/Year&gt;&lt;RecNum&gt;212&lt;/RecNum&gt;&lt;record&gt;&lt;rec-number&gt;212&lt;/rec-number&gt;&lt;foreign-keys&gt;&lt;key app="EN" db-id="etwareaz8xpxz3et59b50d9vxrata9z2w2zt" timestamp="1460821837"&gt;212&lt;/key&gt;&lt;/foreign-keys&gt;&lt;ref-type name="Newspaper Article"&gt;23&lt;/ref-type&gt;&lt;contributors&gt;&lt;authors&gt;&lt;author&gt;Jason Stein&lt;/author&gt;&lt;author&gt;Meg Kissinger&lt;/author&gt;&lt;/authors&gt;&lt;/contributors&gt;&lt;titles&gt;&lt;title&gt;Scott Walker Signs Right-to-Work Bill&lt;/title&gt;&lt;secondary-title&gt;WiscoMilwaukee-Wisconsin Journal Sentinel&lt;/secondary-title&gt;&lt;/titles&gt;&lt;dates&gt;&lt;year&gt;2015&lt;/year&gt;&lt;/dates&gt;&lt;pub-location&gt;Milwaukee, Wisconsin&lt;/pub-location&gt;&lt;publisher&gt;journalmediagroup&lt;/publisher&gt;&lt;urls&gt;&lt;/urls&gt;&lt;/record&gt;&lt;/Cite&gt;&lt;/EndNote&gt;</w:instrText>
      </w:r>
      <w:r w:rsidRPr="005D3F76">
        <w:rPr>
          <w:rFonts w:cs="Times New Roman"/>
          <w:szCs w:val="24"/>
        </w:rPr>
        <w:fldChar w:fldCharType="separate"/>
      </w:r>
      <w:r w:rsidRPr="005D3F76">
        <w:rPr>
          <w:rFonts w:cs="Times New Roman"/>
          <w:noProof/>
          <w:szCs w:val="24"/>
        </w:rPr>
        <w:t>(Barthel, 2015; Stein &amp; Kissinger, 2015)</w:t>
      </w:r>
      <w:r w:rsidRPr="005D3F76">
        <w:rPr>
          <w:rFonts w:cs="Times New Roman"/>
          <w:szCs w:val="24"/>
        </w:rPr>
        <w:fldChar w:fldCharType="end"/>
      </w:r>
      <w:r w:rsidRPr="005D3F76">
        <w:rPr>
          <w:rFonts w:cs="Times New Roman"/>
          <w:szCs w:val="24"/>
        </w:rPr>
        <w:t xml:space="preserve">. Today, they publish a traditional style </w:t>
      </w:r>
      <w:r w:rsidRPr="005D3F76">
        <w:rPr>
          <w:rFonts w:cs="Times New Roman"/>
          <w:i/>
          <w:szCs w:val="24"/>
        </w:rPr>
        <w:t>News</w:t>
      </w:r>
      <w:r w:rsidRPr="005D3F76">
        <w:rPr>
          <w:rFonts w:cs="Times New Roman"/>
          <w:szCs w:val="24"/>
        </w:rPr>
        <w:t xml:space="preserve"> and </w:t>
      </w:r>
      <w:r w:rsidRPr="005D3F76">
        <w:rPr>
          <w:rFonts w:cs="Times New Roman"/>
          <w:i/>
          <w:szCs w:val="24"/>
        </w:rPr>
        <w:t>Opinion</w:t>
      </w:r>
      <w:r w:rsidRPr="005D3F76">
        <w:rPr>
          <w:rFonts w:cs="Times New Roman"/>
          <w:szCs w:val="24"/>
        </w:rPr>
        <w:t xml:space="preserve"> section on Wednesdays, with an </w:t>
      </w:r>
      <w:r w:rsidRPr="005D3F76">
        <w:rPr>
          <w:rFonts w:cs="Times New Roman"/>
          <w:i/>
          <w:szCs w:val="24"/>
        </w:rPr>
        <w:t xml:space="preserve">Art </w:t>
      </w:r>
      <w:r w:rsidRPr="005D3F76">
        <w:rPr>
          <w:rFonts w:cs="Times New Roman"/>
          <w:szCs w:val="24"/>
        </w:rPr>
        <w:t xml:space="preserve">and </w:t>
      </w:r>
      <w:r w:rsidRPr="005D3F76">
        <w:rPr>
          <w:rFonts w:cs="Times New Roman"/>
          <w:i/>
          <w:szCs w:val="24"/>
        </w:rPr>
        <w:t>Entertainment</w:t>
      </w:r>
      <w:r w:rsidRPr="005D3F76">
        <w:rPr>
          <w:rFonts w:cs="Times New Roman"/>
          <w:szCs w:val="24"/>
        </w:rPr>
        <w:t xml:space="preserve"> section printed on Thursdays </w:t>
      </w:r>
      <w:r w:rsidRPr="005D3F76">
        <w:rPr>
          <w:rFonts w:cs="Times New Roman"/>
          <w:szCs w:val="24"/>
        </w:rPr>
        <w:fldChar w:fldCharType="begin"/>
      </w:r>
      <w:r w:rsidRPr="005D3F76">
        <w:rPr>
          <w:rFonts w:cs="Times New Roman"/>
          <w:szCs w:val="24"/>
        </w:rPr>
        <w:instrText xml:space="preserve"> ADDIN EN.CITE &lt;EndNote&gt;&lt;Cite&gt;&lt;Author&gt;Sentinal&lt;/Author&gt;&lt;Year&gt;2008&lt;/Year&gt;&lt;RecNum&gt;241&lt;/RecNum&gt;&lt;DisplayText&gt;(Sentinal, 2008)&lt;/DisplayText&gt;&lt;record&gt;&lt;rec-number&gt;241&lt;/rec-number&gt;&lt;foreign-keys&gt;&lt;key app="EN" db-id="etwareaz8xpxz3et59b50d9vxrata9z2w2zt" timestamp="1462986767"&gt;241&lt;/key&gt;&lt;/foreign-keys&gt;&lt;ref-type name="Web Page"&gt;12&lt;/ref-type&gt;&lt;contributors&gt;&lt;authors&gt;&lt;author&gt;Ld Sentinal&lt;/author&gt;&lt;/authors&gt;&lt;secondary-authors&gt;&lt;author&gt;Channel 3000&lt;/author&gt;&lt;/secondary-authors&gt;&lt;/contributors&gt;&lt;titles&gt;&lt;title&gt;Capital Times to Stop Printing Daily Newspaper (RIP Liberal Media)&lt;/title&gt;&lt;/titles&gt;&lt;volume&gt;2016&lt;/volume&gt;&lt;number&gt;May&lt;/number&gt;&lt;dates&gt;&lt;year&gt;2008&lt;/year&gt;&lt;/dates&gt;&lt;urls&gt;&lt;related-urls&gt;&lt;url&gt;http://www.freerepublic.com/focus/f-news/1966822/posts&lt;/url&gt;&lt;/related-urls&gt;&lt;/urls&gt;&lt;/record&gt;&lt;/Cite&gt;&lt;/EndNote&gt;</w:instrText>
      </w:r>
      <w:r w:rsidRPr="005D3F76">
        <w:rPr>
          <w:rFonts w:cs="Times New Roman"/>
          <w:szCs w:val="24"/>
        </w:rPr>
        <w:fldChar w:fldCharType="separate"/>
      </w:r>
      <w:r w:rsidRPr="005D3F76">
        <w:rPr>
          <w:rFonts w:cs="Times New Roman"/>
          <w:noProof/>
          <w:szCs w:val="24"/>
        </w:rPr>
        <w:t>(Sentinal, 2008)</w:t>
      </w:r>
      <w:r w:rsidRPr="005D3F76">
        <w:rPr>
          <w:rFonts w:cs="Times New Roman"/>
          <w:szCs w:val="24"/>
        </w:rPr>
        <w:fldChar w:fldCharType="end"/>
      </w:r>
      <w:r w:rsidRPr="005D3F76">
        <w:rPr>
          <w:rFonts w:cs="Times New Roman"/>
          <w:szCs w:val="24"/>
        </w:rPr>
        <w:t xml:space="preserve">. Online articles are published daily and include sections such as, </w:t>
      </w:r>
      <w:r w:rsidRPr="005D3F76">
        <w:rPr>
          <w:rFonts w:cs="Times New Roman"/>
          <w:i/>
          <w:szCs w:val="24"/>
        </w:rPr>
        <w:t>Business</w:t>
      </w:r>
      <w:r w:rsidRPr="005D3F76">
        <w:rPr>
          <w:rFonts w:cs="Times New Roman"/>
          <w:szCs w:val="24"/>
        </w:rPr>
        <w:t xml:space="preserve">, </w:t>
      </w:r>
      <w:r w:rsidRPr="005D3F76">
        <w:rPr>
          <w:rFonts w:cs="Times New Roman"/>
          <w:i/>
          <w:szCs w:val="24"/>
        </w:rPr>
        <w:t>Entertainment</w:t>
      </w:r>
      <w:r w:rsidRPr="005D3F76">
        <w:rPr>
          <w:rFonts w:cs="Times New Roman"/>
          <w:szCs w:val="24"/>
        </w:rPr>
        <w:t xml:space="preserve">, </w:t>
      </w:r>
      <w:r w:rsidRPr="005D3F76">
        <w:rPr>
          <w:rFonts w:cs="Times New Roman"/>
          <w:i/>
          <w:szCs w:val="24"/>
        </w:rPr>
        <w:t>Lifestyles</w:t>
      </w:r>
      <w:r w:rsidRPr="005D3F76">
        <w:rPr>
          <w:rFonts w:cs="Times New Roman"/>
          <w:szCs w:val="24"/>
        </w:rPr>
        <w:t xml:space="preserve">, </w:t>
      </w:r>
      <w:r w:rsidRPr="005D3F76">
        <w:rPr>
          <w:rFonts w:cs="Times New Roman"/>
          <w:i/>
          <w:szCs w:val="24"/>
        </w:rPr>
        <w:t>News</w:t>
      </w:r>
      <w:r w:rsidRPr="005D3F76">
        <w:rPr>
          <w:rFonts w:cs="Times New Roman"/>
          <w:szCs w:val="24"/>
        </w:rPr>
        <w:t xml:space="preserve">, and </w:t>
      </w:r>
      <w:r w:rsidRPr="005D3F76">
        <w:rPr>
          <w:rFonts w:cs="Times New Roman"/>
          <w:i/>
          <w:szCs w:val="24"/>
        </w:rPr>
        <w:t xml:space="preserve">Sports </w:t>
      </w:r>
      <w:r w:rsidRPr="005D3F76">
        <w:rPr>
          <w:rFonts w:cs="Times New Roman"/>
          <w:i/>
          <w:szCs w:val="24"/>
        </w:rPr>
        <w:fldChar w:fldCharType="begin"/>
      </w:r>
      <w:r w:rsidRPr="005D3F76">
        <w:rPr>
          <w:rFonts w:cs="Times New Roman"/>
          <w:i/>
          <w:szCs w:val="24"/>
        </w:rPr>
        <w:instrText xml:space="preserve"> ADDIN EN.CITE &lt;EndNote&gt;&lt;Cite&gt;&lt;Author&gt;Design&lt;/Author&gt;&lt;Year&gt;2016&lt;/Year&gt;&lt;RecNum&gt;238&lt;/RecNum&gt;&lt;DisplayText&gt;(Capital Newspapers Website Design, 2016)&lt;/DisplayText&gt;&lt;record&gt;&lt;rec-number&gt;238&lt;/rec-number&gt;&lt;foreign-keys&gt;&lt;key app="EN" db-id="etwareaz8xpxz3et59b50d9vxrata9z2w2zt" timestamp="1462983375"&gt;238&lt;/key&gt;&lt;/foreign-keys&gt;&lt;ref-type name="Web Page"&gt;12&lt;/ref-type&gt;&lt;contributors&gt;&lt;authors&gt;&lt;author&gt;Capital Newspapers Website Design,&lt;/author&gt;&lt;/authors&gt;&lt;/contributors&gt;&lt;titles&gt;&lt;title&gt;Capital Newspapers&lt;/title&gt;&lt;/titles&gt;&lt;volume&gt;2016&lt;/volume&gt;&lt;number&gt;May&lt;/number&gt;&lt;dates&gt;&lt;year&gt;2016&lt;/year&gt;&lt;/dates&gt;&lt;pub-location&gt;Madison, Wisconsin&lt;/pub-location&gt;&lt;publisher&gt;Capital Newspapers&lt;/publisher&gt;&lt;urls&gt;&lt;related-urls&gt;&lt;url&gt;http://host.madison.com/capital_newspapers/&lt;/url&gt;&lt;/related-urls&gt;&lt;/urls&gt;&lt;/record&gt;&lt;/Cite&gt;&lt;/EndNote&gt;</w:instrText>
      </w:r>
      <w:r w:rsidRPr="005D3F76">
        <w:rPr>
          <w:rFonts w:cs="Times New Roman"/>
          <w:i/>
          <w:szCs w:val="24"/>
        </w:rPr>
        <w:fldChar w:fldCharType="separate"/>
      </w:r>
      <w:r w:rsidRPr="005D3F76">
        <w:rPr>
          <w:rFonts w:cs="Times New Roman"/>
          <w:i/>
          <w:noProof/>
          <w:szCs w:val="24"/>
        </w:rPr>
        <w:t>(Capital Newspapers Website Design, 2016)</w:t>
      </w:r>
      <w:r w:rsidRPr="005D3F76">
        <w:rPr>
          <w:rFonts w:cs="Times New Roman"/>
          <w:i/>
          <w:szCs w:val="24"/>
        </w:rPr>
        <w:fldChar w:fldCharType="end"/>
      </w:r>
      <w:r w:rsidRPr="005D3F76">
        <w:rPr>
          <w:rFonts w:cs="Times New Roman"/>
          <w:szCs w:val="24"/>
        </w:rPr>
        <w:t xml:space="preserve">. However, for the research that will follow on teacher unions in Wisconsin, only articles that appeared in their printed papers on Wednesdays are used. </w:t>
      </w:r>
    </w:p>
    <w:p w14:paraId="45DCAE6F" w14:textId="34B8AA8F" w:rsidR="00B03557" w:rsidRPr="005D3F76" w:rsidRDefault="00B03557" w:rsidP="00C56DF5">
      <w:pPr>
        <w:rPr>
          <w:rFonts w:cs="Times New Roman"/>
          <w:szCs w:val="24"/>
        </w:rPr>
      </w:pPr>
      <w:r w:rsidRPr="005D3F76">
        <w:rPr>
          <w:rFonts w:cs="Times New Roman"/>
          <w:szCs w:val="24"/>
        </w:rPr>
        <w:tab/>
        <w:t xml:space="preserve">Out of the three newspapers used within this research, the </w:t>
      </w:r>
      <w:r w:rsidRPr="005D3F76">
        <w:rPr>
          <w:rFonts w:cs="Times New Roman"/>
          <w:i/>
          <w:szCs w:val="24"/>
        </w:rPr>
        <w:t>Cap Times</w:t>
      </w:r>
      <w:r w:rsidRPr="005D3F76">
        <w:rPr>
          <w:rFonts w:cs="Times New Roman"/>
          <w:szCs w:val="24"/>
        </w:rPr>
        <w:t xml:space="preserve"> has a more liberal quality to the paper overall, thanks in part to the history of the newspaper. As previously stated, William Evjue, founder of the Capital Times, left the </w:t>
      </w:r>
      <w:r w:rsidRPr="005D3F76">
        <w:rPr>
          <w:rFonts w:cs="Times New Roman"/>
          <w:i/>
          <w:szCs w:val="24"/>
        </w:rPr>
        <w:t>WSJ</w:t>
      </w:r>
      <w:r w:rsidRPr="005D3F76">
        <w:rPr>
          <w:rFonts w:cs="Times New Roman"/>
          <w:szCs w:val="24"/>
        </w:rPr>
        <w:t xml:space="preserve"> in opposition to many of the positions that the </w:t>
      </w:r>
      <w:r w:rsidRPr="005D3F76">
        <w:rPr>
          <w:rFonts w:cs="Times New Roman"/>
          <w:i/>
          <w:szCs w:val="24"/>
        </w:rPr>
        <w:t>WSJ</w:t>
      </w:r>
      <w:r w:rsidRPr="005D3F76">
        <w:rPr>
          <w:rFonts w:cs="Times New Roman"/>
          <w:szCs w:val="24"/>
        </w:rPr>
        <w:t xml:space="preserve"> held concerning politics and the war. Thus, Evjue established the </w:t>
      </w:r>
      <w:r w:rsidRPr="005D3F76">
        <w:rPr>
          <w:rFonts w:cs="Times New Roman"/>
          <w:i/>
          <w:szCs w:val="24"/>
        </w:rPr>
        <w:t>Cap Times</w:t>
      </w:r>
      <w:r w:rsidRPr="005D3F76">
        <w:rPr>
          <w:rFonts w:cs="Times New Roman"/>
          <w:szCs w:val="24"/>
        </w:rPr>
        <w:t xml:space="preserve"> as the </w:t>
      </w:r>
      <w:r w:rsidRPr="005D3F76">
        <w:rPr>
          <w:rFonts w:cs="Times New Roman"/>
          <w:szCs w:val="24"/>
        </w:rPr>
        <w:lastRenderedPageBreak/>
        <w:t xml:space="preserve">“liberal voice” that has remained largely with the newspaper ever since, even after the acquisition from Capital Newspapers </w:t>
      </w:r>
      <w:r w:rsidRPr="005D3F76">
        <w:rPr>
          <w:rFonts w:cs="Times New Roman"/>
          <w:szCs w:val="24"/>
        </w:rPr>
        <w:fldChar w:fldCharType="begin"/>
      </w:r>
      <w:r w:rsidRPr="005D3F76">
        <w:rPr>
          <w:rFonts w:cs="Times New Roman"/>
          <w:szCs w:val="24"/>
        </w:rPr>
        <w:instrText xml:space="preserve"> ADDIN EN.CITE &lt;EndNote&gt;&lt;Cite&gt;&lt;Author&gt;Simmons&lt;/Author&gt;&lt;Year&gt;2014&lt;/Year&gt;&lt;RecNum&gt;233&lt;/RecNum&gt;&lt;Suffix&gt; para. 17&lt;/Suffix&gt;&lt;DisplayText&gt;(Simmons, 2014 para. 17)&lt;/DisplayText&gt;&lt;record&gt;&lt;rec-number&gt;233&lt;/rec-number&gt;&lt;foreign-keys&gt;&lt;key app="EN" db-id="etwareaz8xpxz3et59b50d9vxrata9z2w2zt" timestamp="1462914992"&gt;233&lt;/key&gt;&lt;/foreign-keys&gt;&lt;ref-type name="Web Page"&gt;12&lt;/ref-type&gt;&lt;contributors&gt;&lt;authors&gt;&lt;author&gt;Dan Simmons&lt;/author&gt;&lt;/authors&gt;&lt;/contributors&gt;&lt;titles&gt;&lt;title&gt;The Wisconsin State Journal and Madison: A &amp;apos;Trusted Relationship&amp;apos; for 175 Years&lt;/title&gt;&lt;secondary-title&gt;The 12 Gifts to Our Readers Series&lt;/secondary-title&gt;&lt;/titles&gt;&lt;volume&gt;2016&lt;/volume&gt;&lt;number&gt;May&lt;/number&gt;&lt;dates&gt;&lt;year&gt;2014&lt;/year&gt;&lt;/dates&gt;&lt;pub-location&gt;Madison, Wisconsin&lt;/pub-location&gt;&lt;publisher&gt;Wisconsin State Journal&lt;/publisher&gt;&lt;urls&gt;&lt;related-urls&gt;&lt;url&gt;http://host.madison.com/wsj/news/local/a-long-shared-history-the-wisconsin-state-journal-s-th/collection_663a4db9-8f16-5517-9e69-d6279974a135.html&lt;/url&gt;&lt;/related-urls&gt;&lt;/urls&gt;&lt;/record&gt;&lt;/Cite&gt;&lt;/EndNote&gt;</w:instrText>
      </w:r>
      <w:r w:rsidRPr="005D3F76">
        <w:rPr>
          <w:rFonts w:cs="Times New Roman"/>
          <w:szCs w:val="24"/>
        </w:rPr>
        <w:fldChar w:fldCharType="separate"/>
      </w:r>
      <w:r w:rsidRPr="005D3F76">
        <w:rPr>
          <w:rFonts w:cs="Times New Roman"/>
          <w:noProof/>
          <w:szCs w:val="24"/>
        </w:rPr>
        <w:t>(Simmons, 2014 para. 17)</w:t>
      </w:r>
      <w:r w:rsidRPr="005D3F76">
        <w:rPr>
          <w:rFonts w:cs="Times New Roman"/>
          <w:szCs w:val="24"/>
        </w:rPr>
        <w:fldChar w:fldCharType="end"/>
      </w:r>
      <w:r w:rsidRPr="005D3F76">
        <w:rPr>
          <w:rFonts w:cs="Times New Roman"/>
          <w:szCs w:val="24"/>
        </w:rPr>
        <w:t xml:space="preserve">. Overall, the </w:t>
      </w:r>
      <w:r w:rsidRPr="005D3F76">
        <w:rPr>
          <w:rFonts w:cs="Times New Roman"/>
          <w:i/>
          <w:szCs w:val="24"/>
        </w:rPr>
        <w:t>Cap Times,</w:t>
      </w:r>
      <w:r w:rsidRPr="005D3F76">
        <w:rPr>
          <w:rFonts w:cs="Times New Roman"/>
          <w:szCs w:val="24"/>
        </w:rPr>
        <w:t xml:space="preserve"> like both the </w:t>
      </w:r>
      <w:r w:rsidRPr="005D3F76">
        <w:rPr>
          <w:rFonts w:cs="Times New Roman"/>
          <w:i/>
          <w:szCs w:val="24"/>
        </w:rPr>
        <w:t>Times</w:t>
      </w:r>
      <w:r w:rsidRPr="005D3F76">
        <w:rPr>
          <w:rFonts w:cs="Times New Roman"/>
          <w:szCs w:val="24"/>
        </w:rPr>
        <w:t xml:space="preserve"> and </w:t>
      </w:r>
      <w:r w:rsidRPr="005D3F76">
        <w:rPr>
          <w:rFonts w:cs="Times New Roman"/>
          <w:i/>
          <w:szCs w:val="24"/>
        </w:rPr>
        <w:t>WSJ,</w:t>
      </w:r>
      <w:r w:rsidRPr="005D3F76">
        <w:rPr>
          <w:rFonts w:cs="Times New Roman"/>
          <w:szCs w:val="24"/>
        </w:rPr>
        <w:t xml:space="preserve"> claim to be as fair and unbiased as possible in their reporting </w:t>
      </w:r>
      <w:r w:rsidRPr="005D3F76">
        <w:rPr>
          <w:rFonts w:cs="Times New Roman"/>
          <w:szCs w:val="24"/>
        </w:rPr>
        <w:fldChar w:fldCharType="begin"/>
      </w:r>
      <w:r w:rsidRPr="005D3F76">
        <w:rPr>
          <w:rFonts w:cs="Times New Roman"/>
          <w:szCs w:val="24"/>
        </w:rPr>
        <w:instrText xml:space="preserve"> ADDIN EN.CITE &lt;EndNote&gt;&lt;Cite&gt;&lt;Author&gt;Weisberger&lt;/Author&gt;&lt;Year&gt;1994&lt;/Year&gt;&lt;RecNum&gt;239&lt;/RecNum&gt;&lt;DisplayText&gt;(Weisberger, 1994)&lt;/DisplayText&gt;&lt;record&gt;&lt;rec-number&gt;239&lt;/rec-number&gt;&lt;foreign-keys&gt;&lt;key app="EN" db-id="etwareaz8xpxz3et59b50d9vxrata9z2w2zt" timestamp="1462983470"&gt;239&lt;/key&gt;&lt;/foreign-keys&gt;&lt;ref-type name="Book"&gt;6&lt;/ref-type&gt;&lt;contributors&gt;&lt;authors&gt;&lt;author&gt;Bernard A Weisberger&lt;/author&gt;&lt;/authors&gt;&lt;/contributors&gt;&lt;titles&gt;&lt;title&gt;The La Follettes of Wisconsin: Love and Politics in Progressive America&lt;/title&gt;&lt;/titles&gt;&lt;dates&gt;&lt;year&gt;1994&lt;/year&gt;&lt;/dates&gt;&lt;pub-location&gt;Madison, Wisconsin&lt;/pub-location&gt;&lt;publisher&gt;University of Wisconsin Press&lt;/publisher&gt;&lt;urls&gt;&lt;/urls&gt;&lt;/record&gt;&lt;/Cite&gt;&lt;/EndNote&gt;</w:instrText>
      </w:r>
      <w:r w:rsidRPr="005D3F76">
        <w:rPr>
          <w:rFonts w:cs="Times New Roman"/>
          <w:szCs w:val="24"/>
        </w:rPr>
        <w:fldChar w:fldCharType="separate"/>
      </w:r>
      <w:r w:rsidRPr="005D3F76">
        <w:rPr>
          <w:rFonts w:cs="Times New Roman"/>
          <w:noProof/>
          <w:szCs w:val="24"/>
        </w:rPr>
        <w:t>(Weisberger, 1994)</w:t>
      </w:r>
      <w:r w:rsidRPr="005D3F76">
        <w:rPr>
          <w:rFonts w:cs="Times New Roman"/>
          <w:szCs w:val="24"/>
        </w:rPr>
        <w:fldChar w:fldCharType="end"/>
      </w:r>
      <w:r w:rsidRPr="005D3F76">
        <w:rPr>
          <w:rFonts w:cs="Times New Roman"/>
          <w:szCs w:val="24"/>
        </w:rPr>
        <w:t xml:space="preserve">. Table 4 in Appendix A shows the articles used within the </w:t>
      </w:r>
      <w:r w:rsidRPr="005D3F76">
        <w:rPr>
          <w:rFonts w:cs="Times New Roman"/>
          <w:i/>
          <w:szCs w:val="24"/>
        </w:rPr>
        <w:t>Cap Times.</w:t>
      </w:r>
      <w:r w:rsidRPr="005D3F76">
        <w:rPr>
          <w:rFonts w:cs="Times New Roman"/>
          <w:szCs w:val="24"/>
        </w:rPr>
        <w:t xml:space="preserve"> </w:t>
      </w:r>
    </w:p>
    <w:p w14:paraId="3E1CA547" w14:textId="555DEA28" w:rsidR="00B03557" w:rsidRPr="005D3F76" w:rsidRDefault="00B03557" w:rsidP="00C56DF5">
      <w:pPr>
        <w:rPr>
          <w:rFonts w:cs="Times New Roman"/>
          <w:szCs w:val="24"/>
        </w:rPr>
      </w:pPr>
      <w:r w:rsidRPr="005D3F76">
        <w:rPr>
          <w:rFonts w:cs="Times New Roman"/>
          <w:szCs w:val="24"/>
        </w:rPr>
        <w:tab/>
        <w:t>The data found within these three newspapers has garnered a wealth of information about what has been happening within the state of Wisconsin concerning the perception of teacher unions through the media. These newspapers serve as excellent examples for use with CDA as a methodology. In the following section I will lay the foundation for the analysis that will follow from the newspaper articles concerning teacher unions in Wisconsin.</w:t>
      </w:r>
    </w:p>
    <w:p w14:paraId="6BFD5D2C" w14:textId="77777777" w:rsidR="00B03557" w:rsidRPr="005D3F76" w:rsidRDefault="00B03557" w:rsidP="0012433F">
      <w:pPr>
        <w:pStyle w:val="Heading2"/>
        <w:rPr>
          <w:rFonts w:cs="Times New Roman"/>
        </w:rPr>
      </w:pPr>
      <w:bookmarkStart w:id="16" w:name="_Toc462843636"/>
      <w:r w:rsidRPr="005D3F76">
        <w:rPr>
          <w:rFonts w:cs="Times New Roman"/>
        </w:rPr>
        <w:t>Data Collection Methods</w:t>
      </w:r>
      <w:bookmarkEnd w:id="16"/>
    </w:p>
    <w:p w14:paraId="71EC4CA7" w14:textId="5438CEB1" w:rsidR="00B03557" w:rsidRPr="005D3F76" w:rsidRDefault="00B03557" w:rsidP="00C56DF5">
      <w:pPr>
        <w:ind w:firstLine="720"/>
        <w:rPr>
          <w:rFonts w:cs="Times New Roman"/>
          <w:szCs w:val="24"/>
        </w:rPr>
      </w:pPr>
      <w:r w:rsidRPr="005D3F76">
        <w:rPr>
          <w:rFonts w:cs="Times New Roman"/>
          <w:szCs w:val="24"/>
        </w:rPr>
        <w:t xml:space="preserve">I first began my search within these newspapers for articles pertaining to teacher unions by entering the LexisNexis database that is available to students at the University of Tennessee </w:t>
      </w:r>
      <w:r w:rsidRPr="005D3F76">
        <w:rPr>
          <w:rFonts w:cs="Times New Roman"/>
          <w:szCs w:val="24"/>
        </w:rPr>
        <w:fldChar w:fldCharType="begin"/>
      </w:r>
      <w:r w:rsidRPr="005D3F76">
        <w:rPr>
          <w:rFonts w:cs="Times New Roman"/>
          <w:szCs w:val="24"/>
        </w:rPr>
        <w:instrText xml:space="preserve"> ADDIN EN.CITE &lt;EndNote&gt;&lt;Cite&gt;&lt;Author&gt;LexisNexis&lt;/Author&gt;&lt;Year&gt;2016&lt;/Year&gt;&lt;RecNum&gt;226&lt;/RecNum&gt;&lt;DisplayText&gt;(LexisNexis, 2016)&lt;/DisplayText&gt;&lt;record&gt;&lt;rec-number&gt;226&lt;/rec-number&gt;&lt;foreign-keys&gt;&lt;key app="EN" db-id="etwareaz8xpxz3et59b50d9vxrata9z2w2zt" timestamp="1462288078"&gt;226&lt;/key&gt;&lt;/foreign-keys&gt;&lt;ref-type name="Web Page"&gt;12&lt;/ref-type&gt;&lt;contributors&gt;&lt;authors&gt;&lt;author&gt;LexisNexis,&lt;/author&gt;&lt;/authors&gt;&lt;/contributors&gt;&lt;titles&gt;&lt;title&gt;LexisNexis for Law Schools&lt;/title&gt;&lt;/titles&gt;&lt;volume&gt;2016&lt;/volume&gt;&lt;number&gt;April&lt;/number&gt;&lt;dates&gt;&lt;year&gt;2016&lt;/year&gt;&lt;/dates&gt;&lt;publisher&gt;LexisNexis&lt;/publisher&gt;&lt;urls&gt;&lt;related-urls&gt;&lt;url&gt;https://www.lexisnexis.com/lawschool/lsp/p/studenthome.aspx?lc=LawSchoolPortal/Signin&lt;/url&gt;&lt;/related-urls&gt;&lt;/urls&gt;&lt;/record&gt;&lt;/Cite&gt;&lt;/EndNote&gt;</w:instrText>
      </w:r>
      <w:r w:rsidRPr="005D3F76">
        <w:rPr>
          <w:rFonts w:cs="Times New Roman"/>
          <w:szCs w:val="24"/>
        </w:rPr>
        <w:fldChar w:fldCharType="separate"/>
      </w:r>
      <w:r w:rsidRPr="005D3F76">
        <w:rPr>
          <w:rFonts w:cs="Times New Roman"/>
          <w:noProof/>
          <w:szCs w:val="24"/>
        </w:rPr>
        <w:t>(LexisNexis, 2016)</w:t>
      </w:r>
      <w:r w:rsidRPr="005D3F76">
        <w:rPr>
          <w:rFonts w:cs="Times New Roman"/>
          <w:szCs w:val="24"/>
        </w:rPr>
        <w:fldChar w:fldCharType="end"/>
      </w:r>
      <w:r w:rsidRPr="005D3F76">
        <w:rPr>
          <w:rFonts w:cs="Times New Roman"/>
          <w:szCs w:val="24"/>
        </w:rPr>
        <w:t xml:space="preserve">. The database allows the researcher to search individual organizations, within a particular state, for a particular period of time. After choosing which newspapers I wanted to focus my research upon, I began by entering </w:t>
      </w:r>
      <w:r w:rsidRPr="005D3F76">
        <w:rPr>
          <w:rFonts w:cs="Times New Roman"/>
          <w:i/>
          <w:szCs w:val="24"/>
        </w:rPr>
        <w:t>Teacher Unions</w:t>
      </w:r>
      <w:r w:rsidRPr="005D3F76">
        <w:rPr>
          <w:rFonts w:cs="Times New Roman"/>
          <w:szCs w:val="24"/>
        </w:rPr>
        <w:t xml:space="preserve"> in the search engine within the database.  LexisNexis includes with the newspaper articles a section called “Classifications.” This section includes subject matter, industries, persons, and geographical information that is found within the article, along with the percentage that these particular topics are referenced. Using the information found in the “Classification” section, I pulled every article from the time period stated above that mentioned the following key terms: 1. Teacher Unions; 2. Public Sector Unions; 3. Collective Bargaining; 4. ACT 10; </w:t>
      </w:r>
      <w:r w:rsidR="00E341FA" w:rsidRPr="005D3F76">
        <w:rPr>
          <w:rFonts w:cs="Times New Roman"/>
          <w:szCs w:val="24"/>
        </w:rPr>
        <w:t>5. Scott</w:t>
      </w:r>
      <w:r w:rsidR="00EA34B9" w:rsidRPr="005D3F76">
        <w:rPr>
          <w:rFonts w:cs="Times New Roman"/>
          <w:szCs w:val="24"/>
        </w:rPr>
        <w:t xml:space="preserve"> Walker; and 6. Wisconsin.</w:t>
      </w:r>
    </w:p>
    <w:p w14:paraId="1145A39F" w14:textId="5410150D" w:rsidR="00B03557" w:rsidRPr="005D3F76" w:rsidRDefault="00B03557" w:rsidP="00C56DF5">
      <w:pPr>
        <w:rPr>
          <w:rFonts w:cs="Times New Roman"/>
          <w:szCs w:val="24"/>
        </w:rPr>
      </w:pPr>
      <w:r w:rsidRPr="005D3F76">
        <w:rPr>
          <w:rFonts w:cs="Times New Roman"/>
          <w:szCs w:val="24"/>
        </w:rPr>
        <w:tab/>
        <w:t xml:space="preserve">After pulling these articles I began a preliminary reading for content use only. Some of the articles that were found using the key words did not contain discussion about teacher or </w:t>
      </w:r>
      <w:r w:rsidRPr="005D3F76">
        <w:rPr>
          <w:rFonts w:cs="Times New Roman"/>
          <w:szCs w:val="24"/>
        </w:rPr>
        <w:lastRenderedPageBreak/>
        <w:t xml:space="preserve">public sector unions; these articles were discarded from the research as I felt they would not be beneficial to the overall picture of what was being researched in this particular analysis. For example, one article that included the key terms </w:t>
      </w:r>
      <w:r w:rsidRPr="005D3F76">
        <w:rPr>
          <w:rFonts w:cs="Times New Roman"/>
          <w:i/>
          <w:szCs w:val="24"/>
        </w:rPr>
        <w:t>Scott Walker</w:t>
      </w:r>
      <w:r w:rsidRPr="005D3F76">
        <w:rPr>
          <w:rFonts w:cs="Times New Roman"/>
          <w:szCs w:val="24"/>
        </w:rPr>
        <w:t xml:space="preserve">, </w:t>
      </w:r>
      <w:r w:rsidRPr="005D3F76">
        <w:rPr>
          <w:rFonts w:cs="Times New Roman"/>
          <w:i/>
          <w:szCs w:val="24"/>
        </w:rPr>
        <w:t>Wisconsin</w:t>
      </w:r>
      <w:r w:rsidRPr="005D3F76">
        <w:rPr>
          <w:rFonts w:cs="Times New Roman"/>
          <w:szCs w:val="24"/>
        </w:rPr>
        <w:t xml:space="preserve">, and </w:t>
      </w:r>
      <w:r w:rsidRPr="005D3F76">
        <w:rPr>
          <w:rFonts w:cs="Times New Roman"/>
          <w:i/>
          <w:szCs w:val="24"/>
        </w:rPr>
        <w:t>ACT 10</w:t>
      </w:r>
      <w:r w:rsidRPr="005D3F76">
        <w:rPr>
          <w:rFonts w:cs="Times New Roman"/>
          <w:szCs w:val="24"/>
        </w:rPr>
        <w:t xml:space="preserve"> was discarded because its main focus was on the upcoming election of new legislators. The three key terms found in the article were simply mentioned in passing as references to issues that were going on in Wisconsin from 2011-2012. In another example of discarded articles, the key term </w:t>
      </w:r>
      <w:r w:rsidRPr="005D3F76">
        <w:rPr>
          <w:rFonts w:cs="Times New Roman"/>
          <w:i/>
          <w:szCs w:val="24"/>
        </w:rPr>
        <w:t xml:space="preserve">Teacher Unions </w:t>
      </w:r>
      <w:r w:rsidRPr="005D3F76">
        <w:rPr>
          <w:rFonts w:cs="Times New Roman"/>
          <w:szCs w:val="24"/>
        </w:rPr>
        <w:t xml:space="preserve">was referenced, but after a preliminary reading, I found that the article was simply reporting about an upcoming meeting for the local teacher union in Madison. The article simply contained the time, date, and place of the local meeting, and although it did contain a one paragraph agenda for the meeting, I didn’t feel that it was relevant contextually to the research to be analyzed. In total there were 10 articles from the </w:t>
      </w:r>
      <w:r w:rsidRPr="005D3F76">
        <w:rPr>
          <w:rFonts w:cs="Times New Roman"/>
          <w:i/>
          <w:szCs w:val="24"/>
        </w:rPr>
        <w:t>New York Times</w:t>
      </w:r>
      <w:r w:rsidRPr="005D3F76">
        <w:rPr>
          <w:rFonts w:cs="Times New Roman"/>
          <w:szCs w:val="24"/>
        </w:rPr>
        <w:t xml:space="preserve">, 8 from the </w:t>
      </w:r>
      <w:r w:rsidRPr="005D3F76">
        <w:rPr>
          <w:rFonts w:cs="Times New Roman"/>
          <w:i/>
          <w:szCs w:val="24"/>
        </w:rPr>
        <w:t>Wisconsin State Journal</w:t>
      </w:r>
      <w:r w:rsidRPr="005D3F76">
        <w:rPr>
          <w:rFonts w:cs="Times New Roman"/>
          <w:szCs w:val="24"/>
        </w:rPr>
        <w:t xml:space="preserve">, and 12 from the </w:t>
      </w:r>
      <w:r w:rsidRPr="005D3F76">
        <w:rPr>
          <w:rFonts w:cs="Times New Roman"/>
          <w:i/>
          <w:szCs w:val="24"/>
        </w:rPr>
        <w:t>Capital Times</w:t>
      </w:r>
      <w:r w:rsidRPr="005D3F76">
        <w:rPr>
          <w:rFonts w:cs="Times New Roman"/>
          <w:szCs w:val="24"/>
        </w:rPr>
        <w:t xml:space="preserve"> that were discarded. After the preliminary reading of the articles, what can be found in Tables 2-4 in the appendix are what remains for the analysis that will follow. This includes a total of 15 from </w:t>
      </w:r>
      <w:r w:rsidRPr="005D3F76">
        <w:rPr>
          <w:rFonts w:cs="Times New Roman"/>
          <w:i/>
          <w:szCs w:val="24"/>
        </w:rPr>
        <w:t>The Times</w:t>
      </w:r>
      <w:r w:rsidRPr="005D3F76">
        <w:rPr>
          <w:rFonts w:cs="Times New Roman"/>
          <w:szCs w:val="24"/>
        </w:rPr>
        <w:t xml:space="preserve">, 25 from the </w:t>
      </w:r>
      <w:r w:rsidRPr="005D3F76">
        <w:rPr>
          <w:rFonts w:cs="Times New Roman"/>
          <w:i/>
          <w:szCs w:val="24"/>
        </w:rPr>
        <w:t>WSJ</w:t>
      </w:r>
      <w:r w:rsidRPr="005D3F76">
        <w:rPr>
          <w:rFonts w:cs="Times New Roman"/>
          <w:szCs w:val="24"/>
        </w:rPr>
        <w:t xml:space="preserve">, and 19 from the </w:t>
      </w:r>
      <w:r w:rsidRPr="005D3F76">
        <w:rPr>
          <w:rFonts w:cs="Times New Roman"/>
          <w:i/>
          <w:szCs w:val="24"/>
        </w:rPr>
        <w:t>Cap Times</w:t>
      </w:r>
      <w:r w:rsidRPr="005D3F76">
        <w:rPr>
          <w:rFonts w:cs="Times New Roman"/>
          <w:szCs w:val="24"/>
        </w:rPr>
        <w:t>.</w:t>
      </w:r>
    </w:p>
    <w:p w14:paraId="37A2D577" w14:textId="47DE3F7F" w:rsidR="00B03557" w:rsidRPr="005D3F76" w:rsidRDefault="00B03557" w:rsidP="00C56DF5">
      <w:pPr>
        <w:rPr>
          <w:rFonts w:cs="Times New Roman"/>
          <w:szCs w:val="24"/>
        </w:rPr>
      </w:pPr>
      <w:r w:rsidRPr="005D3F76">
        <w:rPr>
          <w:rFonts w:cs="Times New Roman"/>
          <w:szCs w:val="24"/>
        </w:rPr>
        <w:tab/>
        <w:t xml:space="preserve">After the preliminary reading of the articles was completed, the steps to the process of providing an analysis of the data for use within a CDA methodology vary depending on the researcher and their needs based on the topics being addressed. However, for this particular set of data I began by using Johnny Saldana’s </w:t>
      </w:r>
      <w:r w:rsidRPr="005D3F76">
        <w:rPr>
          <w:rFonts w:cs="Times New Roman"/>
          <w:szCs w:val="24"/>
        </w:rPr>
        <w:fldChar w:fldCharType="begin"/>
      </w:r>
      <w:r w:rsidRPr="005D3F76">
        <w:rPr>
          <w:rFonts w:cs="Times New Roman"/>
          <w:szCs w:val="24"/>
        </w:rPr>
        <w:instrText xml:space="preserve"> ADDIN EN.CITE &lt;EndNote&gt;&lt;Cite ExcludeAuth="1"&gt;&lt;Author&gt;Saldana&lt;/Author&gt;&lt;Year&gt;2013&lt;/Year&gt;&lt;RecNum&gt;242&lt;/RecNum&gt;&lt;DisplayText&gt;(2013)&lt;/DisplayText&gt;&lt;record&gt;&lt;rec-number&gt;242&lt;/rec-number&gt;&lt;foreign-keys&gt;&lt;key app="EN" db-id="etwareaz8xpxz3et59b50d9vxrata9z2w2zt" timestamp="1463598001"&gt;242&lt;/key&gt;&lt;/foreign-keys&gt;&lt;ref-type name="Book"&gt;6&lt;/ref-type&gt;&lt;contributors&gt;&lt;authors&gt;&lt;author&gt;J. M. Saldana&lt;/author&gt;&lt;/authors&gt;&lt;/contributors&gt;&lt;titles&gt;&lt;title&gt;The Coding Manual for Qualitative Research&lt;/title&gt;&lt;/titles&gt;&lt;edition&gt;Second&lt;/edition&gt;&lt;dates&gt;&lt;year&gt;2013&lt;/year&gt;&lt;/dates&gt;&lt;pub-location&gt;New York&lt;/pub-location&gt;&lt;publisher&gt;Sage Publishing&lt;/publisher&gt;&lt;urls&gt;&lt;/urls&gt;&lt;/record&gt;&lt;/Cite&gt;&lt;/EndNote&gt;</w:instrText>
      </w:r>
      <w:r w:rsidRPr="005D3F76">
        <w:rPr>
          <w:rFonts w:cs="Times New Roman"/>
          <w:szCs w:val="24"/>
        </w:rPr>
        <w:fldChar w:fldCharType="separate"/>
      </w:r>
      <w:r w:rsidRPr="005D3F76">
        <w:rPr>
          <w:rFonts w:cs="Times New Roman"/>
          <w:noProof/>
          <w:szCs w:val="24"/>
        </w:rPr>
        <w:t>(2013)</w:t>
      </w:r>
      <w:r w:rsidRPr="005D3F76">
        <w:rPr>
          <w:rFonts w:cs="Times New Roman"/>
          <w:szCs w:val="24"/>
        </w:rPr>
        <w:fldChar w:fldCharType="end"/>
      </w:r>
      <w:r w:rsidRPr="005D3F76">
        <w:rPr>
          <w:rFonts w:cs="Times New Roman"/>
          <w:szCs w:val="24"/>
        </w:rPr>
        <w:t xml:space="preserve"> </w:t>
      </w:r>
      <w:r w:rsidRPr="005D3F76">
        <w:rPr>
          <w:rFonts w:cs="Times New Roman"/>
          <w:i/>
          <w:szCs w:val="24"/>
        </w:rPr>
        <w:t xml:space="preserve">The Coding Manual for Qualitative Research </w:t>
      </w:r>
      <w:r w:rsidRPr="005D3F76">
        <w:rPr>
          <w:rFonts w:cs="Times New Roman"/>
          <w:szCs w:val="24"/>
        </w:rPr>
        <w:t>and</w:t>
      </w:r>
      <w:r w:rsidRPr="005D3F76">
        <w:rPr>
          <w:rFonts w:cs="Times New Roman"/>
          <w:i/>
          <w:szCs w:val="24"/>
        </w:rPr>
        <w:t xml:space="preserve"> Barney Glaser and Anselm Strauss’ </w:t>
      </w:r>
      <w:r w:rsidRPr="005D3F76">
        <w:rPr>
          <w:rFonts w:cs="Times New Roman"/>
          <w:i/>
          <w:szCs w:val="24"/>
        </w:rPr>
        <w:fldChar w:fldCharType="begin"/>
      </w:r>
      <w:r w:rsidRPr="005D3F76">
        <w:rPr>
          <w:rFonts w:cs="Times New Roman"/>
          <w:i/>
          <w:szCs w:val="24"/>
        </w:rPr>
        <w:instrText xml:space="preserve"> ADDIN EN.CITE &lt;EndNote&gt;&lt;Cite ExcludeAuth="1"&gt;&lt;Author&gt;Glaser&lt;/Author&gt;&lt;Year&gt;1967&lt;/Year&gt;&lt;RecNum&gt;243&lt;/RecNum&gt;&lt;DisplayText&gt;(1967)&lt;/DisplayText&gt;&lt;record&gt;&lt;rec-number&gt;243&lt;/rec-number&gt;&lt;foreign-keys&gt;&lt;key app="EN" db-id="etwareaz8xpxz3et59b50d9vxrata9z2w2zt" timestamp="1463598495"&gt;243&lt;/key&gt;&lt;/foreign-keys&gt;&lt;ref-type name="Book"&gt;6&lt;/ref-type&gt;&lt;contributors&gt;&lt;authors&gt;&lt;author&gt;B. Glaser&lt;/author&gt;&lt;author&gt;A. Strauss&lt;/author&gt;&lt;/authors&gt;&lt;/contributors&gt;&lt;titles&gt;&lt;title&gt;The Discovery of Grounded Theory: Strategies for Qualitative Resesarch&lt;/title&gt;&lt;/titles&gt;&lt;dates&gt;&lt;year&gt;1967&lt;/year&gt;&lt;/dates&gt;&lt;pub-location&gt;New York&lt;/pub-location&gt;&lt;publisher&gt;Hawthorne&lt;/publisher&gt;&lt;urls&gt;&lt;/urls&gt;&lt;/record&gt;&lt;/Cite&gt;&lt;/EndNote&gt;</w:instrText>
      </w:r>
      <w:r w:rsidRPr="005D3F76">
        <w:rPr>
          <w:rFonts w:cs="Times New Roman"/>
          <w:i/>
          <w:szCs w:val="24"/>
        </w:rPr>
        <w:fldChar w:fldCharType="separate"/>
      </w:r>
      <w:r w:rsidRPr="005D3F76">
        <w:rPr>
          <w:rFonts w:cs="Times New Roman"/>
          <w:i/>
          <w:noProof/>
          <w:szCs w:val="24"/>
        </w:rPr>
        <w:t>(1967)</w:t>
      </w:r>
      <w:r w:rsidRPr="005D3F76">
        <w:rPr>
          <w:rFonts w:cs="Times New Roman"/>
          <w:i/>
          <w:szCs w:val="24"/>
        </w:rPr>
        <w:fldChar w:fldCharType="end"/>
      </w:r>
      <w:r w:rsidRPr="005D3F76">
        <w:rPr>
          <w:rFonts w:cs="Times New Roman"/>
          <w:i/>
          <w:szCs w:val="24"/>
        </w:rPr>
        <w:t xml:space="preserve"> The Discovery of Grounded Theory: Strategies for Qualitative Research, a</w:t>
      </w:r>
      <w:r w:rsidRPr="005D3F76">
        <w:rPr>
          <w:rFonts w:cs="Times New Roman"/>
          <w:szCs w:val="24"/>
        </w:rPr>
        <w:t xml:space="preserve">s well as, techniques that can be contributed to CDA solely (i.e. metaphor usage, particular uses for linguistic oddities, omission of words, addition of certain </w:t>
      </w:r>
      <w:r w:rsidRPr="005D3F76">
        <w:rPr>
          <w:rFonts w:cs="Times New Roman"/>
          <w:szCs w:val="24"/>
        </w:rPr>
        <w:lastRenderedPageBreak/>
        <w:t xml:space="preserve">words, repetition of phrases, use of verbs and adjectives, etc.) </w:t>
      </w:r>
      <w:r w:rsidRPr="005D3F76">
        <w:rPr>
          <w:rFonts w:cs="Times New Roman"/>
          <w:szCs w:val="24"/>
        </w:rPr>
        <w:fldChar w:fldCharType="begin">
          <w:fldData xml:space="preserve">PEVuZE5vdGU+PENpdGU+PEF1dGhvcj5Xb2RhazwvQXV0aG9yPjxZZWFyPjIwMDk8L1llYXI+PFJl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</w:fldData>
        </w:fldChar>
      </w:r>
      <w:r w:rsidRPr="005D3F76">
        <w:rPr>
          <w:rFonts w:cs="Times New Roman"/>
          <w:szCs w:val="24"/>
        </w:rPr>
        <w:instrText xml:space="preserve"> ADDIN EN.CITE </w:instrText>
      </w:r>
      <w:r w:rsidRPr="005D3F76">
        <w:rPr>
          <w:rFonts w:cs="Times New Roman"/>
          <w:szCs w:val="24"/>
        </w:rPr>
        <w:fldChar w:fldCharType="begin">
          <w:fldData xml:space="preserve">PEVuZE5vdGU+PENpdGU+PEF1dGhvcj5Xb2RhazwvQXV0aG9yPjxZZWFyPjIwMDk8L1llYXI+PFJl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</w:fldData>
        </w:fldChar>
      </w:r>
      <w:r w:rsidRPr="005D3F76">
        <w:rPr>
          <w:rFonts w:cs="Times New Roman"/>
          <w:szCs w:val="24"/>
        </w:rPr>
        <w:instrText xml:space="preserve"> ADDIN EN.CITE.DATA </w:instrText>
      </w:r>
      <w:r w:rsidRPr="005D3F76">
        <w:rPr>
          <w:rFonts w:cs="Times New Roman"/>
          <w:szCs w:val="24"/>
        </w:rPr>
      </w:r>
      <w:r w:rsidRPr="005D3F76">
        <w:rPr>
          <w:rFonts w:cs="Times New Roman"/>
          <w:szCs w:val="24"/>
        </w:rPr>
        <w:fldChar w:fldCharType="end"/>
      </w:r>
      <w:r w:rsidRPr="005D3F76">
        <w:rPr>
          <w:rFonts w:cs="Times New Roman"/>
          <w:szCs w:val="24"/>
        </w:rPr>
      </w:r>
      <w:r w:rsidRPr="005D3F76">
        <w:rPr>
          <w:rFonts w:cs="Times New Roman"/>
          <w:szCs w:val="24"/>
        </w:rPr>
        <w:fldChar w:fldCharType="separate"/>
      </w:r>
      <w:r w:rsidRPr="005D3F76">
        <w:rPr>
          <w:rFonts w:cs="Times New Roman"/>
          <w:noProof/>
          <w:szCs w:val="24"/>
        </w:rPr>
        <w:t>(Norman Fairclough &amp; Wodak, 1997; Machin &amp; Mayr, 2012; Ruth Wodak &amp; Michael Meyer, 2009)</w:t>
      </w:r>
      <w:r w:rsidRPr="005D3F76">
        <w:rPr>
          <w:rFonts w:cs="Times New Roman"/>
          <w:szCs w:val="24"/>
        </w:rPr>
        <w:fldChar w:fldCharType="end"/>
      </w:r>
      <w:r w:rsidRPr="005D3F76">
        <w:rPr>
          <w:rFonts w:cs="Times New Roman"/>
          <w:szCs w:val="24"/>
        </w:rPr>
        <w:t>.</w:t>
      </w:r>
    </w:p>
    <w:p w14:paraId="3594FE10" w14:textId="36F30C94" w:rsidR="00EA34B9" w:rsidRPr="005D3F76" w:rsidRDefault="00B03557" w:rsidP="0080512A">
      <w:pPr>
        <w:spacing w:after="480"/>
        <w:ind w:firstLine="720"/>
        <w:rPr>
          <w:rFonts w:cs="Times New Roman"/>
          <w:szCs w:val="24"/>
        </w:rPr>
      </w:pPr>
      <w:r w:rsidRPr="005D3F76">
        <w:rPr>
          <w:rFonts w:cs="Times New Roman"/>
          <w:szCs w:val="24"/>
        </w:rPr>
        <w:t>Glaswer and Strauss’s (1967) constant comparative method for qualitative data research is a way for investigators to perform “an intense, systematic process of examining and re-examining the data while comparing one source with another to find similarities and differences” (p. 73). I used this method as a way to begin my initial work on the data to begin breaking down some of the elements within. As in the constant comparative model, Saldana (2013) begins with open coding</w:t>
      </w:r>
      <w:r w:rsidRPr="005D3F76">
        <w:rPr>
          <w:rStyle w:val="EndnoteReference"/>
          <w:rFonts w:cs="Times New Roman"/>
          <w:szCs w:val="24"/>
        </w:rPr>
        <w:endnoteReference w:id="24"/>
      </w:r>
      <w:r w:rsidRPr="005D3F76">
        <w:rPr>
          <w:rFonts w:cs="Times New Roman"/>
          <w:szCs w:val="24"/>
        </w:rPr>
        <w:t>, followed by re-reading the material and finding other units of data that might be helpful to the researcher; this is done until saturation</w:t>
      </w:r>
      <w:r w:rsidRPr="005D3F76">
        <w:rPr>
          <w:rStyle w:val="EndnoteReference"/>
          <w:rFonts w:cs="Times New Roman"/>
          <w:szCs w:val="24"/>
        </w:rPr>
        <w:endnoteReference w:id="25"/>
      </w:r>
      <w:r w:rsidRPr="005D3F76">
        <w:rPr>
          <w:rFonts w:cs="Times New Roman"/>
          <w:szCs w:val="24"/>
        </w:rPr>
        <w:t xml:space="preserve"> of the data occurs. The next steps are to re-read the data, and where indications for coding were first marked, begin to look for certain patterns within the codes; these patterns are then assigned a word or a short phrase that might denote how the particular code is related. Through this process, filters are then attached to the patterns that are then categorized and placed into themes, a “process that permits data to be segregated, grouped, regrouped and relinked in order to consolidate meaning and explanation” </w:t>
      </w:r>
      <w:r w:rsidRPr="005D3F76">
        <w:rPr>
          <w:rFonts w:cs="Times New Roman"/>
          <w:szCs w:val="24"/>
        </w:rPr>
        <w:fldChar w:fldCharType="begin"/>
      </w:r>
      <w:r w:rsidRPr="005D3F76">
        <w:rPr>
          <w:rFonts w:cs="Times New Roman"/>
          <w:szCs w:val="24"/>
        </w:rPr>
        <w:instrText xml:space="preserve"> ADDIN EN.CITE &lt;EndNote&gt;&lt;Cite&gt;&lt;Author&gt;Saldana&lt;/Author&gt;&lt;Year&gt;2013&lt;/Year&gt;&lt;RecNum&gt;242&lt;/RecNum&gt;&lt;Pages&gt;8&lt;/Pages&gt;&lt;DisplayText&gt;(Saldana, 2013, p. 8)&lt;/DisplayText&gt;&lt;record&gt;&lt;rec-number&gt;242&lt;/rec-number&gt;&lt;foreign-keys&gt;&lt;key app="EN" db-id="etwareaz8xpxz3et59b50d9vxrata9z2w2zt" timestamp="1463598001"&gt;242&lt;/key&gt;&lt;/foreign-keys&gt;&lt;ref-type name="Book"&gt;6&lt;/ref-type&gt;&lt;contributors&gt;&lt;authors&gt;&lt;author&gt;J. M. Saldana&lt;/author&gt;&lt;/authors&gt;&lt;/contributors&gt;&lt;titles&gt;&lt;title&gt;The Coding Manual for Qualitative Research&lt;/title&gt;&lt;/titles&gt;&lt;edition&gt;Second&lt;/edition&gt;&lt;dates&gt;&lt;year&gt;2013&lt;/year&gt;&lt;/dates&gt;&lt;pub-location&gt;New York&lt;/pub-location&gt;&lt;publisher&gt;Sage Publishing&lt;/publisher&gt;&lt;urls&gt;&lt;/urls&gt;&lt;/record&gt;&lt;/Cite&gt;&lt;/EndNote&gt;</w:instrText>
      </w:r>
      <w:r w:rsidRPr="005D3F76">
        <w:rPr>
          <w:rFonts w:cs="Times New Roman"/>
          <w:szCs w:val="24"/>
        </w:rPr>
        <w:fldChar w:fldCharType="separate"/>
      </w:r>
      <w:r w:rsidRPr="005D3F76">
        <w:rPr>
          <w:rFonts w:cs="Times New Roman"/>
          <w:noProof/>
          <w:szCs w:val="24"/>
        </w:rPr>
        <w:t>(Saldana, 2013, p. 8)</w:t>
      </w:r>
      <w:r w:rsidRPr="005D3F76">
        <w:rPr>
          <w:rFonts w:cs="Times New Roman"/>
          <w:szCs w:val="24"/>
        </w:rPr>
        <w:fldChar w:fldCharType="end"/>
      </w:r>
      <w:r w:rsidRPr="005D3F76">
        <w:rPr>
          <w:rFonts w:cs="Times New Roman"/>
          <w:szCs w:val="24"/>
        </w:rPr>
        <w:t>. This process was repeated many times over in the research that follows.</w:t>
      </w:r>
    </w:p>
    <w:p w14:paraId="42131365" w14:textId="77777777" w:rsidR="00EA34B9" w:rsidRPr="005D3F76" w:rsidRDefault="00B03557" w:rsidP="0080512A">
      <w:pPr>
        <w:spacing w:line="240" w:lineRule="auto"/>
        <w:rPr>
          <w:rFonts w:cs="Times New Roman"/>
          <w:szCs w:val="24"/>
        </w:rPr>
      </w:pPr>
      <w:r w:rsidRPr="005D3F76">
        <w:rPr>
          <w:rFonts w:cs="Times New Roman"/>
          <w:noProof/>
          <w:szCs w:val="24"/>
        </w:rPr>
        <w:drawing>
          <wp:inline distT="0" distB="0" distL="0" distR="0" wp14:anchorId="2689AF09" wp14:editId="604557C0">
            <wp:extent cx="5943600" cy="18288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FE38CB2" w14:textId="47995D2F" w:rsidR="00EA34B9" w:rsidRPr="005D3F76" w:rsidRDefault="00EA34B9" w:rsidP="00EA34B9">
      <w:pPr>
        <w:spacing w:line="720" w:lineRule="auto"/>
        <w:rPr>
          <w:rFonts w:cs="Times New Roman"/>
          <w:szCs w:val="24"/>
        </w:rPr>
      </w:pPr>
      <w:r w:rsidRPr="005D3F76">
        <w:rPr>
          <w:rFonts w:cs="Times New Roman"/>
          <w:szCs w:val="24"/>
        </w:rPr>
        <w:t>Figure 1: Steps Involved in Qualitative Analysis for Teacher Union Preliminary Work</w:t>
      </w:r>
    </w:p>
    <w:p w14:paraId="2BA3D5C2" w14:textId="46ACEA76" w:rsidR="00B03557" w:rsidRPr="005D3F76" w:rsidRDefault="00B03557" w:rsidP="00EA34B9">
      <w:pPr>
        <w:rPr>
          <w:rFonts w:cs="Times New Roman"/>
          <w:szCs w:val="24"/>
        </w:rPr>
      </w:pPr>
      <w:r w:rsidRPr="005D3F76">
        <w:rPr>
          <w:rFonts w:cs="Times New Roman"/>
          <w:szCs w:val="24"/>
        </w:rPr>
        <w:lastRenderedPageBreak/>
        <w:t xml:space="preserve">Essentially I performed two levels of analysis to the research. After the completion of the above mentioned process which seemed to me to be helpful to start to begin seeing patterns and overall themes being used within the articles, I diverged into a linguistic and semiotic analysis of the coding which is characteristically important to a CDA analysis. Table 1 in Appendix A illustrates a representation of Fairclough’s </w:t>
      </w:r>
      <w:r w:rsidRPr="005D3F76">
        <w:rPr>
          <w:rFonts w:cs="Times New Roman"/>
          <w:szCs w:val="24"/>
        </w:rPr>
        <w:fldChar w:fldCharType="begin"/>
      </w:r>
      <w:r w:rsidRPr="005D3F76">
        <w:rPr>
          <w:rFonts w:cs="Times New Roman"/>
          <w:szCs w:val="24"/>
        </w:rPr>
        <w:instrText xml:space="preserve"> ADDIN EN.CITE &lt;EndNote&gt;&lt;Cite ExcludeAuth="1"&gt;&lt;Author&gt;Fairclough&lt;/Author&gt;&lt;Year&gt;2001&lt;/Year&gt;&lt;RecNum&gt;244&lt;/RecNum&gt;&lt;DisplayText&gt;(2001)&lt;/DisplayText&gt;&lt;record&gt;&lt;rec-number&gt;244&lt;/rec-number&gt;&lt;foreign-keys&gt;&lt;key app="EN" db-id="etwareaz8xpxz3et59b50d9vxrata9z2w2zt" timestamp="1464018507"&gt;244&lt;/key&gt;&lt;/foreign-keys&gt;&lt;ref-type name="Book Section"&gt;5&lt;/ref-type&gt;&lt;contributors&gt;&lt;authors&gt;&lt;author&gt;Norman Fairclough&lt;/author&gt;&lt;/authors&gt;&lt;secondary-authors&gt;&lt;author&gt;M. Wetherall&lt;/author&gt;&lt;author&gt;S. Taylor&lt;/author&gt;&lt;author&gt;S. J. Yates&lt;/author&gt;&lt;/secondary-authors&gt;&lt;/contributors&gt;&lt;titles&gt;&lt;title&gt;The Discourse of New Labour: Critical Discourse Analysis&lt;/title&gt;&lt;secondary-title&gt;Discourse as Data: A Guide for Analysis &lt;/secondary-title&gt;&lt;/titles&gt;&lt;pages&gt;229-266&lt;/pages&gt;&lt;dates&gt;&lt;year&gt;2001&lt;/year&gt;&lt;/dates&gt;&lt;pub-location&gt;U.K.&lt;/pub-location&gt;&lt;publisher&gt;The Open University&lt;/publisher&gt;&lt;urls&gt;&lt;/urls&gt;&lt;/record&gt;&lt;/Cite&gt;&lt;/EndNote&gt;</w:instrText>
      </w:r>
      <w:r w:rsidRPr="005D3F76">
        <w:rPr>
          <w:rFonts w:cs="Times New Roman"/>
          <w:szCs w:val="24"/>
        </w:rPr>
        <w:fldChar w:fldCharType="separate"/>
      </w:r>
      <w:r w:rsidRPr="005D3F76">
        <w:rPr>
          <w:rFonts w:cs="Times New Roman"/>
          <w:noProof/>
          <w:szCs w:val="24"/>
        </w:rPr>
        <w:t>(2001)</w:t>
      </w:r>
      <w:r w:rsidRPr="005D3F76">
        <w:rPr>
          <w:rFonts w:cs="Times New Roman"/>
          <w:szCs w:val="24"/>
        </w:rPr>
        <w:fldChar w:fldCharType="end"/>
      </w:r>
      <w:r w:rsidRPr="005D3F76">
        <w:rPr>
          <w:rFonts w:cs="Times New Roman"/>
          <w:szCs w:val="24"/>
        </w:rPr>
        <w:t xml:space="preserve"> critical discourse analytical framework adapted for my research on teacher unions.</w:t>
      </w:r>
      <w:r w:rsidR="00190671" w:rsidRPr="005D3F76">
        <w:rPr>
          <w:rFonts w:cs="Times New Roman"/>
          <w:szCs w:val="24"/>
        </w:rPr>
        <w:t xml:space="preserve"> This process was performed four separate times and was checked by a fellow colleague during and after the process to make sure that the research was both predictable and reliable.</w:t>
      </w:r>
    </w:p>
    <w:p w14:paraId="474C4E5D" w14:textId="70DEE8F3" w:rsidR="00B03557" w:rsidRPr="005D3F76" w:rsidRDefault="00B03557" w:rsidP="00C56DF5">
      <w:pPr>
        <w:ind w:firstLine="720"/>
        <w:rPr>
          <w:rFonts w:cs="Times New Roman"/>
          <w:szCs w:val="24"/>
        </w:rPr>
      </w:pPr>
      <w:r w:rsidRPr="005D3F76">
        <w:rPr>
          <w:rFonts w:cs="Times New Roman"/>
          <w:szCs w:val="24"/>
        </w:rPr>
        <w:t>During the processes concerning CDA analysis of the research, I began to find some interesting characteristics within the coding and patterns. Where marks were made concerning coding in the first set of analysis done on the material, the use of conceptual metaphors</w:t>
      </w:r>
      <w:r w:rsidRPr="005D3F76">
        <w:rPr>
          <w:rStyle w:val="EndnoteReference"/>
          <w:rFonts w:cs="Times New Roman"/>
          <w:szCs w:val="24"/>
        </w:rPr>
        <w:endnoteReference w:id="26"/>
      </w:r>
      <w:r w:rsidRPr="005D3F76">
        <w:rPr>
          <w:rFonts w:cs="Times New Roman"/>
          <w:szCs w:val="24"/>
        </w:rPr>
        <w:t xml:space="preserve"> seemed to be prevalent within the discourse. I then began combing through the material and realized that conceptual metaphor usage within the articles across all three levels of newspapers was strongly represented. Thus, one component of the analysis that follows contends with use of conceptual metaphors. </w:t>
      </w:r>
    </w:p>
    <w:p w14:paraId="55672C49" w14:textId="329BA658" w:rsidR="00B03557" w:rsidRPr="005D3F76" w:rsidRDefault="00B03557" w:rsidP="00C56DF5">
      <w:pPr>
        <w:rPr>
          <w:rFonts w:cs="Times New Roman"/>
          <w:szCs w:val="24"/>
        </w:rPr>
      </w:pPr>
      <w:r w:rsidRPr="005D3F76">
        <w:rPr>
          <w:rFonts w:cs="Times New Roman"/>
          <w:szCs w:val="24"/>
        </w:rPr>
        <w:tab/>
        <w:t xml:space="preserve">The second component addressed within the CDA analysis has to do with the use of opposition. Opposition within a CDA analysis deals with how linguistic frames “allow us to create oppositions through language” </w:t>
      </w:r>
      <w:r w:rsidRPr="005D3F76">
        <w:rPr>
          <w:rFonts w:cs="Times New Roman"/>
          <w:szCs w:val="24"/>
        </w:rPr>
        <w:fldChar w:fldCharType="begin"/>
      </w:r>
      <w:r w:rsidRPr="005D3F76">
        <w:rPr>
          <w:rFonts w:cs="Times New Roman"/>
          <w:szCs w:val="24"/>
        </w:rPr>
        <w:instrText xml:space="preserve"> ADDIN EN.CITE &lt;EndNote&gt;&lt;Cite&gt;&lt;Author&gt;Evans&lt;/Author&gt;&lt;Year&gt;2013&lt;/Year&gt;&lt;RecNum&gt;248&lt;/RecNum&gt;&lt;Suffix&gt; para. 7&lt;/Suffix&gt;&lt;DisplayText&gt;(Evans, 2013 para. 7)&lt;/DisplayText&gt;&lt;record&gt;&lt;rec-number&gt;248&lt;/rec-number&gt;&lt;foreign-keys&gt;&lt;key app="EN" db-id="etwareaz8xpxz3et59b50d9vxrata9z2w2zt" timestamp="1464030591"&gt;248&lt;/key&gt;&lt;/foreign-keys&gt;&lt;ref-type name="Magazine Article"&gt;19&lt;/ref-type&gt;&lt;contributors&gt;&lt;authors&gt;&lt;author&gt;Matthew Evans&lt;/author&gt;&lt;/authors&gt;&lt;/contributors&gt;&lt;titles&gt;&lt;title&gt;&amp;apos;The Author and the Princess&amp;apos;--An example of Critical Discourse Analysis&lt;/title&gt;&lt;secondary-title&gt;Language in Conflict&lt;/secondary-title&gt;&lt;/titles&gt;&lt;num-vols&gt;Daily&lt;/num-vols&gt;&lt;dates&gt;&lt;year&gt;2013&lt;/year&gt;&lt;/dates&gt;&lt;pub-location&gt;Huddersfield&lt;/pub-location&gt;&lt;publisher&gt;University of Hudderfield&lt;/publisher&gt;&lt;urls&gt;&lt;/urls&gt;&lt;/record&gt;&lt;/Cite&gt;&lt;/EndNote&gt;</w:instrText>
      </w:r>
      <w:r w:rsidRPr="005D3F76">
        <w:rPr>
          <w:rFonts w:cs="Times New Roman"/>
          <w:szCs w:val="24"/>
        </w:rPr>
        <w:fldChar w:fldCharType="separate"/>
      </w:r>
      <w:r w:rsidRPr="005D3F76">
        <w:rPr>
          <w:rFonts w:cs="Times New Roman"/>
          <w:noProof/>
          <w:szCs w:val="24"/>
        </w:rPr>
        <w:t>(Evans, 2013 para. 7)</w:t>
      </w:r>
      <w:r w:rsidRPr="005D3F76">
        <w:rPr>
          <w:rFonts w:cs="Times New Roman"/>
          <w:szCs w:val="24"/>
        </w:rPr>
        <w:fldChar w:fldCharType="end"/>
      </w:r>
      <w:r w:rsidRPr="005D3F76">
        <w:rPr>
          <w:rFonts w:cs="Times New Roman"/>
          <w:szCs w:val="24"/>
        </w:rPr>
        <w:t>. When done well through the use of naming,</w:t>
      </w:r>
      <w:r w:rsidRPr="005D3F76">
        <w:rPr>
          <w:rStyle w:val="EndnoteReference"/>
          <w:rFonts w:cs="Times New Roman"/>
          <w:szCs w:val="24"/>
        </w:rPr>
        <w:endnoteReference w:id="27"/>
      </w:r>
      <w:r w:rsidRPr="005D3F76">
        <w:rPr>
          <w:rFonts w:cs="Times New Roman"/>
          <w:szCs w:val="24"/>
        </w:rPr>
        <w:t xml:space="preserve"> opposition can create a powerful binary for the casual observer, one that is often times unquestioned as factual. For example, an author may write something like, ‘The teacher posed for Playboy when she was 20. But most teachers know better than to do such things that may later affect their careers.’ The use of the conjunction ‘but,’ makes the reader aware that the propositions articulated in these two sentences should be seen as contradictory. This statement </w:t>
      </w:r>
      <w:r w:rsidRPr="005D3F76">
        <w:rPr>
          <w:rFonts w:cs="Times New Roman"/>
          <w:szCs w:val="24"/>
        </w:rPr>
        <w:lastRenderedPageBreak/>
        <w:t>essentially creates an ‘us versus them’ mentality, a binary, through the use of the conjunction ‘but.’ Opposition is a very legitimate and much emphasized avenue within the news articles that were researched for this study.</w:t>
      </w:r>
    </w:p>
    <w:p w14:paraId="721AD8F0" w14:textId="18493F62" w:rsidR="00B03557" w:rsidRPr="005D3F76" w:rsidRDefault="00B03557" w:rsidP="00C56DF5">
      <w:pPr>
        <w:rPr>
          <w:rFonts w:cs="Times New Roman"/>
          <w:szCs w:val="24"/>
        </w:rPr>
      </w:pPr>
      <w:r w:rsidRPr="005D3F76">
        <w:rPr>
          <w:rFonts w:cs="Times New Roman"/>
          <w:szCs w:val="24"/>
        </w:rPr>
        <w:tab/>
        <w:t xml:space="preserve">The third component in the analysis is the use of modality. The term ‘modality’ can mean different things in different disciplines.  In disciplines, such as philosophy, modality applies to the categorization of logic and logical reasoning having to do with truth propositions </w:t>
      </w:r>
      <w:r w:rsidRPr="005D3F76">
        <w:rPr>
          <w:rFonts w:cs="Times New Roman"/>
          <w:szCs w:val="24"/>
        </w:rPr>
        <w:fldChar w:fldCharType="begin"/>
      </w:r>
      <w:r w:rsidRPr="005D3F76">
        <w:rPr>
          <w:rFonts w:cs="Times New Roman"/>
          <w:szCs w:val="24"/>
        </w:rPr>
        <w:instrText xml:space="preserve"> ADDIN EN.CITE &lt;EndNote&gt;&lt;Cite&gt;&lt;Author&gt;Lillian&lt;/Author&gt;&lt;Year&gt;2008&lt;/Year&gt;&lt;RecNum&gt;249&lt;/RecNum&gt;&lt;DisplayText&gt;(Lillian, 2008)&lt;/DisplayText&gt;&lt;record&gt;&lt;rec-number&gt;249&lt;/rec-number&gt;&lt;foreign-keys&gt;&lt;key app="EN" db-id="etwareaz8xpxz3et59b50d9vxrata9z2w2zt" timestamp="1464105358"&gt;249&lt;/key&gt;&lt;/foreign-keys&gt;&lt;ref-type name="Journal Article"&gt;17&lt;/ref-type&gt;&lt;contributors&gt;&lt;authors&gt;&lt;author&gt;Donna L. Lillian&lt;/author&gt;&lt;/authors&gt;&lt;/contributors&gt;&lt;titles&gt;&lt;title&gt;Modality, Persuasion and Manipulation in Canadian Conservative Discourse&lt;/title&gt;&lt;secondary-title&gt;Critical Approaches to Discourse Analysis Across Disciplines&lt;/secondary-title&gt;&lt;/titles&gt;&lt;periodical&gt;&lt;full-title&gt;Critical Approaches to Discourse Analysis across Disciplines&lt;/full-title&gt;&lt;/periodical&gt;&lt;pages&gt;1-16&lt;/pages&gt;&lt;volume&gt;2&lt;/volume&gt;&lt;number&gt;1&lt;/number&gt;&lt;dates&gt;&lt;year&gt;2008&lt;/year&gt;&lt;/dates&gt;&lt;urls&gt;&lt;/urls&gt;&lt;/record&gt;&lt;/Cite&gt;&lt;/EndNote&gt;</w:instrText>
      </w:r>
      <w:r w:rsidRPr="005D3F76">
        <w:rPr>
          <w:rFonts w:cs="Times New Roman"/>
          <w:szCs w:val="24"/>
        </w:rPr>
        <w:fldChar w:fldCharType="separate"/>
      </w:r>
      <w:r w:rsidRPr="005D3F76">
        <w:rPr>
          <w:rFonts w:cs="Times New Roman"/>
          <w:noProof/>
          <w:szCs w:val="24"/>
        </w:rPr>
        <w:t>(Lillian, 2008)</w:t>
      </w:r>
      <w:r w:rsidRPr="005D3F76">
        <w:rPr>
          <w:rFonts w:cs="Times New Roman"/>
          <w:szCs w:val="24"/>
        </w:rPr>
        <w:fldChar w:fldCharType="end"/>
      </w:r>
      <w:r w:rsidRPr="005D3F76">
        <w:rPr>
          <w:rFonts w:cs="Times New Roman"/>
          <w:szCs w:val="24"/>
        </w:rPr>
        <w:t xml:space="preserve">. However, in CDA, modality is more than simply recognizing the “over modal auxiliaries such as may, might, can, could, will, would, shall, should, must, and ought,” but rather modality “concerns the writer’s attitude toward and/or confidence in the proposition being presented” (p. 2). Modality in CDA can be expressed through many different parts of speech, including, adjectives, and adverbs, among others. Fowler </w:t>
      </w:r>
      <w:r w:rsidRPr="005D3F76">
        <w:rPr>
          <w:rFonts w:cs="Times New Roman"/>
          <w:szCs w:val="24"/>
        </w:rPr>
        <w:fldChar w:fldCharType="begin"/>
      </w:r>
      <w:r w:rsidRPr="005D3F76">
        <w:rPr>
          <w:rFonts w:cs="Times New Roman"/>
          <w:szCs w:val="24"/>
        </w:rPr>
        <w:instrText xml:space="preserve"> ADDIN EN.CITE &lt;EndNote&gt;&lt;Cite ExcludeAuth="1"&gt;&lt;Author&gt;Fowler&lt;/Author&gt;&lt;Year&gt;1985&lt;/Year&gt;&lt;RecNum&gt;250&lt;/RecNum&gt;&lt;DisplayText&gt;(1985)&lt;/DisplayText&gt;&lt;record&gt;&lt;rec-number&gt;250&lt;/rec-number&gt;&lt;foreign-keys&gt;&lt;key app="EN" db-id="etwareaz8xpxz3et59b50d9vxrata9z2w2zt" timestamp="1464113718"&gt;250&lt;/key&gt;&lt;/foreign-keys&gt;&lt;ref-type name="Book Section"&gt;5&lt;/ref-type&gt;&lt;contributors&gt;&lt;authors&gt;&lt;author&gt;R. Fowler&lt;/author&gt;&lt;/authors&gt;&lt;secondary-authors&gt;&lt;author&gt;van Dijk, Teun&lt;/author&gt;&lt;/secondary-authors&gt;&lt;/contributors&gt;&lt;titles&gt;&lt;title&gt;Power&lt;/title&gt;&lt;secondary-title&gt;Handbook of Discourse Analysis&lt;/secondary-title&gt;&lt;/titles&gt;&lt;pages&gt;61-82&lt;/pages&gt;&lt;volume&gt;4&lt;/volume&gt;&lt;dates&gt;&lt;year&gt;1985&lt;/year&gt;&lt;/dates&gt;&lt;pub-location&gt;London&lt;/pub-location&gt;&lt;publisher&gt;Academic Press&lt;/publisher&gt;&lt;urls&gt;&lt;/urls&gt;&lt;/record&gt;&lt;/Cite&gt;&lt;/EndNote&gt;</w:instrText>
      </w:r>
      <w:r w:rsidRPr="005D3F76">
        <w:rPr>
          <w:rFonts w:cs="Times New Roman"/>
          <w:szCs w:val="24"/>
        </w:rPr>
        <w:fldChar w:fldCharType="separate"/>
      </w:r>
      <w:r w:rsidRPr="005D3F76">
        <w:rPr>
          <w:rFonts w:cs="Times New Roman"/>
          <w:noProof/>
          <w:szCs w:val="24"/>
        </w:rPr>
        <w:t>(1985)</w:t>
      </w:r>
      <w:r w:rsidRPr="005D3F76">
        <w:rPr>
          <w:rFonts w:cs="Times New Roman"/>
          <w:szCs w:val="24"/>
        </w:rPr>
        <w:fldChar w:fldCharType="end"/>
      </w:r>
      <w:r w:rsidRPr="005D3F76">
        <w:rPr>
          <w:rFonts w:cs="Times New Roman"/>
          <w:szCs w:val="24"/>
        </w:rPr>
        <w:t xml:space="preserve"> defines modality in linguistic terms in the following manner:</w:t>
      </w:r>
    </w:p>
    <w:p w14:paraId="0B016906" w14:textId="77777777" w:rsidR="00B03557" w:rsidRPr="005D3F76" w:rsidRDefault="00B03557" w:rsidP="00C56DF5">
      <w:pPr>
        <w:ind w:left="720"/>
        <w:rPr>
          <w:rFonts w:cs="Times New Roman"/>
          <w:szCs w:val="24"/>
        </w:rPr>
      </w:pPr>
      <w:r w:rsidRPr="005D3F76">
        <w:rPr>
          <w:rFonts w:cs="Times New Roman"/>
          <w:szCs w:val="24"/>
        </w:rPr>
        <w:t xml:space="preserve">Modality is signified in a range of linguistic forms: centrally, the modal auxiliary verbs may, shall, must, need, and others; sentence adverbs such as probably, certainly, regrettably; adjectives such as necessary, unfortunate, certain. Some verbs, and many nominalizations are essentially modal; permit, predict, prove, obligation, likelihood, desirability, authority.  (p. 73)   </w:t>
      </w:r>
    </w:p>
    <w:p w14:paraId="5026CC24" w14:textId="4D115C08" w:rsidR="00B03557" w:rsidRPr="005D3F76" w:rsidRDefault="00B03557" w:rsidP="00C56DF5">
      <w:pPr>
        <w:ind w:firstLine="360"/>
        <w:rPr>
          <w:rFonts w:cs="Times New Roman"/>
          <w:szCs w:val="24"/>
        </w:rPr>
      </w:pPr>
      <w:r w:rsidRPr="005D3F76">
        <w:rPr>
          <w:rFonts w:cs="Times New Roman"/>
          <w:szCs w:val="24"/>
        </w:rPr>
        <w:t>Within these modalities, Fowler (1985) goes on to compose 5 categories of modality that specify an author’s attitude to the proposition (p. 72). The list below contains the five categories with explanations.</w:t>
      </w:r>
    </w:p>
    <w:p w14:paraId="7B726D6C" w14:textId="77777777" w:rsidR="00B03557" w:rsidRPr="005D3F76" w:rsidRDefault="00B03557" w:rsidP="00C56DF5">
      <w:pPr>
        <w:pStyle w:val="ListParagraph"/>
        <w:numPr>
          <w:ilvl w:val="0"/>
          <w:numId w:val="10"/>
        </w:numPr>
        <w:rPr>
          <w:rFonts w:cs="Times New Roman"/>
          <w:szCs w:val="24"/>
        </w:rPr>
      </w:pPr>
      <w:r w:rsidRPr="005D3F76">
        <w:rPr>
          <w:rFonts w:cs="Times New Roman"/>
          <w:szCs w:val="24"/>
        </w:rPr>
        <w:t>Allowance to perform some action--Permission.</w:t>
      </w:r>
    </w:p>
    <w:p w14:paraId="6FDCBB19" w14:textId="77777777" w:rsidR="00B03557" w:rsidRPr="005D3F76" w:rsidRDefault="00B03557" w:rsidP="00C56DF5">
      <w:pPr>
        <w:pStyle w:val="ListParagraph"/>
        <w:numPr>
          <w:ilvl w:val="0"/>
          <w:numId w:val="10"/>
        </w:numPr>
        <w:rPr>
          <w:rFonts w:cs="Times New Roman"/>
          <w:szCs w:val="24"/>
        </w:rPr>
      </w:pPr>
      <w:r w:rsidRPr="005D3F76">
        <w:rPr>
          <w:rFonts w:cs="Times New Roman"/>
          <w:szCs w:val="24"/>
        </w:rPr>
        <w:t>Judgment that someone else is obliged to perform an action of some type—Obligation</w:t>
      </w:r>
    </w:p>
    <w:p w14:paraId="02029975" w14:textId="2E04790C" w:rsidR="00B03557" w:rsidRPr="005D3F76" w:rsidRDefault="00B03557" w:rsidP="00C56DF5">
      <w:pPr>
        <w:pStyle w:val="ListParagraph"/>
        <w:numPr>
          <w:ilvl w:val="0"/>
          <w:numId w:val="10"/>
        </w:numPr>
        <w:rPr>
          <w:rFonts w:cs="Times New Roman"/>
          <w:szCs w:val="24"/>
        </w:rPr>
      </w:pPr>
      <w:r w:rsidRPr="005D3F76">
        <w:rPr>
          <w:rFonts w:cs="Times New Roman"/>
          <w:szCs w:val="24"/>
        </w:rPr>
        <w:t>Certain types of judgments performed, either practical, moral, aesthetic—Desirability.</w:t>
      </w:r>
    </w:p>
    <w:p w14:paraId="38C5DC38" w14:textId="7CA4888A" w:rsidR="00B03557" w:rsidRPr="005D3F76" w:rsidRDefault="00B03557" w:rsidP="00C56DF5">
      <w:pPr>
        <w:pStyle w:val="ListParagraph"/>
        <w:numPr>
          <w:ilvl w:val="0"/>
          <w:numId w:val="10"/>
        </w:numPr>
        <w:rPr>
          <w:rFonts w:cs="Times New Roman"/>
          <w:szCs w:val="24"/>
        </w:rPr>
      </w:pPr>
      <w:r w:rsidRPr="005D3F76">
        <w:rPr>
          <w:rFonts w:cs="Times New Roman"/>
          <w:szCs w:val="24"/>
        </w:rPr>
        <w:lastRenderedPageBreak/>
        <w:t>Events are referred to as more often than not going to happen—Predictability.</w:t>
      </w:r>
    </w:p>
    <w:p w14:paraId="199E2B76" w14:textId="77777777" w:rsidR="00B03557" w:rsidRPr="005D3F76" w:rsidRDefault="00B03557" w:rsidP="00C56DF5">
      <w:pPr>
        <w:pStyle w:val="ListParagraph"/>
        <w:numPr>
          <w:ilvl w:val="0"/>
          <w:numId w:val="10"/>
        </w:numPr>
        <w:rPr>
          <w:rFonts w:cs="Times New Roman"/>
          <w:szCs w:val="24"/>
        </w:rPr>
      </w:pPr>
      <w:r w:rsidRPr="005D3F76">
        <w:rPr>
          <w:rFonts w:cs="Times New Roman"/>
          <w:szCs w:val="24"/>
        </w:rPr>
        <w:t xml:space="preserve">Expression that the proposition is more or less the truth—Validity. </w:t>
      </w:r>
    </w:p>
    <w:p w14:paraId="63F6138C" w14:textId="41371038" w:rsidR="00B03557" w:rsidRPr="005D3F76" w:rsidRDefault="00B03557" w:rsidP="00C56DF5">
      <w:pPr>
        <w:rPr>
          <w:rFonts w:cs="Times New Roman"/>
          <w:szCs w:val="24"/>
        </w:rPr>
      </w:pPr>
      <w:r w:rsidRPr="005D3F76">
        <w:rPr>
          <w:rFonts w:cs="Times New Roman"/>
          <w:szCs w:val="24"/>
        </w:rPr>
        <w:t>These various types of modalities are found throughout the news articles. Although there are five categories of modalities listed here, modalities within the analysis will be discussed as one unit, and simply referred to categorically as what kind of above-mentioned modalities it does contain.</w:t>
      </w:r>
    </w:p>
    <w:p w14:paraId="7258DF36" w14:textId="58432088" w:rsidR="00B03557" w:rsidRPr="005D3F76" w:rsidRDefault="00B03557" w:rsidP="00C56DF5">
      <w:pPr>
        <w:rPr>
          <w:rFonts w:cs="Times New Roman"/>
          <w:szCs w:val="24"/>
        </w:rPr>
      </w:pPr>
      <w:r w:rsidRPr="005D3F76">
        <w:rPr>
          <w:rFonts w:cs="Times New Roman"/>
          <w:szCs w:val="24"/>
        </w:rPr>
        <w:tab/>
        <w:t>After finding that the three above-mentioned components were overwhelming present throughout the news articles on teacher unions in Wisconsin, and were linked directly to overarching themes that would emerge as I read through the data. I decided that I would write the analysis based on a system that contained the three main themes that the research presented. These themes, that I have chosen to call ‘strands’ within this work, demonstrate whether or not the media is helping to perpetuate a certain type of characterization of teacher unions, which in turn are leading to policies that seemingly are detrimental to them. These three strands with their corresponding themes will assume all three levels of papers where a comparison across them will be obtained from the research material that CDA will provide. The three main strands being discussed within the analysis are: 1. The Language of Battle; 2. Neoliberal Ideals; and 3. Teacher as a Defunct Agent.</w:t>
      </w:r>
    </w:p>
    <w:p w14:paraId="56781666" w14:textId="7BCFC7A9" w:rsidR="00B03557" w:rsidRPr="005D3F76" w:rsidRDefault="00B03557" w:rsidP="00C56DF5">
      <w:pPr>
        <w:ind w:firstLine="720"/>
        <w:rPr>
          <w:rFonts w:cs="Times New Roman"/>
          <w:szCs w:val="24"/>
        </w:rPr>
      </w:pPr>
      <w:r w:rsidRPr="005D3F76">
        <w:rPr>
          <w:rFonts w:cs="Times New Roman"/>
          <w:szCs w:val="24"/>
        </w:rPr>
        <w:t>What I found within the analysis using CDA is a complex rhetorical web. The two levels of research performed, including an in-depth analysis using mechanisms of CDA as listed above, in conjunction with the three stra</w:t>
      </w:r>
      <w:r w:rsidR="00BC5CD8" w:rsidRPr="005D3F76">
        <w:rPr>
          <w:rFonts w:cs="Times New Roman"/>
          <w:szCs w:val="24"/>
        </w:rPr>
        <w:t>nd analysis help to uncover ‘</w:t>
      </w:r>
      <w:r w:rsidRPr="005D3F76">
        <w:rPr>
          <w:rFonts w:cs="Times New Roman"/>
          <w:szCs w:val="24"/>
        </w:rPr>
        <w:t>hidden interpretations</w:t>
      </w:r>
      <w:r w:rsidR="00BC5CD8" w:rsidRPr="005D3F76">
        <w:rPr>
          <w:rFonts w:cs="Times New Roman"/>
          <w:szCs w:val="24"/>
        </w:rPr>
        <w:t>’ or ‘naturalized’ language</w:t>
      </w:r>
      <w:r w:rsidRPr="005D3F76">
        <w:rPr>
          <w:rFonts w:cs="Times New Roman"/>
          <w:szCs w:val="24"/>
        </w:rPr>
        <w:t xml:space="preserve"> within the newspaper articles. But, what is important at this point is to understand some of the questions that the analysis will address about teacher unions in the state of Wisconsin.</w:t>
      </w:r>
      <w:r w:rsidRPr="005D3F76">
        <w:rPr>
          <w:rFonts w:cs="Times New Roman"/>
          <w:szCs w:val="24"/>
        </w:rPr>
        <w:tab/>
      </w:r>
    </w:p>
    <w:p w14:paraId="58002397" w14:textId="77777777" w:rsidR="00B03557" w:rsidRPr="005D3F76" w:rsidRDefault="00B03557" w:rsidP="0012433F">
      <w:pPr>
        <w:pStyle w:val="Heading2"/>
        <w:rPr>
          <w:rFonts w:cs="Times New Roman"/>
        </w:rPr>
      </w:pPr>
      <w:bookmarkStart w:id="17" w:name="_Toc462843637"/>
      <w:r w:rsidRPr="005D3F76">
        <w:rPr>
          <w:rFonts w:cs="Times New Roman"/>
        </w:rPr>
        <w:lastRenderedPageBreak/>
        <w:t>Research Questions</w:t>
      </w:r>
      <w:bookmarkEnd w:id="17"/>
    </w:p>
    <w:p w14:paraId="18623E36" w14:textId="0B9905D5" w:rsidR="00B03557" w:rsidRPr="005D3F76" w:rsidRDefault="00B03557" w:rsidP="00C56DF5">
      <w:pPr>
        <w:rPr>
          <w:rFonts w:cs="Times New Roman"/>
          <w:szCs w:val="24"/>
        </w:rPr>
      </w:pPr>
      <w:r w:rsidRPr="005D3F76">
        <w:rPr>
          <w:rFonts w:cs="Times New Roman"/>
          <w:szCs w:val="24"/>
        </w:rPr>
        <w:tab/>
        <w:t>When thinking about teacher unions and the attacks that have</w:t>
      </w:r>
      <w:r w:rsidR="00BC5CD8" w:rsidRPr="005D3F76">
        <w:rPr>
          <w:rFonts w:cs="Times New Roman"/>
          <w:szCs w:val="24"/>
        </w:rPr>
        <w:t xml:space="preserve"> been done unto them all over the U.S.</w:t>
      </w:r>
      <w:r w:rsidRPr="005D3F76">
        <w:rPr>
          <w:rFonts w:cs="Times New Roman"/>
          <w:szCs w:val="24"/>
        </w:rPr>
        <w:t>, but particularly in the state of Wisconsin, I directed my research question for this project toward understanding what might be some of the causes and issues surrounding teacher unions:</w:t>
      </w:r>
    </w:p>
    <w:p w14:paraId="0BF955BE" w14:textId="43E421A5" w:rsidR="00B03557" w:rsidRPr="005D3F76" w:rsidRDefault="00B03557" w:rsidP="00C56DF5">
      <w:pPr>
        <w:rPr>
          <w:rFonts w:cs="Times New Roman"/>
          <w:szCs w:val="24"/>
        </w:rPr>
      </w:pPr>
      <w:r w:rsidRPr="005D3F76">
        <w:rPr>
          <w:rFonts w:cs="Times New Roman"/>
          <w:szCs w:val="24"/>
        </w:rPr>
        <w:tab/>
        <w:t>Is the anti-labor/anti-public sector union’s stance being perpetuated by the media, in particular, newspapers?</w:t>
      </w:r>
    </w:p>
    <w:p w14:paraId="775B0F5F" w14:textId="189F7DA5" w:rsidR="00B03557" w:rsidRPr="005D3F76" w:rsidRDefault="00B03557" w:rsidP="00C56DF5">
      <w:pPr>
        <w:rPr>
          <w:rFonts w:cs="Times New Roman"/>
          <w:szCs w:val="24"/>
        </w:rPr>
      </w:pPr>
      <w:r w:rsidRPr="005D3F76">
        <w:rPr>
          <w:rFonts w:cs="Times New Roman"/>
          <w:szCs w:val="24"/>
        </w:rPr>
        <w:t>The following questions were kept in my mind as the research was performed, as they pertain to the above question in inquiry:</w:t>
      </w:r>
    </w:p>
    <w:p w14:paraId="7B6995EF" w14:textId="77777777" w:rsidR="00B03557" w:rsidRPr="005D3F76" w:rsidRDefault="00B03557" w:rsidP="00C56DF5">
      <w:pPr>
        <w:pStyle w:val="ListParagraph"/>
        <w:numPr>
          <w:ilvl w:val="0"/>
          <w:numId w:val="7"/>
        </w:numPr>
        <w:spacing w:line="240" w:lineRule="auto"/>
        <w:rPr>
          <w:rFonts w:cs="Times New Roman"/>
          <w:szCs w:val="24"/>
        </w:rPr>
      </w:pPr>
      <w:r w:rsidRPr="005D3F76">
        <w:rPr>
          <w:rFonts w:cs="Times New Roman"/>
          <w:szCs w:val="24"/>
        </w:rPr>
        <w:t>Is there a clear agenda or theme that the media is trying to press onto the larger public in regards to education and teacher unions?</w:t>
      </w:r>
    </w:p>
    <w:p w14:paraId="1CA9FDB8" w14:textId="77777777" w:rsidR="00B03557" w:rsidRPr="005D3F76" w:rsidRDefault="00B03557" w:rsidP="00C56DF5">
      <w:pPr>
        <w:pStyle w:val="ListParagraph"/>
        <w:numPr>
          <w:ilvl w:val="0"/>
          <w:numId w:val="7"/>
        </w:numPr>
        <w:spacing w:line="240" w:lineRule="auto"/>
        <w:rPr>
          <w:rFonts w:cs="Times New Roman"/>
          <w:szCs w:val="24"/>
        </w:rPr>
      </w:pPr>
      <w:r w:rsidRPr="005D3F76">
        <w:rPr>
          <w:rFonts w:cs="Times New Roman"/>
          <w:szCs w:val="24"/>
        </w:rPr>
        <w:t>What about issues of social consciousness and knowledge concerning mass society in regards to the seemingly anti-labor stance?</w:t>
      </w:r>
    </w:p>
    <w:p w14:paraId="4077341D" w14:textId="77777777" w:rsidR="00B03557" w:rsidRPr="005D3F76" w:rsidRDefault="00B03557" w:rsidP="00C56DF5">
      <w:pPr>
        <w:pStyle w:val="ListParagraph"/>
        <w:numPr>
          <w:ilvl w:val="0"/>
          <w:numId w:val="7"/>
        </w:numPr>
        <w:spacing w:line="240" w:lineRule="auto"/>
        <w:rPr>
          <w:rFonts w:cs="Times New Roman"/>
          <w:szCs w:val="24"/>
        </w:rPr>
      </w:pPr>
      <w:r w:rsidRPr="005D3F76">
        <w:rPr>
          <w:rFonts w:cs="Times New Roman"/>
          <w:szCs w:val="24"/>
        </w:rPr>
        <w:t>Could these questions lead to answers regarding power issues and equity with what is being introduced to the mass public in regards to public sector unions?</w:t>
      </w:r>
    </w:p>
    <w:p w14:paraId="3817262F" w14:textId="77777777" w:rsidR="00B03557" w:rsidRPr="005D3F76" w:rsidRDefault="00B03557" w:rsidP="00C56DF5">
      <w:pPr>
        <w:pStyle w:val="ListParagraph"/>
        <w:numPr>
          <w:ilvl w:val="0"/>
          <w:numId w:val="7"/>
        </w:numPr>
        <w:spacing w:line="240" w:lineRule="auto"/>
        <w:rPr>
          <w:rFonts w:cs="Times New Roman"/>
          <w:szCs w:val="24"/>
        </w:rPr>
      </w:pPr>
      <w:r w:rsidRPr="005D3F76">
        <w:rPr>
          <w:rFonts w:cs="Times New Roman"/>
          <w:szCs w:val="24"/>
        </w:rPr>
        <w:t>Could a critical study of the media using their own work lead to more responsibility with their theme of teacher unionization in their reporting?</w:t>
      </w:r>
    </w:p>
    <w:p w14:paraId="27BFB5EF" w14:textId="77777777" w:rsidR="00B03557" w:rsidRPr="005D3F76" w:rsidRDefault="00B03557" w:rsidP="00C56DF5">
      <w:pPr>
        <w:spacing w:line="240" w:lineRule="auto"/>
        <w:rPr>
          <w:rFonts w:cs="Times New Roman"/>
          <w:szCs w:val="24"/>
        </w:rPr>
      </w:pPr>
    </w:p>
    <w:p w14:paraId="019EA360" w14:textId="23255FE4" w:rsidR="00B03557" w:rsidRPr="005D3F76" w:rsidRDefault="00B03557" w:rsidP="00B03557">
      <w:pPr>
        <w:rPr>
          <w:rFonts w:cs="Times New Roman"/>
          <w:szCs w:val="24"/>
        </w:rPr>
        <w:sectPr w:rsidR="00B03557" w:rsidRPr="005D3F76" w:rsidSect="00103B6F">
          <w:endnotePr>
            <w:numRestart w:val="eachSect"/>
          </w:endnotePr>
          <w:pgSz w:w="12240" w:h="15840"/>
          <w:pgMar w:top="1440" w:right="1440" w:bottom="1440" w:left="1440" w:header="720" w:footer="720" w:gutter="0"/>
          <w:cols w:space="720"/>
          <w:docGrid w:linePitch="360"/>
        </w:sectPr>
      </w:pPr>
      <w:r w:rsidRPr="005D3F76">
        <w:rPr>
          <w:rFonts w:cs="Times New Roman"/>
          <w:szCs w:val="24"/>
        </w:rPr>
        <w:t>In this study, I try to capture data that enables me to study the role that the media plays as an active participant in regards to reporting the news concerning teacher and public sector unions within Wisconsin, thus bridging whatever gap may exist between the understanding that teachers, parents, or individual politicians have, and the larger society. These questions help to delve deeper into the understanding of the culture, history, and perceptions of public school teacher unions, and helps us examine more closely why it seems they are under attack by the media.</w:t>
      </w:r>
    </w:p>
    <w:p w14:paraId="12FE23DC" w14:textId="00E28394" w:rsidR="00B03557" w:rsidRPr="005D3F76" w:rsidRDefault="00A3521D" w:rsidP="006F28A3">
      <w:pPr>
        <w:pStyle w:val="Heading1"/>
        <w:rPr>
          <w:rFonts w:cs="Times New Roman"/>
        </w:rPr>
      </w:pPr>
      <w:bookmarkStart w:id="18" w:name="_Toc462843638"/>
      <w:r w:rsidRPr="005D3F76">
        <w:rPr>
          <w:rFonts w:cs="Times New Roman"/>
        </w:rPr>
        <w:lastRenderedPageBreak/>
        <w:t>CHAPTER FOUR:</w:t>
      </w:r>
      <w:r w:rsidRPr="005D3F76">
        <w:rPr>
          <w:rFonts w:cs="Times New Roman"/>
        </w:rPr>
        <w:br/>
        <w:t>ANALYSIS</w:t>
      </w:r>
      <w:bookmarkEnd w:id="18"/>
    </w:p>
    <w:p w14:paraId="32968EB5" w14:textId="6A59809B" w:rsidR="00B03557" w:rsidRPr="005D3F76" w:rsidRDefault="00B03557" w:rsidP="001B1E2A">
      <w:pPr>
        <w:spacing w:before="480" w:after="480" w:line="240" w:lineRule="auto"/>
        <w:ind w:left="720"/>
        <w:rPr>
          <w:rFonts w:cs="Times New Roman"/>
          <w:b/>
          <w:i/>
          <w:szCs w:val="24"/>
        </w:rPr>
      </w:pPr>
      <w:r w:rsidRPr="005D3F76">
        <w:rPr>
          <w:rFonts w:cs="Times New Roman"/>
          <w:b/>
          <w:szCs w:val="24"/>
        </w:rPr>
        <w:t xml:space="preserve">Read not to contradict and confute; nor to believe and take for granted; nor to find talk and discourse; but to weigh and consider. ~ </w:t>
      </w:r>
      <w:r w:rsidRPr="005D3F76">
        <w:rPr>
          <w:rFonts w:cs="Times New Roman"/>
          <w:b/>
          <w:i/>
          <w:szCs w:val="24"/>
        </w:rPr>
        <w:t>Sir Francis Bacon, English Essayist from “Of Studies” (1625)</w:t>
      </w:r>
      <w:r w:rsidRPr="005D3F76">
        <w:rPr>
          <w:rFonts w:cs="Times New Roman"/>
          <w:szCs w:val="24"/>
        </w:rPr>
        <w:t xml:space="preserve"> </w:t>
      </w:r>
    </w:p>
    <w:p w14:paraId="54ED9609" w14:textId="6E551728" w:rsidR="00B03557" w:rsidRPr="005D3F76" w:rsidRDefault="00B03557" w:rsidP="00103B6F">
      <w:pPr>
        <w:rPr>
          <w:rFonts w:cs="Times New Roman"/>
          <w:szCs w:val="24"/>
        </w:rPr>
      </w:pPr>
      <w:r w:rsidRPr="005D3F76">
        <w:rPr>
          <w:rFonts w:cs="Times New Roman"/>
          <w:szCs w:val="24"/>
        </w:rPr>
        <w:tab/>
        <w:t>As described in chapter two concerning the history of teacher unions in the state of Wisconsin, the road has been rocky and filled with many detours and potholes. With the legislation of ACT 10 introduced by Governor Scott Walker, the impediment of public sector unions seems to be getting worse.  Revisiting the question of whether or not the discourses produced by the media have been contributing to the seemingly anti-labor union stance within U.S. society, is the paramount question</w:t>
      </w:r>
      <w:r w:rsidR="00BC5CD8" w:rsidRPr="005D3F76">
        <w:rPr>
          <w:rFonts w:cs="Times New Roman"/>
          <w:szCs w:val="24"/>
        </w:rPr>
        <w:t xml:space="preserve"> in my mind when I began this research</w:t>
      </w:r>
      <w:r w:rsidRPr="005D3F76">
        <w:rPr>
          <w:rFonts w:cs="Times New Roman"/>
          <w:szCs w:val="24"/>
        </w:rPr>
        <w:t>. But what was found and how might it be impacting the beliefs and attitudes about teacher unions in the state of Wisconsin? This chapter will present the data from the three newspapers researched from January 1, 2011 to December 31, 2015, which includes: the</w:t>
      </w:r>
      <w:r w:rsidRPr="005D3F76">
        <w:rPr>
          <w:rFonts w:cs="Times New Roman"/>
          <w:i/>
          <w:szCs w:val="24"/>
        </w:rPr>
        <w:t xml:space="preserve"> New York Times </w:t>
      </w:r>
      <w:r w:rsidRPr="005D3F76">
        <w:rPr>
          <w:rFonts w:cs="Times New Roman"/>
          <w:szCs w:val="24"/>
        </w:rPr>
        <w:t>(</w:t>
      </w:r>
      <w:r w:rsidRPr="005D3F76">
        <w:rPr>
          <w:rFonts w:cs="Times New Roman"/>
          <w:i/>
          <w:szCs w:val="24"/>
        </w:rPr>
        <w:t>Times</w:t>
      </w:r>
      <w:r w:rsidRPr="005D3F76">
        <w:rPr>
          <w:rFonts w:cs="Times New Roman"/>
          <w:szCs w:val="24"/>
        </w:rPr>
        <w:t>), the</w:t>
      </w:r>
      <w:r w:rsidRPr="005D3F76">
        <w:rPr>
          <w:rFonts w:cs="Times New Roman"/>
          <w:i/>
          <w:szCs w:val="24"/>
        </w:rPr>
        <w:t xml:space="preserve"> Wisconsin State Journal </w:t>
      </w:r>
      <w:r w:rsidRPr="005D3F76">
        <w:rPr>
          <w:rFonts w:cs="Times New Roman"/>
          <w:szCs w:val="24"/>
        </w:rPr>
        <w:t>(</w:t>
      </w:r>
      <w:r w:rsidRPr="005D3F76">
        <w:rPr>
          <w:rFonts w:cs="Times New Roman"/>
          <w:i/>
          <w:szCs w:val="24"/>
        </w:rPr>
        <w:t>WSJ)</w:t>
      </w:r>
      <w:r w:rsidRPr="005D3F76">
        <w:rPr>
          <w:rFonts w:cs="Times New Roman"/>
          <w:szCs w:val="24"/>
        </w:rPr>
        <w:t>, and the</w:t>
      </w:r>
      <w:r w:rsidRPr="005D3F76">
        <w:rPr>
          <w:rFonts w:cs="Times New Roman"/>
          <w:i/>
          <w:szCs w:val="24"/>
        </w:rPr>
        <w:t xml:space="preserve"> Capital Times</w:t>
      </w:r>
      <w:r w:rsidRPr="005D3F76">
        <w:rPr>
          <w:rFonts w:cs="Times New Roman"/>
          <w:szCs w:val="24"/>
        </w:rPr>
        <w:t xml:space="preserve"> (</w:t>
      </w:r>
      <w:r w:rsidRPr="005D3F76">
        <w:rPr>
          <w:rFonts w:cs="Times New Roman"/>
          <w:i/>
          <w:szCs w:val="24"/>
        </w:rPr>
        <w:t>Cap Times</w:t>
      </w:r>
      <w:r w:rsidRPr="005D3F76">
        <w:rPr>
          <w:rFonts w:cs="Times New Roman"/>
          <w:szCs w:val="24"/>
        </w:rPr>
        <w:t xml:space="preserve">).  </w:t>
      </w:r>
    </w:p>
    <w:p w14:paraId="39A1C0C5" w14:textId="77777777" w:rsidR="00B03557" w:rsidRPr="005D3F76" w:rsidRDefault="00B03557" w:rsidP="00103B6F">
      <w:pPr>
        <w:rPr>
          <w:rFonts w:cs="Times New Roman"/>
          <w:szCs w:val="24"/>
        </w:rPr>
      </w:pPr>
      <w:r w:rsidRPr="005D3F76">
        <w:rPr>
          <w:rFonts w:cs="Times New Roman"/>
          <w:b/>
          <w:szCs w:val="24"/>
        </w:rPr>
        <w:tab/>
      </w:r>
      <w:r w:rsidRPr="005D3F76">
        <w:rPr>
          <w:rFonts w:cs="Times New Roman"/>
          <w:szCs w:val="24"/>
        </w:rPr>
        <w:t xml:space="preserve">As was noted in chapter three, I began my research with a qualitative approach to the data, which, can be done to narrow down and define the parameters within which the CDA research can take place </w:t>
      </w:r>
      <w:r w:rsidRPr="005D3F76">
        <w:rPr>
          <w:rFonts w:cs="Times New Roman"/>
          <w:szCs w:val="24"/>
        </w:rPr>
        <w:fldChar w:fldCharType="begin"/>
      </w:r>
      <w:r w:rsidRPr="005D3F76">
        <w:rPr>
          <w:rFonts w:cs="Times New Roman"/>
          <w:szCs w:val="24"/>
        </w:rPr>
        <w:instrText xml:space="preserve"> ADDIN EN.CITE &lt;EndNote&gt;&lt;Cite&gt;&lt;Author&gt;Machin&lt;/Author&gt;&lt;Year&gt;2012&lt;/Year&gt;&lt;RecNum&gt;170&lt;/RecNum&gt;&lt;DisplayText&gt;(Machin &amp;amp; Mayr, 2012)&lt;/DisplayText&gt;&lt;record&gt;&lt;rec-number&gt;170&lt;/rec-number&gt;&lt;foreign-keys&gt;&lt;key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rsidRPr="005D3F76">
        <w:rPr>
          <w:rFonts w:cs="Times New Roman"/>
          <w:szCs w:val="24"/>
        </w:rPr>
        <w:fldChar w:fldCharType="separate"/>
      </w:r>
      <w:r w:rsidRPr="005D3F76">
        <w:rPr>
          <w:rFonts w:cs="Times New Roman"/>
          <w:noProof/>
          <w:szCs w:val="24"/>
        </w:rPr>
        <w:t>(Machin &amp; Mayr, 2012)</w:t>
      </w:r>
      <w:r w:rsidRPr="005D3F76">
        <w:rPr>
          <w:rFonts w:cs="Times New Roman"/>
          <w:szCs w:val="24"/>
        </w:rPr>
        <w:fldChar w:fldCharType="end"/>
      </w:r>
      <w:r w:rsidRPr="005D3F76">
        <w:rPr>
          <w:rFonts w:cs="Times New Roman"/>
          <w:szCs w:val="24"/>
        </w:rPr>
        <w:t xml:space="preserve">. However, this strictly qualitative work is not the primary focus within this study, CDA is, and the work from the qualitative part will only be presented in the introduction to designate the overall themes that were produced. I purposively chose to perform the qualitative part of the research in the beginning of this study because of the sheer volume of articles that were available during this time period and the expansive amount of information within them. As noted in Chapter 3, extensive and exhaustive CDA work can be performed on just one artifact, so the fact that I have four complete years of material led me to </w:t>
      </w:r>
      <w:r w:rsidRPr="005D3F76">
        <w:rPr>
          <w:rFonts w:cs="Times New Roman"/>
          <w:szCs w:val="24"/>
        </w:rPr>
        <w:lastRenderedPageBreak/>
        <w:t xml:space="preserve">resolve to perform thematic determinations since there was quite a bit of data to comb through. After doing an initial reading to make sure that the articles contained information that are relevant to the topic, I began analysis to find the codes, patterns, and eventual themes that were present within the data (see Chart 1 in Chapter 3 for the visual representation of this qualitative process model). The themes that were eventually found within the qualitative analysis include the following: Neoliberalism, Teacher, Parents, Student, Teacher Unions, Government, Law Involvement, and Social Justice. Appendix B shows the extensive work and definitions that resulted from the qualitative part of the study. </w:t>
      </w:r>
    </w:p>
    <w:p w14:paraId="3CA18291" w14:textId="4126FCCA" w:rsidR="001D5801" w:rsidRPr="005D3F76" w:rsidRDefault="00B03557" w:rsidP="0080512A">
      <w:pPr>
        <w:ind w:firstLine="720"/>
        <w:rPr>
          <w:rFonts w:cs="Times New Roman"/>
          <w:szCs w:val="24"/>
        </w:rPr>
      </w:pPr>
      <w:r w:rsidRPr="005D3F76">
        <w:rPr>
          <w:rFonts w:cs="Times New Roman"/>
          <w:szCs w:val="24"/>
        </w:rPr>
        <w:t>After these themes were determined to be part of what could be found within the articles, I then began looking at the individual cases of discourse that surrounded these themes withi</w:t>
      </w:r>
      <w:r w:rsidR="00EA34B9" w:rsidRPr="005D3F76">
        <w:rPr>
          <w:rFonts w:cs="Times New Roman"/>
          <w:szCs w:val="24"/>
        </w:rPr>
        <w:t>n the articles themselves. Figure</w:t>
      </w:r>
      <w:r w:rsidRPr="005D3F76">
        <w:rPr>
          <w:rFonts w:cs="Times New Roman"/>
          <w:szCs w:val="24"/>
        </w:rPr>
        <w:t xml:space="preserve"> 2 below illustrates the processes that occurred concerning</w:t>
      </w:r>
      <w:r w:rsidR="0080512A" w:rsidRPr="005D3F76">
        <w:rPr>
          <w:rFonts w:cs="Times New Roman"/>
          <w:szCs w:val="24"/>
        </w:rPr>
        <w:t xml:space="preserve"> the CDA work that will follow:</w:t>
      </w:r>
    </w:p>
    <w:p w14:paraId="58A053D1" w14:textId="77777777" w:rsidR="0080512A" w:rsidRPr="005D3F76" w:rsidRDefault="0080512A" w:rsidP="0080512A">
      <w:pPr>
        <w:spacing w:line="360" w:lineRule="auto"/>
        <w:ind w:firstLine="720"/>
        <w:rPr>
          <w:rFonts w:cs="Times New Roman"/>
          <w:szCs w:val="24"/>
        </w:rPr>
      </w:pPr>
    </w:p>
    <w:p w14:paraId="70822717" w14:textId="4C228D39" w:rsidR="0080512A" w:rsidRPr="005D3F76" w:rsidRDefault="0080512A" w:rsidP="0080512A">
      <w:pPr>
        <w:spacing w:line="240" w:lineRule="auto"/>
        <w:rPr>
          <w:rFonts w:cs="Times New Roman"/>
          <w:szCs w:val="24"/>
        </w:rPr>
      </w:pPr>
      <w:r w:rsidRPr="005D3F76">
        <w:rPr>
          <w:rFonts w:cs="Times New Roman"/>
          <w:noProof/>
          <w:szCs w:val="24"/>
        </w:rPr>
        <w:drawing>
          <wp:inline distT="0" distB="0" distL="0" distR="0" wp14:anchorId="2811BD80" wp14:editId="1212569B">
            <wp:extent cx="5848350" cy="3383280"/>
            <wp:effectExtent l="19050" t="19050" r="57150" b="4572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sidRPr="005D3F76">
        <w:rPr>
          <w:rFonts w:cs="Times New Roman"/>
          <w:szCs w:val="24"/>
        </w:rPr>
        <w:t>Figure 2: Critical Discourse Analytical Framework on Teacher Unions in the State of Wisconsin</w:t>
      </w:r>
    </w:p>
    <w:p w14:paraId="024F4A1F" w14:textId="77777777" w:rsidR="00B03557" w:rsidRPr="005D3F76" w:rsidRDefault="00B03557" w:rsidP="00103B6F">
      <w:pPr>
        <w:ind w:firstLine="720"/>
        <w:rPr>
          <w:rFonts w:cs="Times New Roman"/>
          <w:szCs w:val="24"/>
        </w:rPr>
      </w:pPr>
      <w:r w:rsidRPr="005D3F76">
        <w:rPr>
          <w:rFonts w:cs="Times New Roman"/>
          <w:szCs w:val="24"/>
        </w:rPr>
        <w:lastRenderedPageBreak/>
        <w:t xml:space="preserve">After researching the discourses that were in these themes, it became clear that many of the themes were in fact interlinked concepts that were feeding into what I later determined to be the three strands that will be discussed in the analysis that follows. These three strands include </w:t>
      </w:r>
      <w:r w:rsidRPr="005D3F76">
        <w:rPr>
          <w:rFonts w:cs="Times New Roman"/>
          <w:i/>
          <w:szCs w:val="24"/>
        </w:rPr>
        <w:t>The Language of Battle</w:t>
      </w:r>
      <w:r w:rsidRPr="005D3F76">
        <w:rPr>
          <w:rFonts w:cs="Times New Roman"/>
          <w:szCs w:val="24"/>
        </w:rPr>
        <w:t xml:space="preserve">, </w:t>
      </w:r>
      <w:r w:rsidRPr="005D3F76">
        <w:rPr>
          <w:rFonts w:cs="Times New Roman"/>
          <w:i/>
          <w:szCs w:val="24"/>
        </w:rPr>
        <w:t>Neoliberalistic Discourses</w:t>
      </w:r>
      <w:r w:rsidRPr="005D3F76">
        <w:rPr>
          <w:rFonts w:cs="Times New Roman"/>
          <w:szCs w:val="24"/>
        </w:rPr>
        <w:t xml:space="preserve">, and </w:t>
      </w:r>
      <w:r w:rsidRPr="005D3F76">
        <w:rPr>
          <w:rFonts w:cs="Times New Roman"/>
          <w:i/>
          <w:szCs w:val="24"/>
        </w:rPr>
        <w:t>Teacher as Defunct Agent</w:t>
      </w:r>
      <w:r w:rsidRPr="005D3F76">
        <w:rPr>
          <w:rFonts w:cs="Times New Roman"/>
          <w:szCs w:val="24"/>
        </w:rPr>
        <w:t xml:space="preserve">. </w:t>
      </w:r>
    </w:p>
    <w:p w14:paraId="36DB386A" w14:textId="1EAC9363" w:rsidR="00B03557" w:rsidRPr="005D3F76" w:rsidRDefault="00B03557" w:rsidP="00103B6F">
      <w:pPr>
        <w:ind w:firstLine="720"/>
        <w:rPr>
          <w:rFonts w:cs="Times New Roman"/>
          <w:szCs w:val="24"/>
        </w:rPr>
      </w:pPr>
      <w:r w:rsidRPr="005D3F76">
        <w:rPr>
          <w:rFonts w:cs="Times New Roman"/>
          <w:szCs w:val="24"/>
        </w:rPr>
        <w:t>In what follows, the findings from the CDA research will be presented. As previously examined in Chapter 3, CDA research can be presented in any way that the researcher feels that is beneficial in explaining what can be found within the material being researched. In the case of the newspaper articles concerning public sector unions within Wisconsin, it is important to not only demonstrate what exactly the discourse is that is within the material, but also help to untangle and examine the concepts that can be found wi</w:t>
      </w:r>
      <w:r w:rsidR="001D5801" w:rsidRPr="005D3F76">
        <w:rPr>
          <w:rFonts w:cs="Times New Roman"/>
          <w:szCs w:val="24"/>
        </w:rPr>
        <w:t xml:space="preserve">thin that discovered discourse. I have included examples from different newspaper articles in </w:t>
      </w:r>
      <w:r w:rsidR="00EA34B9" w:rsidRPr="005D3F76">
        <w:rPr>
          <w:rFonts w:cs="Times New Roman"/>
          <w:szCs w:val="24"/>
        </w:rPr>
        <w:t xml:space="preserve">this </w:t>
      </w:r>
      <w:r w:rsidR="001D5801" w:rsidRPr="005D3F76">
        <w:rPr>
          <w:rFonts w:cs="Times New Roman"/>
          <w:szCs w:val="24"/>
        </w:rPr>
        <w:t xml:space="preserve">chapter, signified by hanging indents, to illustrate how my analysis of the language was performed. </w:t>
      </w:r>
      <w:r w:rsidRPr="005D3F76">
        <w:rPr>
          <w:rFonts w:cs="Times New Roman"/>
          <w:szCs w:val="24"/>
        </w:rPr>
        <w:t xml:space="preserve">Therefore, what follows will be a walking of the line between a presentation of the discourse itself found with the techniques of CDA and the philosophical </w:t>
      </w:r>
      <w:r w:rsidR="00E341FA" w:rsidRPr="005D3F76">
        <w:rPr>
          <w:rFonts w:cs="Times New Roman"/>
          <w:szCs w:val="24"/>
        </w:rPr>
        <w:t>analysis</w:t>
      </w:r>
      <w:r w:rsidRPr="005D3F76">
        <w:rPr>
          <w:rFonts w:cs="Times New Roman"/>
          <w:szCs w:val="24"/>
        </w:rPr>
        <w:t xml:space="preserve"> of the topics addressed within the strands themselves. This line has led to both an interesting and surprising understanding of how words can change when we begin to look at them in new ways.</w:t>
      </w:r>
    </w:p>
    <w:p w14:paraId="13101A59" w14:textId="77777777" w:rsidR="00B03557" w:rsidRPr="005D3F76" w:rsidRDefault="00B03557" w:rsidP="00103B6F">
      <w:pPr>
        <w:pStyle w:val="Heading2"/>
        <w:rPr>
          <w:rFonts w:cs="Times New Roman"/>
        </w:rPr>
      </w:pPr>
      <w:bookmarkStart w:id="19" w:name="_Toc462843639"/>
      <w:r w:rsidRPr="005D3F76">
        <w:rPr>
          <w:rFonts w:cs="Times New Roman"/>
        </w:rPr>
        <w:t>Critical Discourse Analysis</w:t>
      </w:r>
      <w:bookmarkEnd w:id="19"/>
    </w:p>
    <w:p w14:paraId="6BCF78A9" w14:textId="77777777" w:rsidR="00B03557" w:rsidRPr="005D3F76" w:rsidRDefault="00B03557" w:rsidP="00103B6F">
      <w:pPr>
        <w:pStyle w:val="Heading3"/>
        <w:rPr>
          <w:rFonts w:cs="Times New Roman"/>
        </w:rPr>
      </w:pPr>
      <w:bookmarkStart w:id="20" w:name="_Toc462843640"/>
      <w:r w:rsidRPr="005D3F76">
        <w:rPr>
          <w:rFonts w:cs="Times New Roman"/>
        </w:rPr>
        <w:t>Strand One: The Language of Battle</w:t>
      </w:r>
      <w:bookmarkEnd w:id="20"/>
      <w:r w:rsidRPr="005D3F76">
        <w:rPr>
          <w:rFonts w:cs="Times New Roman"/>
        </w:rPr>
        <w:t xml:space="preserve">  </w:t>
      </w:r>
    </w:p>
    <w:p w14:paraId="1154CB4E" w14:textId="77777777" w:rsidR="00B03557" w:rsidRPr="005D3F76" w:rsidRDefault="00B03557" w:rsidP="00103B6F">
      <w:pPr>
        <w:rPr>
          <w:rFonts w:cs="Times New Roman"/>
          <w:szCs w:val="24"/>
        </w:rPr>
      </w:pPr>
      <w:r w:rsidRPr="005D3F76">
        <w:rPr>
          <w:rFonts w:cs="Times New Roman"/>
          <w:szCs w:val="24"/>
        </w:rPr>
        <w:tab/>
        <w:t xml:space="preserve">The media coverage from all three levels of newspapers of the teacher unions within Wisconsin stressed the all-important politics of battle, war, and conflict. The amount of discourse that was spent on this particular strand contributed the most to the themes that were found. In the </w:t>
      </w:r>
      <w:r w:rsidRPr="005D3F76">
        <w:rPr>
          <w:rFonts w:cs="Times New Roman"/>
          <w:i/>
          <w:szCs w:val="24"/>
        </w:rPr>
        <w:t>Times</w:t>
      </w:r>
      <w:r w:rsidRPr="005D3F76">
        <w:rPr>
          <w:rFonts w:cs="Times New Roman"/>
          <w:szCs w:val="24"/>
        </w:rPr>
        <w:t xml:space="preserve">, out of the 19 articles, 12 or 63% contained discourse relating to this strand. Similar statistics can be found in both the </w:t>
      </w:r>
      <w:r w:rsidRPr="005D3F76">
        <w:rPr>
          <w:rFonts w:cs="Times New Roman"/>
          <w:i/>
          <w:szCs w:val="24"/>
        </w:rPr>
        <w:t>WSJ</w:t>
      </w:r>
      <w:r w:rsidRPr="005D3F76">
        <w:rPr>
          <w:rFonts w:cs="Times New Roman"/>
          <w:szCs w:val="24"/>
        </w:rPr>
        <w:t xml:space="preserve"> (25 total, 20 present at 80%) and the </w:t>
      </w:r>
      <w:r w:rsidRPr="005D3F76">
        <w:rPr>
          <w:rFonts w:cs="Times New Roman"/>
          <w:i/>
          <w:szCs w:val="24"/>
        </w:rPr>
        <w:t xml:space="preserve">Cap Times </w:t>
      </w:r>
      <w:r w:rsidRPr="005D3F76">
        <w:rPr>
          <w:rFonts w:cs="Times New Roman"/>
          <w:szCs w:val="24"/>
        </w:rPr>
        <w:t xml:space="preserve">(19 total, </w:t>
      </w:r>
      <w:r w:rsidRPr="005D3F76">
        <w:rPr>
          <w:rFonts w:cs="Times New Roman"/>
          <w:szCs w:val="24"/>
        </w:rPr>
        <w:lastRenderedPageBreak/>
        <w:t>12 present at 63%). These statistics are telling of why this strand was the most prominent among the three, with over half of all the articles researched containing discourse that surrounded battle or war. In addition to finding the battle discourse heavily represented in all three newspapers, all three components of the CDA research, conceptual metaphor, opposition, and modality were used within this strand, even though the strand itself lends from metaphor.</w:t>
      </w:r>
    </w:p>
    <w:p w14:paraId="7D0835FD" w14:textId="49CB245F" w:rsidR="00B03557" w:rsidRPr="005D3F76" w:rsidRDefault="00B03557" w:rsidP="00103B6F">
      <w:pPr>
        <w:ind w:firstLine="720"/>
        <w:rPr>
          <w:rFonts w:cs="Times New Roman"/>
          <w:szCs w:val="24"/>
        </w:rPr>
      </w:pPr>
      <w:r w:rsidRPr="005D3F76">
        <w:rPr>
          <w:rFonts w:cs="Times New Roman"/>
          <w:szCs w:val="24"/>
        </w:rPr>
        <w:t xml:space="preserve">These ideas of battle and war concern two or more sides in opposition to one another, and this type of discourse overtly summons to mind a directive binary, leading to the ideas behind opposition. This type of language within discourse, especially newspapers is not uncommon according to Melinda Wenner </w:t>
      </w:r>
      <w:r w:rsidRPr="005D3F76">
        <w:rPr>
          <w:rFonts w:cs="Times New Roman"/>
          <w:szCs w:val="24"/>
        </w:rPr>
        <w:fldChar w:fldCharType="begin"/>
      </w:r>
      <w:r w:rsidRPr="005D3F76">
        <w:rPr>
          <w:rFonts w:cs="Times New Roman"/>
          <w:szCs w:val="24"/>
        </w:rPr>
        <w:instrText xml:space="preserve"> ADDIN EN.CITE &lt;EndNote&gt;&lt;Cite ExcludeAuth="1"&gt;&lt;Author&gt;Wenner&lt;/Author&gt;&lt;Year&gt;2007&lt;/Year&gt;&lt;RecNum&gt;255&lt;/RecNum&gt;&lt;DisplayText&gt;(2007)&lt;/DisplayText&gt;&lt;record&gt;&lt;rec-number&gt;255&lt;/rec-number&gt;&lt;foreign-keys&gt;&lt;key app="EN" db-id="etwareaz8xpxz3et59b50d9vxrata9z2w2zt" timestamp="1464713492"&gt;255&lt;/key&gt;&lt;/foreign-keys&gt;&lt;ref-type name="Magazine Article"&gt;19&lt;/ref-type&gt;&lt;contributors&gt;&lt;authors&gt;&lt;author&gt;Melinda Wenner&lt;/author&gt;&lt;/authors&gt;&lt;/contributors&gt;&lt;titles&gt;&lt;title&gt;The war against war metaphors&lt;/title&gt;&lt;secondary-title&gt;The Scientist&lt;/secondary-title&gt;&lt;/titles&gt;&lt;num-vols&gt;Daily&lt;/num-vols&gt;&lt;dates&gt;&lt;year&gt;2007&lt;/year&gt;&lt;/dates&gt;&lt;publisher&gt;The Scientist&lt;/publisher&gt;&lt;urls&gt;&lt;related-urls&gt;&lt;url&gt;http://www.the-scientist.com/?articles.view/articleNo/24756/title/The-war-against-war-metaphors/&lt;/url&gt;&lt;/related-urls&gt;&lt;/urls&gt;&lt;/record&gt;&lt;/Cite&gt;&lt;/EndNote&gt;</w:instrText>
      </w:r>
      <w:r w:rsidRPr="005D3F76">
        <w:rPr>
          <w:rFonts w:cs="Times New Roman"/>
          <w:szCs w:val="24"/>
        </w:rPr>
        <w:fldChar w:fldCharType="separate"/>
      </w:r>
      <w:r w:rsidRPr="005D3F76">
        <w:rPr>
          <w:rFonts w:cs="Times New Roman"/>
          <w:noProof/>
          <w:szCs w:val="24"/>
        </w:rPr>
        <w:t>(2007)</w:t>
      </w:r>
      <w:r w:rsidRPr="005D3F76">
        <w:rPr>
          <w:rFonts w:cs="Times New Roman"/>
          <w:szCs w:val="24"/>
        </w:rPr>
        <w:fldChar w:fldCharType="end"/>
      </w:r>
      <w:r w:rsidRPr="005D3F76">
        <w:rPr>
          <w:rFonts w:cs="Times New Roman"/>
          <w:szCs w:val="24"/>
        </w:rPr>
        <w:t xml:space="preserve"> who contends that “these terms have an intention, [that] they are sort of modern propaganda” (para. 2). The newspapers, the </w:t>
      </w:r>
      <w:r w:rsidRPr="005D3F76">
        <w:rPr>
          <w:rFonts w:cs="Times New Roman"/>
          <w:i/>
          <w:szCs w:val="24"/>
        </w:rPr>
        <w:t>Cap Times</w:t>
      </w:r>
      <w:r w:rsidRPr="005D3F76">
        <w:rPr>
          <w:rFonts w:cs="Times New Roman"/>
          <w:szCs w:val="24"/>
        </w:rPr>
        <w:t xml:space="preserve"> and the </w:t>
      </w:r>
      <w:r w:rsidRPr="005D3F76">
        <w:rPr>
          <w:rFonts w:cs="Times New Roman"/>
          <w:i/>
          <w:szCs w:val="24"/>
        </w:rPr>
        <w:t>WSJ</w:t>
      </w:r>
      <w:r w:rsidRPr="005D3F76">
        <w:rPr>
          <w:rFonts w:cs="Times New Roman"/>
          <w:szCs w:val="24"/>
        </w:rPr>
        <w:t xml:space="preserve"> in particular, used this battle language as a sort of propaganda to pit one side (those within the government; frustrated conservative legislators, the Governor, and lobbyists) against the teacher unions and often times legislative Democrats and teachers themselves. By doing so, the newspapers have cast the teacher unions and the teachers within them as a sort of enemy, pitting them against society and the elected officials. As a result, the objectives of the teachers and their unions appear to be </w:t>
      </w:r>
      <w:r w:rsidR="00BC5CD8" w:rsidRPr="005D3F76">
        <w:rPr>
          <w:rFonts w:cs="Times New Roman"/>
          <w:szCs w:val="24"/>
        </w:rPr>
        <w:t>contrary</w:t>
      </w:r>
      <w:r w:rsidRPr="005D3F76">
        <w:rPr>
          <w:rFonts w:cs="Times New Roman"/>
          <w:szCs w:val="24"/>
        </w:rPr>
        <w:t xml:space="preserve"> to the wants and needs of the U.S. population; thus, creating a win or lose scenario in which any compromise with teacher unions by government officials are viewed as a loss by restricting the government’s ability to fulfill the will of their constituents.</w:t>
      </w:r>
    </w:p>
    <w:p w14:paraId="3F0C3621" w14:textId="77777777" w:rsidR="00B03557" w:rsidRPr="005D3F76" w:rsidRDefault="00B03557" w:rsidP="00103B6F">
      <w:pPr>
        <w:ind w:firstLine="720"/>
        <w:rPr>
          <w:rFonts w:cs="Times New Roman"/>
          <w:szCs w:val="24"/>
        </w:rPr>
      </w:pPr>
      <w:r w:rsidRPr="005D3F76">
        <w:rPr>
          <w:rFonts w:cs="Times New Roman"/>
          <w:szCs w:val="24"/>
        </w:rPr>
        <w:t xml:space="preserve">By settling many of the arguments within an interpretive and politically binary arena, the newspapers used particular framing of the unions and its ultimate motivations concerning the state of education within Wisconsin to help demonstrate that the unions were counter-positional. The articles showed “skirmish[es]” </w:t>
      </w:r>
      <w:r w:rsidRPr="005D3F76">
        <w:rPr>
          <w:rFonts w:cs="Times New Roman"/>
          <w:szCs w:val="24"/>
        </w:rPr>
        <w:fldChar w:fldCharType="begin"/>
      </w:r>
      <w:r w:rsidRPr="005D3F76">
        <w:rPr>
          <w:rFonts w:cs="Times New Roman"/>
          <w:szCs w:val="24"/>
        </w:rPr>
        <w:instrText xml:space="preserve"> ADDIN EN.CITE &lt;EndNote&gt;&lt;Cite&gt;&lt;Author&gt;Zweifel&lt;/Author&gt;&lt;Year&gt;2011&lt;/Year&gt;&lt;RecNum&gt;148&lt;/RecNum&gt;&lt;DisplayText&gt;(Zweifel, 2011)&lt;/DisplayText&gt;&lt;record&gt;&lt;rec-number&gt;148&lt;/rec-number&gt;&lt;foreign-keys&gt;&lt;key app="EN" db-id="etwareaz8xpxz3et59b50d9vxrata9z2w2zt" timestamp="1455742093"&gt;148&lt;/key&gt;&lt;/foreign-keys&gt;&lt;ref-type name="Newspaper Article"&gt;23&lt;/ref-type&gt;&lt;contributors&gt;&lt;authors&gt;&lt;author&gt;Dave Zweifel&lt;/author&gt;&lt;/authors&gt;&lt;/contributors&gt;&lt;titles&gt;&lt;title&gt;Walker Brings Unions Together&lt;/title&gt;&lt;secondary-title&gt;The Capital Times&lt;/secondary-title&gt;&lt;/titles&gt;&lt;pages&gt;26&lt;/pages&gt;&lt;section&gt;Plain Talk&lt;/section&gt;&lt;dates&gt;&lt;year&gt;2011&lt;/year&gt;&lt;pub-dates&gt;&lt;date&gt;December 14&lt;/date&gt;&lt;/pub-dates&gt;&lt;/dates&gt;&lt;pub-location&gt;Madison,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(Zweifel, 2011)</w:t>
      </w:r>
      <w:r w:rsidRPr="005D3F76">
        <w:rPr>
          <w:rFonts w:cs="Times New Roman"/>
          <w:szCs w:val="24"/>
        </w:rPr>
        <w:fldChar w:fldCharType="end"/>
      </w:r>
      <w:r w:rsidRPr="005D3F76">
        <w:rPr>
          <w:rFonts w:cs="Times New Roman"/>
          <w:szCs w:val="24"/>
        </w:rPr>
        <w:t xml:space="preserve">, unions being “in fight mode” </w:t>
      </w:r>
      <w:r w:rsidRPr="005D3F76">
        <w:rPr>
          <w:rFonts w:cs="Times New Roman"/>
          <w:szCs w:val="24"/>
        </w:rPr>
        <w:fldChar w:fldCharType="begin"/>
      </w:r>
      <w:r w:rsidRPr="005D3F76">
        <w:rPr>
          <w:rFonts w:cs="Times New Roman"/>
          <w:szCs w:val="24"/>
        </w:rPr>
        <w:instrText xml:space="preserve"> ADDIN EN.CITE &lt;EndNote&gt;&lt;Cite&gt;&lt;Author&gt;Rickert&lt;/Author&gt;&lt;Year&gt;2011&lt;/Year&gt;&lt;RecNum&gt;127&lt;/RecNum&gt;&lt;DisplayText&gt;(Rickert, 2011a)&lt;/DisplayText&gt;&lt;record&gt;&lt;rec-number&gt;127&lt;/rec-number&gt;&lt;foreign-keys&gt;&lt;key app="EN" db-id="etwareaz8xpxz3et59b50d9vxrata9z2w2zt" timestamp="1455584661"&gt;127&lt;/key&gt;&lt;/foreign-keys&gt;&lt;ref-type name="Newspaper Article"&gt;23&lt;/ref-type&gt;&lt;contributors&gt;&lt;authors&gt;&lt;author&gt;Chris Rickert&lt;/author&gt;&lt;/authors&gt;&lt;/contributors&gt;&lt;titles&gt;&lt;title&gt;Education Solutions Will Have to Wait&lt;/title&gt;&lt;secondary-title&gt;Wisconsin State Journal&lt;/secondary-title&gt;&lt;/titles&gt;&lt;pages&gt;A2&lt;/pages&gt;&lt;section&gt;Local&lt;/section&gt;&lt;dates&gt;&lt;year&gt;2011&lt;/year&gt;&lt;pub-dates&gt;&lt;date&gt;March 19&lt;/date&gt;&lt;/pub-dates&gt;&lt;/dates&gt;&lt;pub-location&gt;Madison,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(Rickert, 2011a)</w:t>
      </w:r>
      <w:r w:rsidRPr="005D3F76">
        <w:rPr>
          <w:rFonts w:cs="Times New Roman"/>
          <w:szCs w:val="24"/>
        </w:rPr>
        <w:fldChar w:fldCharType="end"/>
      </w:r>
      <w:r w:rsidRPr="005D3F76">
        <w:rPr>
          <w:rFonts w:cs="Times New Roman"/>
          <w:szCs w:val="24"/>
        </w:rPr>
        <w:t xml:space="preserve">, or being “thrown on the defensive” </w:t>
      </w:r>
      <w:r w:rsidRPr="005D3F76">
        <w:rPr>
          <w:rFonts w:cs="Times New Roman"/>
          <w:szCs w:val="24"/>
        </w:rPr>
        <w:fldChar w:fldCharType="begin"/>
      </w:r>
      <w:r w:rsidRPr="005D3F76">
        <w:rPr>
          <w:rFonts w:cs="Times New Roman"/>
          <w:szCs w:val="24"/>
        </w:rPr>
        <w:instrText xml:space="preserve"> ADDIN EN.CITE &lt;EndNote&gt;&lt;Cite&gt;&lt;Author&gt;Greenhouse&lt;/Author&gt;&lt;Year&gt;2012&lt;/Year&gt;&lt;RecNum&gt;92&lt;/RecNum&gt;&lt;DisplayText&gt;(Greenhouse, 2012)&lt;/DisplayText&gt;&lt;record&gt;&lt;rec-number&gt;92&lt;/rec-number&gt;&lt;foreign-keys&gt;&lt;key app="EN" db-id="etwareaz8xpxz3et59b50d9vxrata9z2w2zt" timestamp="1455565255"&gt;92&lt;/key&gt;&lt;/foreign-keys&gt;&lt;ref-type name="Newspaper Article"&gt;23&lt;/ref-type&gt;&lt;contributors&gt;&lt;authors&gt;&lt;author&gt;Steven Greenhouse&lt;/author&gt;&lt;/authors&gt;&lt;/contributors&gt;&lt;titles&gt;&lt;title&gt;In Standoff, Latest Sign of Unions Under Siege&lt;/title&gt;&lt;secondary-title&gt;The New York Times&lt;/secondary-title&gt;&lt;/titles&gt;&lt;pages&gt;1&lt;/pages&gt;&lt;section&gt;National Desk&lt;/section&gt;&lt;dates&gt;&lt;year&gt;2012&lt;/year&gt;&lt;pub-dates&gt;&lt;date&gt;September 11&lt;/date&gt;&lt;/pub-dates&gt;&lt;/dates&gt;&lt;pub-location&gt;New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(Greenhouse, 2012)</w:t>
      </w:r>
      <w:r w:rsidRPr="005D3F76">
        <w:rPr>
          <w:rFonts w:cs="Times New Roman"/>
          <w:szCs w:val="24"/>
        </w:rPr>
        <w:fldChar w:fldCharType="end"/>
      </w:r>
      <w:r w:rsidRPr="005D3F76">
        <w:rPr>
          <w:rFonts w:cs="Times New Roman"/>
          <w:szCs w:val="24"/>
        </w:rPr>
        <w:t xml:space="preserve">, all in opposition to Governor </w:t>
      </w:r>
      <w:r w:rsidRPr="005D3F76">
        <w:rPr>
          <w:rFonts w:cs="Times New Roman"/>
          <w:szCs w:val="24"/>
        </w:rPr>
        <w:lastRenderedPageBreak/>
        <w:t xml:space="preserve">Scott Walker, legislators, and reform activists. The following is discourse that is indicative of the overall battle language and oppositional positionality found within the articles: </w:t>
      </w:r>
    </w:p>
    <w:p w14:paraId="52855658" w14:textId="77777777" w:rsidR="00B03557" w:rsidRPr="005D3F76" w:rsidRDefault="00B03557" w:rsidP="001D5801">
      <w:pPr>
        <w:ind w:left="1440" w:hanging="720"/>
        <w:rPr>
          <w:rFonts w:cs="Times New Roman"/>
          <w:szCs w:val="24"/>
        </w:rPr>
      </w:pPr>
      <w:r w:rsidRPr="005D3F76">
        <w:rPr>
          <w:rFonts w:cs="Times New Roman"/>
          <w:szCs w:val="24"/>
        </w:rPr>
        <w:t xml:space="preserve">The </w:t>
      </w:r>
      <w:r w:rsidRPr="005D3F76">
        <w:rPr>
          <w:rFonts w:cs="Times New Roman"/>
          <w:szCs w:val="24"/>
          <w:u w:val="dotted"/>
        </w:rPr>
        <w:t>collateral damage</w:t>
      </w:r>
      <w:r w:rsidRPr="005D3F76">
        <w:rPr>
          <w:rFonts w:cs="Times New Roman"/>
          <w:szCs w:val="24"/>
        </w:rPr>
        <w:t xml:space="preserve"> to the morale and reputations of Wisconsin’s 60,000 or so </w:t>
      </w:r>
      <w:r w:rsidRPr="005D3F76">
        <w:rPr>
          <w:rFonts w:cs="Times New Roman"/>
          <w:szCs w:val="24"/>
          <w:u w:val="double"/>
        </w:rPr>
        <w:t>classroom teachers</w:t>
      </w:r>
      <w:r w:rsidRPr="005D3F76">
        <w:rPr>
          <w:rFonts w:cs="Times New Roman"/>
          <w:szCs w:val="24"/>
        </w:rPr>
        <w:t xml:space="preserve"> seems of no concern to </w:t>
      </w:r>
      <w:r w:rsidRPr="005D3F76">
        <w:rPr>
          <w:rFonts w:cs="Times New Roman"/>
          <w:szCs w:val="24"/>
          <w:u w:val="single"/>
        </w:rPr>
        <w:t>Walker</w:t>
      </w:r>
      <w:r w:rsidRPr="005D3F76">
        <w:rPr>
          <w:rFonts w:cs="Times New Roman"/>
          <w:szCs w:val="24"/>
        </w:rPr>
        <w:t xml:space="preserve"> and his </w:t>
      </w:r>
      <w:r w:rsidRPr="005D3F76">
        <w:rPr>
          <w:rFonts w:cs="Times New Roman"/>
          <w:szCs w:val="24"/>
          <w:u w:val="dotted"/>
        </w:rPr>
        <w:t>allies</w:t>
      </w:r>
      <w:r w:rsidRPr="005D3F76">
        <w:rPr>
          <w:rFonts w:cs="Times New Roman"/>
          <w:szCs w:val="24"/>
        </w:rPr>
        <w:t xml:space="preserve"> inside and outside the state.</w:t>
      </w:r>
    </w:p>
    <w:p w14:paraId="604E5D4F" w14:textId="77777777" w:rsidR="00B03557" w:rsidRPr="005D3F76" w:rsidRDefault="00B03557" w:rsidP="001D5801">
      <w:pPr>
        <w:ind w:left="1440" w:hanging="720"/>
        <w:rPr>
          <w:rFonts w:cs="Times New Roman"/>
          <w:szCs w:val="24"/>
        </w:rPr>
      </w:pPr>
      <w:r w:rsidRPr="005D3F76">
        <w:rPr>
          <w:rFonts w:cs="Times New Roman"/>
          <w:szCs w:val="24"/>
        </w:rPr>
        <w:t xml:space="preserve">In fact, based on recent </w:t>
      </w:r>
      <w:r w:rsidRPr="005D3F76">
        <w:rPr>
          <w:rFonts w:cs="Times New Roman"/>
          <w:szCs w:val="24"/>
          <w:u w:val="single"/>
        </w:rPr>
        <w:t>Walker</w:t>
      </w:r>
      <w:r w:rsidRPr="005D3F76">
        <w:rPr>
          <w:rFonts w:cs="Times New Roman"/>
          <w:szCs w:val="24"/>
        </w:rPr>
        <w:t xml:space="preserve"> press releases, </w:t>
      </w:r>
      <w:r w:rsidRPr="005D3F76">
        <w:rPr>
          <w:rFonts w:cs="Times New Roman"/>
          <w:szCs w:val="24"/>
          <w:u w:val="double"/>
        </w:rPr>
        <w:t>teachers and teacher unions</w:t>
      </w:r>
      <w:r w:rsidRPr="005D3F76">
        <w:rPr>
          <w:rFonts w:cs="Times New Roman"/>
          <w:szCs w:val="24"/>
        </w:rPr>
        <w:t xml:space="preserve"> remain a </w:t>
      </w:r>
      <w:r w:rsidRPr="005D3F76">
        <w:rPr>
          <w:rFonts w:cs="Times New Roman"/>
          <w:szCs w:val="24"/>
          <w:u w:val="dotted"/>
        </w:rPr>
        <w:t>prime target</w:t>
      </w:r>
      <w:r w:rsidRPr="005D3F76">
        <w:rPr>
          <w:rFonts w:cs="Times New Roman"/>
          <w:szCs w:val="24"/>
        </w:rPr>
        <w:t xml:space="preserve">. In terms of there being a </w:t>
      </w:r>
      <w:r w:rsidRPr="005D3F76">
        <w:rPr>
          <w:rFonts w:cs="Times New Roman"/>
          <w:szCs w:val="24"/>
          <w:u w:val="dotted"/>
        </w:rPr>
        <w:t>bull’s-eye</w:t>
      </w:r>
      <w:r w:rsidRPr="005D3F76">
        <w:rPr>
          <w:rFonts w:cs="Times New Roman"/>
          <w:szCs w:val="24"/>
        </w:rPr>
        <w:t xml:space="preserve"> on </w:t>
      </w:r>
      <w:r w:rsidRPr="005D3F76">
        <w:rPr>
          <w:rFonts w:cs="Times New Roman"/>
          <w:szCs w:val="24"/>
          <w:u w:val="double"/>
        </w:rPr>
        <w:t>teachers’ backs</w:t>
      </w:r>
      <w:r w:rsidRPr="005D3F76">
        <w:rPr>
          <w:rFonts w:cs="Times New Roman"/>
          <w:szCs w:val="24"/>
        </w:rPr>
        <w:t>, just consider last week.</w:t>
      </w:r>
    </w:p>
    <w:p w14:paraId="395E9CC1" w14:textId="77777777" w:rsidR="00B03557" w:rsidRPr="005D3F76" w:rsidRDefault="00B03557" w:rsidP="001D5801">
      <w:pPr>
        <w:ind w:left="1440" w:hanging="720"/>
        <w:rPr>
          <w:rFonts w:cs="Times New Roman"/>
          <w:szCs w:val="24"/>
        </w:rPr>
      </w:pPr>
      <w:r w:rsidRPr="005D3F76">
        <w:rPr>
          <w:rFonts w:cs="Times New Roman"/>
          <w:szCs w:val="24"/>
        </w:rPr>
        <w:t>…</w:t>
      </w:r>
      <w:r w:rsidRPr="005D3F76">
        <w:rPr>
          <w:rFonts w:cs="Times New Roman"/>
          <w:szCs w:val="24"/>
          <w:u w:val="single"/>
        </w:rPr>
        <w:t>moderate Republican[s]</w:t>
      </w:r>
      <w:r w:rsidRPr="005D3F76">
        <w:rPr>
          <w:rFonts w:cs="Times New Roman"/>
          <w:szCs w:val="24"/>
        </w:rPr>
        <w:t xml:space="preserve"> wanted </w:t>
      </w:r>
      <w:r w:rsidRPr="005D3F76">
        <w:rPr>
          <w:rFonts w:cs="Times New Roman"/>
          <w:szCs w:val="24"/>
          <w:u w:val="dotted"/>
        </w:rPr>
        <w:t>to win</w:t>
      </w:r>
      <w:r w:rsidRPr="005D3F76">
        <w:rPr>
          <w:rFonts w:cs="Times New Roman"/>
          <w:szCs w:val="24"/>
        </w:rPr>
        <w:t xml:space="preserve">. I suggest the </w:t>
      </w:r>
      <w:r w:rsidRPr="005D3F76">
        <w:rPr>
          <w:rFonts w:cs="Times New Roman"/>
          <w:szCs w:val="24"/>
          <w:u w:val="single"/>
        </w:rPr>
        <w:t>new Republican</w:t>
      </w:r>
      <w:r w:rsidRPr="005D3F76">
        <w:rPr>
          <w:rFonts w:cs="Times New Roman"/>
          <w:szCs w:val="24"/>
        </w:rPr>
        <w:t xml:space="preserve"> politics is to </w:t>
      </w:r>
      <w:r w:rsidRPr="005D3F76">
        <w:rPr>
          <w:rFonts w:cs="Times New Roman"/>
          <w:szCs w:val="24"/>
          <w:u w:val="dotted"/>
        </w:rPr>
        <w:t>crush the opposition</w:t>
      </w:r>
      <w:r w:rsidRPr="005D3F76">
        <w:rPr>
          <w:rFonts w:cs="Times New Roman"/>
          <w:szCs w:val="24"/>
        </w:rPr>
        <w:t xml:space="preserve"> permanently. </w:t>
      </w:r>
      <w:r w:rsidRPr="005D3F76">
        <w:rPr>
          <w:rFonts w:cs="Times New Roman"/>
          <w:szCs w:val="24"/>
        </w:rPr>
        <w:fldChar w:fldCharType="begin"/>
      </w:r>
      <w:r w:rsidRPr="005D3F76">
        <w:rPr>
          <w:rFonts w:cs="Times New Roman"/>
          <w:szCs w:val="24"/>
        </w:rPr>
        <w:instrText xml:space="preserve"> ADDIN EN.CITE &lt;EndNote&gt;&lt;Cite&gt;&lt;Author&gt;Fanlund&lt;/Author&gt;&lt;Year&gt;2014&lt;/Year&gt;&lt;RecNum&gt;134&lt;/RecNum&gt;&lt;DisplayText&gt;(Fanlund, 2014)&lt;/DisplayText&gt;&lt;record&gt;&lt;rec-number&gt;134&lt;/rec-number&gt;&lt;foreign-keys&gt;&lt;key app="EN" db-id="etwareaz8xpxz3et59b50d9vxrata9z2w2zt" timestamp="1455740830"&gt;134&lt;/key&gt;&lt;/foreign-keys&gt;&lt;ref-type name="Newspaper Article"&gt;23&lt;/ref-type&gt;&lt;contributors&gt;&lt;authors&gt;&lt;author&gt;Paul Fanlund&lt;/author&gt;&lt;/authors&gt;&lt;/contributors&gt;&lt;titles&gt;&lt;title&gt;Is Wisconsin Destined to be a Rust Belt Backwater?: Editor&amp;apos;s Column&lt;/title&gt;&lt;secondary-title&gt;The Capital Times&lt;/secondary-title&gt;&lt;/titles&gt;&lt;pages&gt;7&lt;/pages&gt;&lt;section&gt;Editors Column&lt;/section&gt;&lt;dates&gt;&lt;year&gt;2014&lt;/year&gt;&lt;pub-dates&gt;&lt;date&gt;December 31&lt;/date&gt;&lt;/pub-dates&gt;&lt;/dates&gt;&lt;pub-location&gt;Madison,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(Fanlund, 2014)</w:t>
      </w:r>
      <w:r w:rsidRPr="005D3F76">
        <w:rPr>
          <w:rFonts w:cs="Times New Roman"/>
          <w:szCs w:val="24"/>
        </w:rPr>
        <w:fldChar w:fldCharType="end"/>
      </w:r>
      <w:r w:rsidRPr="005D3F76">
        <w:rPr>
          <w:rFonts w:cs="Times New Roman"/>
          <w:szCs w:val="24"/>
        </w:rPr>
        <w:t xml:space="preserve"> </w:t>
      </w:r>
    </w:p>
    <w:p w14:paraId="7DB07805" w14:textId="77777777" w:rsidR="00B03557" w:rsidRPr="005D3F76" w:rsidRDefault="00B03557" w:rsidP="00103B6F">
      <w:pPr>
        <w:rPr>
          <w:rFonts w:cs="Times New Roman"/>
          <w:szCs w:val="24"/>
        </w:rPr>
      </w:pPr>
      <w:r w:rsidRPr="005D3F76">
        <w:rPr>
          <w:rFonts w:cs="Times New Roman"/>
          <w:szCs w:val="24"/>
        </w:rPr>
        <w:t xml:space="preserve">However, on closer inspection of the language provided within this selection from the </w:t>
      </w:r>
      <w:r w:rsidRPr="005D3F76">
        <w:rPr>
          <w:rFonts w:cs="Times New Roman"/>
          <w:i/>
          <w:szCs w:val="24"/>
        </w:rPr>
        <w:t>Cap Times</w:t>
      </w:r>
      <w:r w:rsidRPr="005D3F76">
        <w:rPr>
          <w:rFonts w:cs="Times New Roman"/>
          <w:szCs w:val="24"/>
        </w:rPr>
        <w:t>, it can be seen that the terms underlined by the dotted line lend themselves to establishing a battle or war between the different sides in this fight concerning public sector/teacher unions. Phrases, such as, ‘collateral damage’ and ‘prime target’ bring forth the connotation of discourse that is used within the realm of the military and embattlement.  Further, the single underlined discourse, such as, Walker and other governmental entities (Republicans, etc.), denote one side of this battle, with the double underlined terms standing for their opposition—the teachers and their unions.</w:t>
      </w:r>
    </w:p>
    <w:p w14:paraId="75F944D6" w14:textId="77777777" w:rsidR="00B03557" w:rsidRPr="005D3F76" w:rsidRDefault="00B03557" w:rsidP="00103B6F">
      <w:pPr>
        <w:ind w:firstLine="720"/>
        <w:rPr>
          <w:rFonts w:cs="Times New Roman"/>
          <w:szCs w:val="24"/>
        </w:rPr>
      </w:pPr>
      <w:r w:rsidRPr="005D3F76">
        <w:rPr>
          <w:rFonts w:cs="Times New Roman"/>
          <w:szCs w:val="24"/>
        </w:rPr>
        <w:t xml:space="preserve">Constructions of the teacher unions using the language of battle within this strand were found throughout the time period that was researched between 2011 and 2015, but were particularly noticeable following the introduction of ACT 10 legislation and its signing into law. At each point during this time frame that was from approximately January 2011 until mid-2012, the authors and editors writing for the newspapers chose to use episodic framing of teacher and </w:t>
      </w:r>
      <w:r w:rsidRPr="005D3F76">
        <w:rPr>
          <w:rFonts w:cs="Times New Roman"/>
          <w:szCs w:val="24"/>
        </w:rPr>
        <w:lastRenderedPageBreak/>
        <w:t>other public sector unions (firefighters, police officers, government office workers, etc.). The episodic framing that was used often confronted the teacher unions prevailing discourses and their political motives, which often times did not bode well for them. These prevailing discourses described: lazy teachers, outdated tenure and seniority rights, teacher professionalism and merit based pay, along with an unwillingness to support reform efforts (these topics will be discussed later). Within these prevailing discourses were nestled the political motives that the media seemed to inscribed to the teacher unions themselves. These political motives often times were described in conjunction with principles that were part of the Democratic Party’s platform</w:t>
      </w:r>
      <w:r w:rsidRPr="005D3F76">
        <w:rPr>
          <w:rStyle w:val="EndnoteReference"/>
          <w:rFonts w:cs="Times New Roman"/>
          <w:szCs w:val="24"/>
        </w:rPr>
        <w:endnoteReference w:id="28"/>
      </w:r>
      <w:r w:rsidRPr="005D3F76">
        <w:rPr>
          <w:rFonts w:cs="Times New Roman"/>
          <w:szCs w:val="24"/>
        </w:rPr>
        <w:t xml:space="preserve">, thus the media’s predilection was to create opposition between not only the unions and the republican legislators, but to describe a battleground between the two political parties, using the teacher unions as fodder. In one article in the </w:t>
      </w:r>
      <w:r w:rsidRPr="005D3F76">
        <w:rPr>
          <w:rFonts w:cs="Times New Roman"/>
          <w:i/>
          <w:szCs w:val="24"/>
        </w:rPr>
        <w:t>Cap Times</w:t>
      </w:r>
      <w:r w:rsidRPr="005D3F76">
        <w:rPr>
          <w:rFonts w:cs="Times New Roman"/>
          <w:szCs w:val="24"/>
        </w:rPr>
        <w:t xml:space="preserve"> titled “Hey Guilty Liberals, How About Ok For Madison Prep?” the battle language within the establishment of the political discourse can be seen in the following:</w:t>
      </w:r>
    </w:p>
    <w:p w14:paraId="76D2AAAB" w14:textId="69D88B39" w:rsidR="00B03557" w:rsidRPr="005D3F76" w:rsidRDefault="00B03557" w:rsidP="001B1E2A">
      <w:pPr>
        <w:ind w:firstLine="720"/>
        <w:rPr>
          <w:rFonts w:cs="Times New Roman"/>
          <w:szCs w:val="24"/>
        </w:rPr>
      </w:pPr>
      <w:r w:rsidRPr="005D3F76">
        <w:rPr>
          <w:rFonts w:cs="Times New Roman"/>
          <w:szCs w:val="24"/>
        </w:rPr>
        <w:t xml:space="preserve">Marj Passman encouraged a John Nichols protégé named Sarah Manski to force a </w:t>
      </w:r>
    </w:p>
    <w:p w14:paraId="0AEA55BD" w14:textId="77777777" w:rsidR="00B03557" w:rsidRPr="005D3F76" w:rsidRDefault="00B03557" w:rsidP="001B1E2A">
      <w:pPr>
        <w:ind w:left="1440" w:hanging="720"/>
        <w:rPr>
          <w:rFonts w:cs="Times New Roman"/>
          <w:szCs w:val="24"/>
        </w:rPr>
      </w:pPr>
      <w:r w:rsidRPr="005D3F76">
        <w:rPr>
          <w:rFonts w:cs="Times New Roman"/>
          <w:szCs w:val="24"/>
        </w:rPr>
        <w:tab/>
        <w:t xml:space="preserve">Primary. Democratic power brokers from Kenosha and Milwaukee endorsed her. Why? Because Madison Prep would have been non-union. In the liberal pecking order, union privileges trump education reform…almost anyone who supported Madison Prep has been labeled the enemy because communities of color are asking for a better future for their children. </w:t>
      </w:r>
      <w:r w:rsidRPr="005D3F76">
        <w:rPr>
          <w:rFonts w:cs="Times New Roman"/>
          <w:szCs w:val="24"/>
        </w:rPr>
        <w:fldChar w:fldCharType="begin"/>
      </w:r>
      <w:r w:rsidRPr="005D3F76">
        <w:rPr>
          <w:rFonts w:cs="Times New Roman"/>
          <w:szCs w:val="24"/>
        </w:rPr>
        <w:instrText xml:space="preserve"> ADDIN EN.CITE &lt;EndNote&gt;&lt;Cite&gt;&lt;Author&gt;Blaska&lt;/Author&gt;&lt;Year&gt;2014&lt;/Year&gt;&lt;RecNum&gt;138&lt;/RecNum&gt;&lt;DisplayText&gt;(Blaska, 2014)&lt;/DisplayText&gt;&lt;record&gt;&lt;rec-number&gt;138&lt;/rec-number&gt;&lt;foreign-keys&gt;&lt;key app="EN" db-id="etwareaz8xpxz3et59b50d9vxrata9z2w2zt" timestamp="1455741214"&gt;138&lt;/key&gt;&lt;/foreign-keys&gt;&lt;ref-type name="Newspaper Article"&gt;23&lt;/ref-type&gt;&lt;contributors&gt;&lt;authors&gt;&lt;author&gt;Dave Blaska&lt;/author&gt;&lt;/authors&gt;&lt;/contributors&gt;&lt;titles&gt;&lt;title&gt;Hey, Guilty Liberals, How About OK for Madison Prep?&lt;/title&gt;&lt;secondary-title&gt;The Capital Times&lt;/secondary-title&gt;&lt;/titles&gt;&lt;pages&gt;29&lt;/pages&gt;&lt;section&gt;All Edition&lt;/section&gt;&lt;dates&gt;&lt;year&gt;2014&lt;/year&gt;&lt;pub-dates&gt;&lt;date&gt;January 22&lt;/date&gt;&lt;/pub-dates&gt;&lt;/dates&gt;&lt;pub-location&gt;Madison,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(Blaska, 2014)</w:t>
      </w:r>
      <w:r w:rsidRPr="005D3F76">
        <w:rPr>
          <w:rFonts w:cs="Times New Roman"/>
          <w:szCs w:val="24"/>
        </w:rPr>
        <w:fldChar w:fldCharType="end"/>
      </w:r>
    </w:p>
    <w:p w14:paraId="5AE7F1A0" w14:textId="77777777" w:rsidR="00B03557" w:rsidRPr="005D3F76" w:rsidRDefault="00B03557" w:rsidP="00103B6F">
      <w:pPr>
        <w:rPr>
          <w:rFonts w:cs="Times New Roman"/>
          <w:szCs w:val="24"/>
        </w:rPr>
      </w:pPr>
      <w:r w:rsidRPr="005D3F76">
        <w:rPr>
          <w:rFonts w:cs="Times New Roman"/>
          <w:szCs w:val="24"/>
        </w:rPr>
        <w:t>Interpretations of the public sector unions, in particular the teacher unions, symbolized what was understood to be the junction</w:t>
      </w:r>
      <w:r w:rsidRPr="005D3F76">
        <w:rPr>
          <w:rStyle w:val="EndnoteReference"/>
          <w:rFonts w:cs="Times New Roman"/>
          <w:szCs w:val="24"/>
        </w:rPr>
        <w:endnoteReference w:id="29"/>
      </w:r>
      <w:r w:rsidRPr="005D3F76">
        <w:rPr>
          <w:rFonts w:cs="Times New Roman"/>
          <w:szCs w:val="24"/>
        </w:rPr>
        <w:t xml:space="preserve"> faced by teacher unions within the new; more conservative policy making environment where laws like ACT 10 are being formulated and put into law </w:t>
      </w:r>
      <w:r w:rsidRPr="005D3F76">
        <w:rPr>
          <w:rFonts w:cs="Times New Roman"/>
          <w:szCs w:val="24"/>
        </w:rPr>
        <w:fldChar w:fldCharType="begin"/>
      </w:r>
      <w:r w:rsidRPr="005D3F76">
        <w:rPr>
          <w:rFonts w:cs="Times New Roman"/>
          <w:szCs w:val="24"/>
        </w:rPr>
        <w:instrText xml:space="preserve"> ADDIN EN.CITE &lt;EndNote&gt;&lt;Cite&gt;&lt;Author&gt;Colvin&lt;/Author&gt;&lt;Year&gt;2015&lt;/Year&gt;&lt;RecNum&gt;104&lt;/RecNum&gt;&lt;DisplayText&gt;(Colvin &amp;amp; Bauer, 2015)&lt;/DisplayText&gt;&lt;record&gt;&lt;rec-number&gt;104&lt;/rec-number&gt;&lt;foreign-keys&gt;&lt;key app="EN" db-id="etwareaz8xpxz3et59b50d9vxrata9z2w2zt" timestamp="1455577482"&gt;104&lt;/key&gt;&lt;/foreign-keys&gt;&lt;ref-type name="Newspaper Article"&gt;23&lt;/ref-type&gt;&lt;contributors&gt;&lt;authors&gt;&lt;author&gt;Jill Colvin&lt;/author&gt;&lt;author&gt;Scott Bauer&lt;/author&gt;&lt;/authors&gt;&lt;/contributors&gt;&lt;titles&gt;&lt;title&gt;Walker, Christie Take Different Paths on Union Issues&lt;/title&gt;&lt;secondary-title&gt;Wisconsin State Jounral&lt;/secondary-title&gt;&lt;/titles&gt;&lt;pages&gt;A9&lt;/pages&gt;&lt;section&gt;Local&lt;/section&gt;&lt;dates&gt;&lt;year&gt;2015&lt;/year&gt;&lt;pub-dates&gt;&lt;date&gt;Feburary 26&lt;/date&gt;&lt;/pub-dates&gt;&lt;/dates&gt;&lt;pub-location&gt;Madison,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(Colvin &amp; Bauer, 2015)</w:t>
      </w:r>
      <w:r w:rsidRPr="005D3F76">
        <w:rPr>
          <w:rFonts w:cs="Times New Roman"/>
          <w:szCs w:val="24"/>
        </w:rPr>
        <w:fldChar w:fldCharType="end"/>
      </w:r>
      <w:r w:rsidRPr="005D3F76">
        <w:rPr>
          <w:rFonts w:cs="Times New Roman"/>
          <w:szCs w:val="24"/>
        </w:rPr>
        <w:t xml:space="preserve">. </w:t>
      </w:r>
      <w:r w:rsidRPr="005D3F76">
        <w:rPr>
          <w:rFonts w:cs="Times New Roman"/>
          <w:i/>
          <w:szCs w:val="24"/>
        </w:rPr>
        <w:t xml:space="preserve"> </w:t>
      </w:r>
      <w:r w:rsidRPr="005D3F76">
        <w:rPr>
          <w:rFonts w:cs="Times New Roman"/>
          <w:szCs w:val="24"/>
        </w:rPr>
        <w:t xml:space="preserve">By the media creating a firestorm with such political discourse concerning teacher </w:t>
      </w:r>
      <w:r w:rsidRPr="005D3F76">
        <w:rPr>
          <w:rFonts w:cs="Times New Roman"/>
          <w:szCs w:val="24"/>
        </w:rPr>
        <w:lastRenderedPageBreak/>
        <w:t>unions, it is not difficult to see how and why some citizens within society would begin to see the unions as detrimental to the furthering of education.</w:t>
      </w:r>
    </w:p>
    <w:p w14:paraId="0F2D6949" w14:textId="77777777" w:rsidR="00B03557" w:rsidRPr="005D3F76" w:rsidRDefault="00B03557" w:rsidP="00103B6F">
      <w:pPr>
        <w:ind w:firstLine="720"/>
        <w:rPr>
          <w:rFonts w:cs="Times New Roman"/>
          <w:szCs w:val="24"/>
        </w:rPr>
      </w:pPr>
      <w:r w:rsidRPr="005D3F76">
        <w:rPr>
          <w:rFonts w:cs="Times New Roman"/>
          <w:szCs w:val="24"/>
        </w:rPr>
        <w:t xml:space="preserve">The interesting point concerning the junction was how much time was spent by these newspaper writers on drawing out into the public what was happening in Wisconsin to the public sector unions. By drawing this battle concerning public sector unions out into the larger public with the media, the battle in Wisconsin was consequentially drawn out to the rest of the U.S.  The </w:t>
      </w:r>
      <w:r w:rsidRPr="005D3F76">
        <w:rPr>
          <w:rFonts w:cs="Times New Roman"/>
          <w:i/>
          <w:szCs w:val="24"/>
        </w:rPr>
        <w:t>WSJ</w:t>
      </w:r>
      <w:r w:rsidRPr="005D3F76">
        <w:rPr>
          <w:rFonts w:cs="Times New Roman"/>
          <w:szCs w:val="24"/>
        </w:rPr>
        <w:t xml:space="preserve"> signified the importance of this juncture for public sector unions in 2015 when Governor Walker helped to pass legislation making Wisconsin a right-to-work</w:t>
      </w:r>
      <w:r w:rsidRPr="005D3F76">
        <w:rPr>
          <w:rStyle w:val="EndnoteReference"/>
          <w:rFonts w:cs="Times New Roman"/>
          <w:szCs w:val="24"/>
        </w:rPr>
        <w:endnoteReference w:id="30"/>
      </w:r>
      <w:r w:rsidRPr="005D3F76">
        <w:rPr>
          <w:rFonts w:cs="Times New Roman"/>
          <w:szCs w:val="24"/>
        </w:rPr>
        <w:t xml:space="preserve"> state </w:t>
      </w:r>
      <w:r w:rsidRPr="005D3F76">
        <w:rPr>
          <w:rFonts w:cs="Times New Roman"/>
          <w:szCs w:val="24"/>
        </w:rPr>
        <w:fldChar w:fldCharType="begin"/>
      </w:r>
      <w:r w:rsidRPr="005D3F76">
        <w:rPr>
          <w:rFonts w:cs="Times New Roman"/>
          <w:szCs w:val="24"/>
        </w:rPr>
        <w:instrText xml:space="preserve"> ADDIN EN.CITE &lt;EndNote&gt;&lt;Cite&gt;&lt;Author&gt;Colvin&lt;/Author&gt;&lt;Year&gt;2015&lt;/Year&gt;&lt;RecNum&gt;104&lt;/RecNum&gt;&lt;DisplayText&gt;(Colvin &amp;amp; Bauer, 2015)&lt;/DisplayText&gt;&lt;record&gt;&lt;rec-number&gt;104&lt;/rec-number&gt;&lt;foreign-keys&gt;&lt;key app="EN" db-id="etwareaz8xpxz3et59b50d9vxrata9z2w2zt" timestamp="1455577482"&gt;104&lt;/key&gt;&lt;/foreign-keys&gt;&lt;ref-type name="Newspaper Article"&gt;23&lt;/ref-type&gt;&lt;contributors&gt;&lt;authors&gt;&lt;author&gt;Jill Colvin&lt;/author&gt;&lt;author&gt;Scott Bauer&lt;/author&gt;&lt;/authors&gt;&lt;/contributors&gt;&lt;titles&gt;&lt;title&gt;Walker, Christie Take Different Paths on Union Issues&lt;/title&gt;&lt;secondary-title&gt;Wisconsin State Jounral&lt;/secondary-title&gt;&lt;/titles&gt;&lt;pages&gt;A9&lt;/pages&gt;&lt;section&gt;Local&lt;/section&gt;&lt;dates&gt;&lt;year&gt;2015&lt;/year&gt;&lt;pub-dates&gt;&lt;date&gt;Feburary 26&lt;/date&gt;&lt;/pub-dates&gt;&lt;/dates&gt;&lt;pub-location&gt;Madison,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(Colvin &amp; Bauer, 2015)</w:t>
      </w:r>
      <w:r w:rsidRPr="005D3F76">
        <w:rPr>
          <w:rFonts w:cs="Times New Roman"/>
          <w:szCs w:val="24"/>
        </w:rPr>
        <w:fldChar w:fldCharType="end"/>
      </w:r>
      <w:r w:rsidRPr="005D3F76">
        <w:rPr>
          <w:rFonts w:cs="Times New Roman"/>
          <w:szCs w:val="24"/>
        </w:rPr>
        <w:t xml:space="preserve">. Even after the initial ‘battle’ of the ACT 10 legislation was won concerning curtailing public sector unions, Governor Walker was quoted as stating “I think people in our state, just like people in America, want a fighter, as long as the people fighting are fighting for people like them” </w:t>
      </w:r>
      <w:r w:rsidRPr="005D3F76">
        <w:rPr>
          <w:rFonts w:cs="Times New Roman"/>
          <w:szCs w:val="24"/>
        </w:rPr>
        <w:fldChar w:fldCharType="begin"/>
      </w:r>
      <w:r w:rsidRPr="005D3F76">
        <w:rPr>
          <w:rFonts w:cs="Times New Roman"/>
          <w:szCs w:val="24"/>
        </w:rPr>
        <w:instrText xml:space="preserve"> ADDIN EN.CITE &lt;EndNote&gt;&lt;Cite&gt;&lt;Author&gt;Colvin&lt;/Author&gt;&lt;Year&gt;2015&lt;/Year&gt;&lt;RecNum&gt;104&lt;/RecNum&gt;&lt;DisplayText&gt;(Colvin &amp;amp; Bauer, 2015)&lt;/DisplayText&gt;&lt;record&gt;&lt;rec-number&gt;104&lt;/rec-number&gt;&lt;foreign-keys&gt;&lt;key app="EN" db-id="etwareaz8xpxz3et59b50d9vxrata9z2w2zt" timestamp="1455577482"&gt;104&lt;/key&gt;&lt;/foreign-keys&gt;&lt;ref-type name="Newspaper Article"&gt;23&lt;/ref-type&gt;&lt;contributors&gt;&lt;authors&gt;&lt;author&gt;Jill Colvin&lt;/author&gt;&lt;author&gt;Scott Bauer&lt;/author&gt;&lt;/authors&gt;&lt;/contributors&gt;&lt;titles&gt;&lt;title&gt;Walker, Christie Take Different Paths on Union Issues&lt;/title&gt;&lt;secondary-title&gt;Wisconsin State Jounral&lt;/secondary-title&gt;&lt;/titles&gt;&lt;pages&gt;A9&lt;/pages&gt;&lt;section&gt;Local&lt;/section&gt;&lt;dates&gt;&lt;year&gt;2015&lt;/year&gt;&lt;pub-dates&gt;&lt;date&gt;Feburary 26&lt;/date&gt;&lt;/pub-dates&gt;&lt;/dates&gt;&lt;pub-location&gt;Madison,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(Colvin &amp; Bauer, 2015)</w:t>
      </w:r>
      <w:r w:rsidRPr="005D3F76">
        <w:rPr>
          <w:rFonts w:cs="Times New Roman"/>
          <w:szCs w:val="24"/>
        </w:rPr>
        <w:fldChar w:fldCharType="end"/>
      </w:r>
      <w:r w:rsidRPr="005D3F76">
        <w:rPr>
          <w:rFonts w:cs="Times New Roman"/>
          <w:szCs w:val="24"/>
        </w:rPr>
        <w:t xml:space="preserve">. In response to these claims by the Governor, the only emotion and response by the three newspapers came predominantly from the </w:t>
      </w:r>
      <w:r w:rsidRPr="005D3F76">
        <w:rPr>
          <w:rFonts w:cs="Times New Roman"/>
          <w:i/>
          <w:szCs w:val="24"/>
        </w:rPr>
        <w:t>Cap Times</w:t>
      </w:r>
      <w:r w:rsidRPr="005D3F76">
        <w:rPr>
          <w:rFonts w:cs="Times New Roman"/>
          <w:szCs w:val="24"/>
        </w:rPr>
        <w:t xml:space="preserve">, which expressed hopelessness and helplessness concerning the seeming end of rights for public sector unions within the state of Wisconsin and what that meant to the future of labor. </w:t>
      </w:r>
      <w:r w:rsidRPr="005D3F76">
        <w:rPr>
          <w:rFonts w:cs="Times New Roman"/>
          <w:i/>
          <w:szCs w:val="24"/>
        </w:rPr>
        <w:t xml:space="preserve"> </w:t>
      </w:r>
      <w:r w:rsidRPr="005D3F76">
        <w:rPr>
          <w:rFonts w:cs="Times New Roman"/>
          <w:szCs w:val="24"/>
        </w:rPr>
        <w:t xml:space="preserve">And in response to this juncture it was written—“the ACT 10 train had already left the station” </w:t>
      </w:r>
      <w:r w:rsidRPr="005D3F76">
        <w:rPr>
          <w:rFonts w:cs="Times New Roman"/>
          <w:szCs w:val="24"/>
        </w:rPr>
        <w:fldChar w:fldCharType="begin"/>
      </w:r>
      <w:r w:rsidRPr="005D3F76">
        <w:rPr>
          <w:rFonts w:cs="Times New Roman"/>
          <w:szCs w:val="24"/>
        </w:rPr>
        <w:instrText xml:space="preserve"> ADDIN EN.CITE &lt;EndNote&gt;&lt;Cite&gt;&lt;Author&gt;Fanlund&lt;/Author&gt;&lt;Year&gt;2014&lt;/Year&gt;&lt;RecNum&gt;134&lt;/RecNum&gt;&lt;DisplayText&gt;(Fanlund, 2014)&lt;/DisplayText&gt;&lt;record&gt;&lt;rec-number&gt;134&lt;/rec-number&gt;&lt;foreign-keys&gt;&lt;key app="EN" db-id="etwareaz8xpxz3et59b50d9vxrata9z2w2zt" timestamp="1455740830"&gt;134&lt;/key&gt;&lt;/foreign-keys&gt;&lt;ref-type name="Newspaper Article"&gt;23&lt;/ref-type&gt;&lt;contributors&gt;&lt;authors&gt;&lt;author&gt;Paul Fanlund&lt;/author&gt;&lt;/authors&gt;&lt;/contributors&gt;&lt;titles&gt;&lt;title&gt;Is Wisconsin Destined to be a Rust Belt Backwater?: Editor&amp;apos;s Column&lt;/title&gt;&lt;secondary-title&gt;The Capital Times&lt;/secondary-title&gt;&lt;/titles&gt;&lt;pages&gt;7&lt;/pages&gt;&lt;section&gt;Editors Column&lt;/section&gt;&lt;dates&gt;&lt;year&gt;2014&lt;/year&gt;&lt;pub-dates&gt;&lt;date&gt;December 31&lt;/date&gt;&lt;/pub-dates&gt;&lt;/dates&gt;&lt;pub-location&gt;Madison,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(Fanlund, 2014)</w:t>
      </w:r>
      <w:r w:rsidRPr="005D3F76">
        <w:rPr>
          <w:rFonts w:cs="Times New Roman"/>
          <w:szCs w:val="24"/>
        </w:rPr>
        <w:fldChar w:fldCharType="end"/>
      </w:r>
      <w:r w:rsidRPr="005D3F76">
        <w:rPr>
          <w:rFonts w:cs="Times New Roman"/>
          <w:szCs w:val="24"/>
        </w:rPr>
        <w:t xml:space="preserve">. </w:t>
      </w:r>
    </w:p>
    <w:p w14:paraId="5C2CC70C" w14:textId="1EA8E385" w:rsidR="00B03557" w:rsidRPr="005D3F76" w:rsidRDefault="00B03557" w:rsidP="00103B6F">
      <w:pPr>
        <w:rPr>
          <w:rFonts w:cs="Times New Roman"/>
          <w:szCs w:val="24"/>
        </w:rPr>
      </w:pPr>
      <w:r w:rsidRPr="005D3F76">
        <w:rPr>
          <w:rFonts w:cs="Times New Roman"/>
          <w:szCs w:val="24"/>
        </w:rPr>
        <w:tab/>
        <w:t xml:space="preserve">Within the creation of the oppositional and the use of battle language, conceptual metaphors were used </w:t>
      </w:r>
      <w:r w:rsidR="008E5DB1" w:rsidRPr="005D3F76">
        <w:rPr>
          <w:rFonts w:cs="Times New Roman"/>
          <w:szCs w:val="24"/>
        </w:rPr>
        <w:t xml:space="preserve">regularly and at times seemed to me to be </w:t>
      </w:r>
      <w:r w:rsidRPr="005D3F76">
        <w:rPr>
          <w:rFonts w:cs="Times New Roman"/>
          <w:szCs w:val="24"/>
        </w:rPr>
        <w:t xml:space="preserve">in excess throughout all three levels of newspapers. Some of this may have been to catch national attention, and it did work. As my earlier story in chapter two illustrates, media outlets around the U.S were covering the unfolding demonstrations and sit-ins in Madison for weeks following the initial stories coming from Wisconsin. Nonetheless, in referring to a type of war positionality in 2011, the </w:t>
      </w:r>
      <w:r w:rsidRPr="005D3F76">
        <w:rPr>
          <w:rFonts w:cs="Times New Roman"/>
          <w:i/>
          <w:szCs w:val="24"/>
        </w:rPr>
        <w:t>Cap Times</w:t>
      </w:r>
      <w:r w:rsidRPr="005D3F76">
        <w:rPr>
          <w:rFonts w:cs="Times New Roman"/>
          <w:szCs w:val="24"/>
        </w:rPr>
        <w:t xml:space="preserve"> wrote concerning the teacher union sit-ins in the capital of Wisconsin, that “It was kind of their </w:t>
      </w:r>
      <w:r w:rsidRPr="005D3F76">
        <w:rPr>
          <w:rFonts w:cs="Times New Roman"/>
          <w:szCs w:val="24"/>
        </w:rPr>
        <w:lastRenderedPageBreak/>
        <w:t xml:space="preserve">last hurrah before [Walker] dropped the bomb” </w:t>
      </w:r>
      <w:r w:rsidRPr="005D3F76">
        <w:rPr>
          <w:rFonts w:cs="Times New Roman"/>
          <w:szCs w:val="24"/>
        </w:rPr>
        <w:fldChar w:fldCharType="begin"/>
      </w:r>
      <w:r w:rsidRPr="005D3F76">
        <w:rPr>
          <w:rFonts w:cs="Times New Roman"/>
          <w:szCs w:val="24"/>
        </w:rPr>
        <w:instrText xml:space="preserve"> ADDIN EN.CITE &lt;EndNote&gt;&lt;Cite&gt;&lt;Author&gt;Simmons&lt;/Author&gt;&lt;Year&gt;2011&lt;/Year&gt;&lt;RecNum&gt;128&lt;/RecNum&gt;&lt;DisplayText&gt;(Simmons, 2011)&lt;/DisplayText&gt;&lt;record&gt;&lt;rec-number&gt;128&lt;/rec-number&gt;&lt;foreign-keys&gt;&lt;key app="EN" db-id="etwareaz8xpxz3et59b50d9vxrata9z2w2zt" timestamp="1455584757"&gt;128&lt;/key&gt;&lt;/foreign-keys&gt;&lt;ref-type name="Newspaper Article"&gt;23&lt;/ref-type&gt;&lt;contributors&gt;&lt;authors&gt;&lt;author&gt;Dan Simmons&lt;/author&gt;&lt;/authors&gt;&lt;/contributors&gt;&lt;titles&gt;&lt;title&gt;Anatonmy of a Protest: It Began with a Simple March and Evolved into a National Fight for Labor Rights Today. We Dissect the Movement: State Budget Crisis&lt;/title&gt;&lt;secondary-title&gt;Wisconsin State Journal&lt;/secondary-title&gt;&lt;/titles&gt;&lt;pages&gt;A1&lt;/pages&gt;&lt;section&gt;Front&lt;/section&gt;&lt;dates&gt;&lt;year&gt;2011&lt;/year&gt;&lt;pub-dates&gt;&lt;date&gt;February 27&lt;/date&gt;&lt;/pub-dates&gt;&lt;/dates&gt;&lt;pub-location&gt;Madison,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(Simmons, 2011)</w:t>
      </w:r>
      <w:r w:rsidRPr="005D3F76">
        <w:rPr>
          <w:rFonts w:cs="Times New Roman"/>
          <w:szCs w:val="24"/>
        </w:rPr>
        <w:fldChar w:fldCharType="end"/>
      </w:r>
      <w:r w:rsidRPr="005D3F76">
        <w:rPr>
          <w:rFonts w:cs="Times New Roman"/>
          <w:szCs w:val="24"/>
        </w:rPr>
        <w:t xml:space="preserve">. In the </w:t>
      </w:r>
      <w:r w:rsidRPr="005D3F76">
        <w:rPr>
          <w:rFonts w:cs="Times New Roman"/>
          <w:i/>
          <w:szCs w:val="24"/>
        </w:rPr>
        <w:t>WSJ</w:t>
      </w:r>
      <w:r w:rsidRPr="005D3F76">
        <w:rPr>
          <w:rFonts w:cs="Times New Roman"/>
          <w:szCs w:val="24"/>
        </w:rPr>
        <w:t xml:space="preserve">, “This will be one hell of a battle, the weak of heart need not apply,” was written concerning the ACT 10 legislation and the fight teacher unions were facing in Wisconsin during 2012 </w:t>
      </w:r>
      <w:r w:rsidRPr="005D3F76">
        <w:rPr>
          <w:rFonts w:cs="Times New Roman"/>
          <w:szCs w:val="24"/>
        </w:rPr>
        <w:fldChar w:fldCharType="begin"/>
      </w:r>
      <w:r w:rsidRPr="005D3F76">
        <w:rPr>
          <w:rFonts w:cs="Times New Roman"/>
          <w:szCs w:val="24"/>
        </w:rPr>
        <w:instrText xml:space="preserve"> ADDIN EN.CITE &lt;EndNote&gt;&lt;Cite&gt;&lt;Author&gt;Garvey&lt;/Author&gt;&lt;Year&gt;2012&lt;/Year&gt;&lt;RecNum&gt;149&lt;/RecNum&gt;&lt;DisplayText&gt;(Garvey, 2012)&lt;/DisplayText&gt;&lt;record&gt;&lt;rec-number&gt;149&lt;/rec-number&gt;&lt;foreign-keys&gt;&lt;key app="EN" db-id="etwareaz8xpxz3et59b50d9vxrata9z2w2zt" timestamp="1455742160"&gt;149&lt;/key&gt;&lt;/foreign-keys&gt;&lt;ref-type name="Newspaper Article"&gt;23&lt;/ref-type&gt;&lt;contributors&gt;&lt;authors&gt;&lt;author&gt;Ed Garvey&lt;/author&gt;&lt;/authors&gt;&lt;/contributors&gt;&lt;titles&gt;&lt;title&gt;Dems And Labor Must Stick Together - Or Lose&lt;/title&gt;&lt;secondary-title&gt;The Capital Times&lt;/secondary-title&gt;&lt;/titles&gt;&lt;pages&gt;31&lt;/pages&gt;&lt;section&gt;All Edition&lt;/section&gt;&lt;dates&gt;&lt;year&gt;2012&lt;/year&gt;&lt;pub-dates&gt;&lt;date&gt;July 11&lt;/date&gt;&lt;/pub-dates&gt;&lt;/dates&gt;&lt;pub-location&gt;Madison,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(Garvey, 2012)</w:t>
      </w:r>
      <w:r w:rsidRPr="005D3F76">
        <w:rPr>
          <w:rFonts w:cs="Times New Roman"/>
          <w:szCs w:val="24"/>
        </w:rPr>
        <w:fldChar w:fldCharType="end"/>
      </w:r>
      <w:r w:rsidRPr="005D3F76">
        <w:rPr>
          <w:rFonts w:cs="Times New Roman"/>
          <w:szCs w:val="24"/>
        </w:rPr>
        <w:t xml:space="preserve">. </w:t>
      </w:r>
    </w:p>
    <w:p w14:paraId="3CDCF3AC" w14:textId="77777777" w:rsidR="00B03557" w:rsidRPr="005D3F76" w:rsidRDefault="00B03557" w:rsidP="00103B6F">
      <w:pPr>
        <w:rPr>
          <w:rFonts w:cs="Times New Roman"/>
          <w:szCs w:val="24"/>
        </w:rPr>
      </w:pPr>
      <w:r w:rsidRPr="005D3F76">
        <w:rPr>
          <w:rFonts w:cs="Times New Roman"/>
          <w:szCs w:val="24"/>
        </w:rPr>
        <w:tab/>
        <w:t xml:space="preserve">Although much less common, some articles framed the unions as politically savvy and worthwhile for education even within the theme of battle. For instance, in the </w:t>
      </w:r>
      <w:r w:rsidRPr="005D3F76">
        <w:rPr>
          <w:rFonts w:cs="Times New Roman"/>
          <w:i/>
          <w:szCs w:val="24"/>
        </w:rPr>
        <w:t>Cap Times</w:t>
      </w:r>
      <w:r w:rsidRPr="005D3F76">
        <w:rPr>
          <w:rFonts w:cs="Times New Roman"/>
          <w:szCs w:val="24"/>
        </w:rPr>
        <w:t>,</w:t>
      </w:r>
      <w:r w:rsidRPr="005D3F76">
        <w:rPr>
          <w:rFonts w:cs="Times New Roman"/>
          <w:i/>
          <w:szCs w:val="24"/>
        </w:rPr>
        <w:t xml:space="preserve"> </w:t>
      </w:r>
      <w:r w:rsidRPr="005D3F76">
        <w:rPr>
          <w:rFonts w:cs="Times New Roman"/>
          <w:szCs w:val="24"/>
        </w:rPr>
        <w:t>5 out of 19 articles, or 26% contained writing that framed the unions as an important part of the education system.</w:t>
      </w:r>
      <w:r w:rsidRPr="005D3F76">
        <w:rPr>
          <w:rFonts w:cs="Times New Roman"/>
          <w:i/>
          <w:szCs w:val="24"/>
        </w:rPr>
        <w:t xml:space="preserve">  </w:t>
      </w:r>
      <w:r w:rsidRPr="005D3F76">
        <w:rPr>
          <w:rFonts w:cs="Times New Roman"/>
          <w:szCs w:val="24"/>
        </w:rPr>
        <w:t xml:space="preserve">Similarly, the </w:t>
      </w:r>
      <w:r w:rsidRPr="005D3F76">
        <w:rPr>
          <w:rFonts w:cs="Times New Roman"/>
          <w:i/>
          <w:szCs w:val="24"/>
        </w:rPr>
        <w:t>Times</w:t>
      </w:r>
      <w:r w:rsidRPr="005D3F76">
        <w:rPr>
          <w:rFonts w:cs="Times New Roman"/>
          <w:szCs w:val="24"/>
        </w:rPr>
        <w:t xml:space="preserve"> contained 4 out of 19 or 21%. These instances were found most often within modalities, particularly within modalities dealing with that of obligation or desirability, and most often than not, found within the </w:t>
      </w:r>
      <w:r w:rsidRPr="005D3F76">
        <w:rPr>
          <w:rFonts w:cs="Times New Roman"/>
          <w:i/>
          <w:szCs w:val="24"/>
        </w:rPr>
        <w:t>Cap Times</w:t>
      </w:r>
      <w:r w:rsidRPr="005D3F76">
        <w:rPr>
          <w:rFonts w:cs="Times New Roman"/>
          <w:szCs w:val="24"/>
        </w:rPr>
        <w:t xml:space="preserve"> and the</w:t>
      </w:r>
      <w:r w:rsidRPr="005D3F76">
        <w:rPr>
          <w:rFonts w:cs="Times New Roman"/>
          <w:i/>
          <w:szCs w:val="24"/>
        </w:rPr>
        <w:t xml:space="preserve"> Times</w:t>
      </w:r>
      <w:r w:rsidRPr="005D3F76">
        <w:rPr>
          <w:rFonts w:cs="Times New Roman"/>
          <w:szCs w:val="24"/>
        </w:rPr>
        <w:t>. The following illustrates an example of such a modality that was used in a way that seemed to be leaning toward a more pro-union stance:</w:t>
      </w:r>
    </w:p>
    <w:p w14:paraId="68813B4E" w14:textId="6BFADE19" w:rsidR="00B03557" w:rsidRPr="005D3F76" w:rsidRDefault="00B03557" w:rsidP="001D5801">
      <w:pPr>
        <w:ind w:left="1440" w:hanging="720"/>
        <w:rPr>
          <w:rFonts w:cs="Times New Roman"/>
          <w:szCs w:val="24"/>
        </w:rPr>
      </w:pPr>
      <w:r w:rsidRPr="005D3F76">
        <w:rPr>
          <w:rFonts w:cs="Times New Roman"/>
          <w:szCs w:val="24"/>
          <w:u w:val="single"/>
        </w:rPr>
        <w:t>Rather</w:t>
      </w:r>
      <w:r w:rsidRPr="005D3F76">
        <w:rPr>
          <w:rFonts w:cs="Times New Roman"/>
          <w:szCs w:val="24"/>
        </w:rPr>
        <w:t xml:space="preserve"> than </w:t>
      </w:r>
      <w:r w:rsidRPr="005D3F76">
        <w:rPr>
          <w:rFonts w:cs="Times New Roman"/>
          <w:szCs w:val="24"/>
          <w:u w:val="single"/>
        </w:rPr>
        <w:t>declare war on unions</w:t>
      </w:r>
      <w:r w:rsidRPr="005D3F76">
        <w:rPr>
          <w:rFonts w:cs="Times New Roman"/>
          <w:szCs w:val="24"/>
        </w:rPr>
        <w:t>, we should demand a new deal with them—one that</w:t>
      </w:r>
      <w:r w:rsidR="001D5801" w:rsidRPr="005D3F76">
        <w:rPr>
          <w:rFonts w:cs="Times New Roman"/>
          <w:szCs w:val="24"/>
        </w:rPr>
        <w:t xml:space="preserve"> </w:t>
      </w:r>
      <w:r w:rsidRPr="005D3F76">
        <w:rPr>
          <w:rFonts w:cs="Times New Roman"/>
          <w:szCs w:val="24"/>
        </w:rPr>
        <w:t xml:space="preserve">reflects today’s economic realities and workplace conditions, not those of a century ago. </w:t>
      </w:r>
      <w:r w:rsidRPr="005D3F76">
        <w:rPr>
          <w:rFonts w:cs="Times New Roman"/>
          <w:szCs w:val="24"/>
          <w:u w:val="single"/>
        </w:rPr>
        <w:t>If we fail</w:t>
      </w:r>
      <w:r w:rsidRPr="005D3F76">
        <w:rPr>
          <w:rFonts w:cs="Times New Roman"/>
          <w:szCs w:val="24"/>
        </w:rPr>
        <w:t xml:space="preserve"> to do that, the fault is not in our unions, or in our stars, but in ourselves. </w:t>
      </w:r>
      <w:r w:rsidRPr="005D3F76">
        <w:rPr>
          <w:rFonts w:cs="Times New Roman"/>
          <w:szCs w:val="24"/>
        </w:rPr>
        <w:fldChar w:fldCharType="begin"/>
      </w:r>
      <w:r w:rsidRPr="005D3F76">
        <w:rPr>
          <w:rFonts w:cs="Times New Roman"/>
          <w:szCs w:val="24"/>
        </w:rPr>
        <w:instrText xml:space="preserve"> ADDIN EN.CITE &lt;EndNote&gt;&lt;Cite&gt;&lt;Author&gt;Bloomberg&lt;/Author&gt;&lt;Year&gt;2011&lt;/Year&gt;&lt;RecNum&gt;88&lt;/RecNum&gt;&lt;DisplayText&gt;(Bloomberg, 2011)&lt;/DisplayText&gt;&lt;record&gt;&lt;rec-number&gt;88&lt;/rec-number&gt;&lt;foreign-keys&gt;&lt;key app="EN" db-id="etwareaz8xpxz3et59b50d9vxrata9z2w2zt" timestamp="1455565004"&gt;88&lt;/key&gt;&lt;/foreign-keys&gt;&lt;ref-type name="Newspaper Article"&gt;23&lt;/ref-type&gt;&lt;contributors&gt;&lt;authors&gt;&lt;author&gt;Michael R. Bloomberg&lt;/author&gt;&lt;/authors&gt;&lt;/contributors&gt;&lt;titles&gt;&lt;title&gt;Limit Pay, Not Unions&lt;/title&gt;&lt;secondary-title&gt;The New York Times&lt;/secondary-title&gt;&lt;/titles&gt;&lt;pages&gt;23&lt;/pages&gt;&lt;section&gt;Editorial Desk&lt;/section&gt;&lt;dates&gt;&lt;year&gt;2011&lt;/year&gt;&lt;pub-dates&gt;&lt;date&gt;February 28&lt;/date&gt;&lt;/pub-dates&gt;&lt;/dates&gt;&lt;pub-location&gt;New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(Bloomberg, 2011)</w:t>
      </w:r>
      <w:r w:rsidRPr="005D3F76">
        <w:rPr>
          <w:rFonts w:cs="Times New Roman"/>
          <w:szCs w:val="24"/>
        </w:rPr>
        <w:fldChar w:fldCharType="end"/>
      </w:r>
    </w:p>
    <w:p w14:paraId="40CD204A" w14:textId="77777777" w:rsidR="00B03557" w:rsidRPr="005D3F76" w:rsidRDefault="00B03557" w:rsidP="00103B6F">
      <w:pPr>
        <w:rPr>
          <w:rFonts w:cs="Times New Roman"/>
          <w:szCs w:val="24"/>
        </w:rPr>
      </w:pPr>
      <w:r w:rsidRPr="005D3F76">
        <w:rPr>
          <w:rFonts w:cs="Times New Roman"/>
          <w:szCs w:val="24"/>
        </w:rPr>
        <w:t xml:space="preserve">The underlined words note a modality that was used within the passage. These modalities still harken to the ideas of battle between teacher unions and another force, presumably society and the governmental officials; but they are modalities showing compromise, not hard positionality that could be demonstrated in other articles throughout, say the </w:t>
      </w:r>
      <w:r w:rsidRPr="005D3F76">
        <w:rPr>
          <w:rFonts w:cs="Times New Roman"/>
          <w:i/>
          <w:szCs w:val="24"/>
        </w:rPr>
        <w:t>WSJ</w:t>
      </w:r>
      <w:r w:rsidRPr="005D3F76">
        <w:rPr>
          <w:rFonts w:cs="Times New Roman"/>
          <w:szCs w:val="24"/>
        </w:rPr>
        <w:t>, or even a few within the</w:t>
      </w:r>
      <w:r w:rsidRPr="005D3F76">
        <w:rPr>
          <w:rFonts w:cs="Times New Roman"/>
          <w:i/>
          <w:szCs w:val="24"/>
        </w:rPr>
        <w:t xml:space="preserve"> Cap Times</w:t>
      </w:r>
      <w:r w:rsidRPr="005D3F76">
        <w:rPr>
          <w:rFonts w:cs="Times New Roman"/>
          <w:szCs w:val="24"/>
        </w:rPr>
        <w:t>. In this way, the</w:t>
      </w:r>
      <w:r w:rsidRPr="005D3F76">
        <w:rPr>
          <w:rFonts w:cs="Times New Roman"/>
          <w:i/>
          <w:szCs w:val="24"/>
        </w:rPr>
        <w:t xml:space="preserve"> Times</w:t>
      </w:r>
      <w:r w:rsidRPr="005D3F76">
        <w:rPr>
          <w:rFonts w:cs="Times New Roman"/>
          <w:szCs w:val="24"/>
        </w:rPr>
        <w:t xml:space="preserve"> is demonstrating their willingness to establish equity in their reporting with the words they are choosing to use within their articles. However, as demonstrated statistically above, these instances were few and far between and they would show contradictions to their own language sometimes within the same articles</w:t>
      </w:r>
    </w:p>
    <w:p w14:paraId="185C8184" w14:textId="77777777" w:rsidR="00B03557" w:rsidRPr="005D3F76" w:rsidRDefault="00B03557" w:rsidP="00103B6F">
      <w:pPr>
        <w:ind w:firstLine="720"/>
        <w:rPr>
          <w:rFonts w:cs="Times New Roman"/>
          <w:szCs w:val="24"/>
        </w:rPr>
      </w:pPr>
      <w:r w:rsidRPr="005D3F76">
        <w:rPr>
          <w:rFonts w:cs="Times New Roman"/>
          <w:szCs w:val="24"/>
        </w:rPr>
        <w:lastRenderedPageBreak/>
        <w:t xml:space="preserve">A perfect contradiction can be found in this same </w:t>
      </w:r>
      <w:r w:rsidRPr="005D3F76">
        <w:rPr>
          <w:rFonts w:cs="Times New Roman"/>
          <w:i/>
          <w:szCs w:val="24"/>
        </w:rPr>
        <w:t>Times</w:t>
      </w:r>
      <w:r w:rsidRPr="005D3F76">
        <w:rPr>
          <w:rFonts w:cs="Times New Roman"/>
          <w:szCs w:val="24"/>
        </w:rPr>
        <w:t xml:space="preserve"> article; oppositional language dealing with battle between general society and teacher unions can be exemplified. For example:</w:t>
      </w:r>
    </w:p>
    <w:p w14:paraId="2FE15522" w14:textId="77777777" w:rsidR="00B03557" w:rsidRPr="005D3F76" w:rsidRDefault="00B03557" w:rsidP="00103B6F">
      <w:pPr>
        <w:ind w:left="1260" w:hanging="540"/>
        <w:rPr>
          <w:rFonts w:cs="Times New Roman"/>
          <w:szCs w:val="24"/>
        </w:rPr>
      </w:pPr>
      <w:r w:rsidRPr="005D3F76">
        <w:rPr>
          <w:rFonts w:cs="Times New Roman"/>
          <w:szCs w:val="24"/>
        </w:rPr>
        <w:t xml:space="preserve"> If contract terms or labor laws from years past no longer make sense, </w:t>
      </w:r>
      <w:r w:rsidRPr="005D3F76">
        <w:rPr>
          <w:rFonts w:cs="Times New Roman"/>
          <w:szCs w:val="24"/>
          <w:u w:val="single"/>
        </w:rPr>
        <w:t>we the people</w:t>
      </w:r>
      <w:r w:rsidRPr="005D3F76">
        <w:rPr>
          <w:rFonts w:cs="Times New Roman"/>
          <w:szCs w:val="24"/>
        </w:rPr>
        <w:t xml:space="preserve"> </w:t>
      </w:r>
      <w:r w:rsidRPr="005D3F76">
        <w:rPr>
          <w:rFonts w:cs="Times New Roman"/>
          <w:szCs w:val="24"/>
          <w:u w:val="single"/>
        </w:rPr>
        <w:t xml:space="preserve">should </w:t>
      </w:r>
      <w:r w:rsidRPr="005D3F76">
        <w:rPr>
          <w:rFonts w:cs="Times New Roman"/>
          <w:szCs w:val="24"/>
        </w:rPr>
        <w:t xml:space="preserve">renegotiate—or legislate—changes. </w:t>
      </w:r>
      <w:r w:rsidRPr="005D3F76">
        <w:rPr>
          <w:rFonts w:cs="Times New Roman"/>
          <w:szCs w:val="24"/>
        </w:rPr>
        <w:fldChar w:fldCharType="begin"/>
      </w:r>
      <w:r w:rsidRPr="005D3F76">
        <w:rPr>
          <w:rFonts w:cs="Times New Roman"/>
          <w:szCs w:val="24"/>
        </w:rPr>
        <w:instrText xml:space="preserve"> ADDIN EN.CITE &lt;EndNote&gt;&lt;Cite&gt;&lt;Author&gt;Bloomberg&lt;/Author&gt;&lt;Year&gt;2011&lt;/Year&gt;&lt;RecNum&gt;88&lt;/RecNum&gt;&lt;DisplayText&gt;(Bloomberg, 2011)&lt;/DisplayText&gt;&lt;record&gt;&lt;rec-number&gt;88&lt;/rec-number&gt;&lt;foreign-keys&gt;&lt;key app="EN" db-id="etwareaz8xpxz3et59b50d9vxrata9z2w2zt" timestamp="1455565004"&gt;88&lt;/key&gt;&lt;/foreign-keys&gt;&lt;ref-type name="Newspaper Article"&gt;23&lt;/ref-type&gt;&lt;contributors&gt;&lt;authors&gt;&lt;author&gt;Michael R. Bloomberg&lt;/author&gt;&lt;/authors&gt;&lt;/contributors&gt;&lt;titles&gt;&lt;title&gt;Limit Pay, Not Unions&lt;/title&gt;&lt;secondary-title&gt;The New York Times&lt;/secondary-title&gt;&lt;/titles&gt;&lt;pages&gt;23&lt;/pages&gt;&lt;section&gt;Editorial Desk&lt;/section&gt;&lt;dates&gt;&lt;year&gt;2011&lt;/year&gt;&lt;pub-dates&gt;&lt;date&gt;February 28&lt;/date&gt;&lt;/pub-dates&gt;&lt;/dates&gt;&lt;pub-location&gt;New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(Bloomberg, 2011)</w:t>
      </w:r>
      <w:r w:rsidRPr="005D3F76">
        <w:rPr>
          <w:rFonts w:cs="Times New Roman"/>
          <w:szCs w:val="24"/>
        </w:rPr>
        <w:fldChar w:fldCharType="end"/>
      </w:r>
      <w:r w:rsidRPr="005D3F76">
        <w:rPr>
          <w:rFonts w:cs="Times New Roman"/>
          <w:szCs w:val="24"/>
        </w:rPr>
        <w:t xml:space="preserve"> </w:t>
      </w:r>
    </w:p>
    <w:p w14:paraId="728BCB52" w14:textId="77777777" w:rsidR="00B03557" w:rsidRPr="005D3F76" w:rsidRDefault="00B03557" w:rsidP="00103B6F">
      <w:pPr>
        <w:rPr>
          <w:rFonts w:cs="Times New Roman"/>
          <w:szCs w:val="24"/>
        </w:rPr>
      </w:pPr>
      <w:r w:rsidRPr="005D3F76">
        <w:rPr>
          <w:rFonts w:cs="Times New Roman"/>
          <w:szCs w:val="24"/>
        </w:rPr>
        <w:t>In this particular passage the use of the pronoun ‘we’ indicates a referral to the general society in opposition to the teacher unions. This statement is in opposition to the above statement about supporting unions. However, this statement also contains a modality (should) that is showing an obligation or desirability concerning the unions to create exactly what was being asked for in the previous statement—a new deal. Overall, the</w:t>
      </w:r>
      <w:r w:rsidRPr="005D3F76">
        <w:rPr>
          <w:rFonts w:cs="Times New Roman"/>
          <w:i/>
          <w:szCs w:val="24"/>
        </w:rPr>
        <w:t xml:space="preserve"> Times</w:t>
      </w:r>
      <w:r w:rsidRPr="005D3F76">
        <w:rPr>
          <w:rFonts w:cs="Times New Roman"/>
          <w:szCs w:val="24"/>
        </w:rPr>
        <w:t xml:space="preserve"> in this case is generally creating a pro-union stance; or at the very least asking for a more accommodating union stance. This was not an uncommon occurrence within the</w:t>
      </w:r>
      <w:r w:rsidRPr="005D3F76">
        <w:rPr>
          <w:rFonts w:cs="Times New Roman"/>
          <w:i/>
          <w:szCs w:val="24"/>
        </w:rPr>
        <w:t xml:space="preserve"> Times</w:t>
      </w:r>
      <w:r w:rsidRPr="005D3F76">
        <w:rPr>
          <w:rFonts w:cs="Times New Roman"/>
          <w:szCs w:val="24"/>
        </w:rPr>
        <w:t xml:space="preserve">, but was more uncommon within the </w:t>
      </w:r>
      <w:r w:rsidRPr="005D3F76">
        <w:rPr>
          <w:rFonts w:cs="Times New Roman"/>
          <w:i/>
          <w:szCs w:val="24"/>
        </w:rPr>
        <w:t>Cap Times</w:t>
      </w:r>
      <w:r w:rsidRPr="005D3F76">
        <w:rPr>
          <w:rFonts w:cs="Times New Roman"/>
          <w:szCs w:val="24"/>
        </w:rPr>
        <w:t xml:space="preserve"> and the </w:t>
      </w:r>
      <w:r w:rsidRPr="005D3F76">
        <w:rPr>
          <w:rFonts w:cs="Times New Roman"/>
          <w:i/>
          <w:szCs w:val="24"/>
        </w:rPr>
        <w:t>WSJ</w:t>
      </w:r>
      <w:r w:rsidRPr="005D3F76">
        <w:rPr>
          <w:rFonts w:cs="Times New Roman"/>
          <w:szCs w:val="24"/>
        </w:rPr>
        <w:t xml:space="preserve">.   </w:t>
      </w:r>
    </w:p>
    <w:p w14:paraId="7803FE0C" w14:textId="62DA2B4B" w:rsidR="00B03557" w:rsidRPr="005D3F76" w:rsidRDefault="00B03557" w:rsidP="00103B6F">
      <w:pPr>
        <w:ind w:firstLine="720"/>
        <w:rPr>
          <w:rFonts w:cs="Times New Roman"/>
          <w:szCs w:val="24"/>
        </w:rPr>
      </w:pPr>
      <w:r w:rsidRPr="005D3F76">
        <w:rPr>
          <w:rFonts w:cs="Times New Roman"/>
          <w:szCs w:val="24"/>
        </w:rPr>
        <w:t xml:space="preserve">It is interesting to note that it initially appeared that for the most part, the </w:t>
      </w:r>
      <w:r w:rsidRPr="005D3F76">
        <w:rPr>
          <w:rFonts w:cs="Times New Roman"/>
          <w:i/>
          <w:szCs w:val="24"/>
        </w:rPr>
        <w:t>Cap Times</w:t>
      </w:r>
      <w:r w:rsidRPr="005D3F76">
        <w:rPr>
          <w:rFonts w:cs="Times New Roman"/>
          <w:szCs w:val="24"/>
        </w:rPr>
        <w:t xml:space="preserve"> and the</w:t>
      </w:r>
      <w:r w:rsidRPr="005D3F76">
        <w:rPr>
          <w:rFonts w:cs="Times New Roman"/>
          <w:i/>
          <w:szCs w:val="24"/>
        </w:rPr>
        <w:t xml:space="preserve"> Times</w:t>
      </w:r>
      <w:r w:rsidRPr="005D3F76">
        <w:rPr>
          <w:rFonts w:cs="Times New Roman"/>
          <w:szCs w:val="24"/>
        </w:rPr>
        <w:t xml:space="preserve"> were largely reporting the news as un-biased and without overtly exaggerated reporting. Whereas, the </w:t>
      </w:r>
      <w:r w:rsidRPr="005D3F76">
        <w:rPr>
          <w:rFonts w:cs="Times New Roman"/>
          <w:i/>
          <w:szCs w:val="24"/>
        </w:rPr>
        <w:t xml:space="preserve">WSJ </w:t>
      </w:r>
      <w:r w:rsidRPr="005D3F76">
        <w:rPr>
          <w:rFonts w:cs="Times New Roman"/>
          <w:szCs w:val="24"/>
        </w:rPr>
        <w:t xml:space="preserve">seemed to be extremely anti-union, especially in the initial reading and coding that was performed. However, after conducting the CDA analysis and realizing how much of the language led to this idea of ‘battling’ and ‘fighting’, I began to understand that the discourse, even if it appeared neutral, or pro-union on the surface, seemed to be inciting a predilection for a stoppage of what they deemed as too powerful of unions within Wisconsin </w:t>
      </w:r>
      <w:r w:rsidRPr="005D3F76">
        <w:rPr>
          <w:rFonts w:cs="Times New Roman"/>
          <w:szCs w:val="24"/>
        </w:rPr>
        <w:fldChar w:fldCharType="begin"/>
      </w:r>
      <w:r w:rsidRPr="005D3F76">
        <w:rPr>
          <w:rFonts w:cs="Times New Roman"/>
          <w:szCs w:val="24"/>
        </w:rPr>
        <w:instrText xml:space="preserve"> ADDIN EN.CITE &lt;EndNote&gt;&lt;Cite&gt;&lt;Author&gt;Piazza&lt;/Author&gt;&lt;Year&gt;2014&lt;/Year&gt;&lt;RecNum&gt;253&lt;/RecNum&gt;&lt;DisplayText&gt;(Piazza, 2014a)&lt;/DisplayText&gt;&lt;record&gt;&lt;rec-number&gt;253&lt;/rec-number&gt;&lt;foreign-keys&gt;&lt;key app="EN" db-id="etwareaz8xpxz3et59b50d9vxrata9z2w2zt" timestamp="1464641452"&gt;253&lt;/key&gt;&lt;/foreign-keys&gt;&lt;ref-type name="Journal Article"&gt;17&lt;/ref-type&gt;&lt;contributors&gt;&lt;authors&gt;&lt;author&gt;Peter Piazza&lt;/author&gt;&lt;/authors&gt;&lt;/contributors&gt;&lt;titles&gt;&lt;title&gt;The Media Got it Wrong! A Critical Discourse Analysis of Change to the Educational Policy Making Arena&lt;/title&gt;&lt;secondary-title&gt;education policy analysis archives&lt;/secondary-title&gt;&lt;/titles&gt;&lt;periodical&gt;&lt;full-title&gt;education policy analysis archives&lt;/full-title&gt;&lt;/periodical&gt;&lt;pages&gt;1-23&lt;/pages&gt;&lt;volume&gt;22&lt;/volume&gt;&lt;number&gt;36&lt;/number&gt;&lt;dates&gt;&lt;year&gt;2014&lt;/year&gt;&lt;/dates&gt;&lt;urls&gt;&lt;/urls&gt;&lt;/record&gt;&lt;/Cite&gt;&lt;/EndNote&gt;</w:instrText>
      </w:r>
      <w:r w:rsidRPr="005D3F76">
        <w:rPr>
          <w:rFonts w:cs="Times New Roman"/>
          <w:szCs w:val="24"/>
        </w:rPr>
        <w:fldChar w:fldCharType="separate"/>
      </w:r>
      <w:r w:rsidRPr="005D3F76">
        <w:rPr>
          <w:rFonts w:cs="Times New Roman"/>
          <w:noProof/>
          <w:szCs w:val="24"/>
        </w:rPr>
        <w:t>(Piazza, 2014a)</w:t>
      </w:r>
      <w:r w:rsidRPr="005D3F76">
        <w:rPr>
          <w:rFonts w:cs="Times New Roman"/>
          <w:szCs w:val="24"/>
        </w:rPr>
        <w:fldChar w:fldCharType="end"/>
      </w:r>
      <w:r w:rsidRPr="005D3F76">
        <w:rPr>
          <w:rFonts w:cs="Times New Roman"/>
          <w:szCs w:val="24"/>
        </w:rPr>
        <w:t xml:space="preserve">. Again, this is something that good newspapers are very good at; pulling their readers into the article by getting them to feel emotionally invested in what is being discussed </w:t>
      </w:r>
      <w:r w:rsidRPr="005D3F76">
        <w:rPr>
          <w:rFonts w:cs="Times New Roman"/>
          <w:szCs w:val="24"/>
        </w:rPr>
        <w:fldChar w:fldCharType="begin"/>
      </w:r>
      <w:r w:rsidRPr="005D3F76">
        <w:rPr>
          <w:rFonts w:cs="Times New Roman"/>
          <w:szCs w:val="24"/>
        </w:rPr>
        <w:instrText xml:space="preserve"> ADDIN EN.CITE &lt;EndNote&gt;&lt;Cite&gt;&lt;Author&gt;Fairclough&lt;/Author&gt;&lt;Year&gt;1995&lt;/Year&gt;&lt;RecNum&gt;158&lt;/RecNum&gt;&lt;DisplayText&gt;(Norman Fairclough, 1995)&lt;/DisplayText&gt;&lt;record&gt;&lt;rec-number&gt;158&lt;/rec-number&gt;&lt;foreign-keys&gt;&lt;key app="EN" db-id="etwareaz8xpxz3et59b50d9vxrata9z2w2zt" timestamp="1456695522"&gt;158&lt;/key&gt;&lt;/foreign-keys&gt;&lt;ref-type name="Book"&gt;6&lt;/ref-type&gt;&lt;contributors&gt;&lt;authors&gt;&lt;author&gt;Norman Fairclough&lt;/author&gt;&lt;/authors&gt;&lt;/contributors&gt;&lt;titles&gt;&lt;title&gt;Media Discourse&lt;/title&gt;&lt;/titles&gt;&lt;dates&gt;&lt;year&gt;1995&lt;/year&gt;&lt;/dates&gt;&lt;pub-location&gt;New York&lt;/pub-location&gt;&lt;publisher&gt;St. Martin&amp;apos;s Press Inc&lt;/publisher&gt;&lt;urls&gt;&lt;/urls&gt;&lt;/record&gt;&lt;/Cite&gt;&lt;/EndNote&gt;</w:instrText>
      </w:r>
      <w:r w:rsidRPr="005D3F76">
        <w:rPr>
          <w:rFonts w:cs="Times New Roman"/>
          <w:szCs w:val="24"/>
        </w:rPr>
        <w:fldChar w:fldCharType="separate"/>
      </w:r>
      <w:r w:rsidRPr="005D3F76">
        <w:rPr>
          <w:rFonts w:cs="Times New Roman"/>
          <w:noProof/>
          <w:szCs w:val="24"/>
        </w:rPr>
        <w:t>(Norman Fairclough, 1995)</w:t>
      </w:r>
      <w:r w:rsidRPr="005D3F76">
        <w:rPr>
          <w:rFonts w:cs="Times New Roman"/>
          <w:szCs w:val="24"/>
        </w:rPr>
        <w:fldChar w:fldCharType="end"/>
      </w:r>
      <w:r w:rsidRPr="005D3F76">
        <w:rPr>
          <w:rFonts w:cs="Times New Roman"/>
          <w:szCs w:val="24"/>
        </w:rPr>
        <w:t xml:space="preserve">.  These newspapers within this strand concerning embattlement between unionizers and anti-unionizers wanted to choose a clear winner and loser, much like </w:t>
      </w:r>
      <w:r w:rsidRPr="005D3F76">
        <w:rPr>
          <w:rFonts w:cs="Times New Roman"/>
          <w:szCs w:val="24"/>
        </w:rPr>
        <w:lastRenderedPageBreak/>
        <w:t>there would be in a war. This was a surprising revelation during this research because I began to ask myself: Is there in fact a real winner in this situation? Should there be?</w:t>
      </w:r>
      <w:r w:rsidRPr="005D3F76">
        <w:rPr>
          <w:rFonts w:cs="Times New Roman"/>
          <w:szCs w:val="24"/>
        </w:rPr>
        <w:tab/>
        <w:t xml:space="preserve"> </w:t>
      </w:r>
      <w:r w:rsidRPr="005D3F76">
        <w:rPr>
          <w:rFonts w:cs="Times New Roman"/>
          <w:szCs w:val="24"/>
        </w:rPr>
        <w:tab/>
      </w:r>
    </w:p>
    <w:p w14:paraId="4C361CE7" w14:textId="77777777" w:rsidR="00B03557" w:rsidRPr="005D3F76" w:rsidRDefault="00B03557" w:rsidP="00103B6F">
      <w:pPr>
        <w:ind w:firstLine="720"/>
        <w:rPr>
          <w:rFonts w:cs="Times New Roman"/>
          <w:szCs w:val="24"/>
        </w:rPr>
      </w:pPr>
      <w:r w:rsidRPr="005D3F76">
        <w:rPr>
          <w:rFonts w:cs="Times New Roman"/>
          <w:szCs w:val="24"/>
        </w:rPr>
        <w:t xml:space="preserve">Even after late 2012, the language of battle continued in the </w:t>
      </w:r>
      <w:r w:rsidRPr="005D3F76">
        <w:rPr>
          <w:rFonts w:cs="Times New Roman"/>
          <w:i/>
          <w:szCs w:val="24"/>
        </w:rPr>
        <w:t>Times</w:t>
      </w:r>
      <w:r w:rsidRPr="005D3F76">
        <w:rPr>
          <w:rFonts w:cs="Times New Roman"/>
          <w:szCs w:val="24"/>
        </w:rPr>
        <w:t xml:space="preserve">, the </w:t>
      </w:r>
      <w:r w:rsidRPr="005D3F76">
        <w:rPr>
          <w:rFonts w:cs="Times New Roman"/>
          <w:i/>
          <w:szCs w:val="24"/>
        </w:rPr>
        <w:t>WSJ</w:t>
      </w:r>
      <w:r w:rsidRPr="005D3F76">
        <w:rPr>
          <w:rFonts w:cs="Times New Roman"/>
          <w:szCs w:val="24"/>
        </w:rPr>
        <w:t xml:space="preserve">, and the </w:t>
      </w:r>
      <w:r w:rsidRPr="005D3F76">
        <w:rPr>
          <w:rFonts w:cs="Times New Roman"/>
          <w:i/>
          <w:szCs w:val="24"/>
        </w:rPr>
        <w:t>Cap Times</w:t>
      </w:r>
      <w:r w:rsidRPr="005D3F76">
        <w:rPr>
          <w:rFonts w:cs="Times New Roman"/>
          <w:szCs w:val="24"/>
        </w:rPr>
        <w:t>, although its mention became less prominent and less obvious than before and directly following the passage of ACT 10.   However, in the case of the</w:t>
      </w:r>
      <w:r w:rsidRPr="005D3F76">
        <w:rPr>
          <w:rFonts w:cs="Times New Roman"/>
          <w:i/>
          <w:szCs w:val="24"/>
        </w:rPr>
        <w:t xml:space="preserve"> Times,</w:t>
      </w:r>
      <w:r w:rsidRPr="005D3F76">
        <w:rPr>
          <w:rFonts w:cs="Times New Roman"/>
          <w:szCs w:val="24"/>
        </w:rPr>
        <w:t xml:space="preserve"> an article referring to court hearings in Wisconsin concerning collective bargaining rights and ACT 10 in 2013 stated: </w:t>
      </w:r>
    </w:p>
    <w:p w14:paraId="52FF9E36" w14:textId="77777777" w:rsidR="00B03557" w:rsidRPr="005D3F76" w:rsidRDefault="00B03557" w:rsidP="00103B6F">
      <w:pPr>
        <w:ind w:firstLine="720"/>
        <w:rPr>
          <w:rFonts w:cs="Times New Roman"/>
          <w:szCs w:val="24"/>
        </w:rPr>
      </w:pPr>
      <w:r w:rsidRPr="005D3F76">
        <w:rPr>
          <w:rFonts w:cs="Times New Roman"/>
          <w:szCs w:val="24"/>
        </w:rPr>
        <w:t xml:space="preserve">I don’t believe the two ships pass in the night; I believe they collide </w:t>
      </w:r>
      <w:r w:rsidRPr="005D3F76">
        <w:rPr>
          <w:rFonts w:cs="Times New Roman"/>
          <w:szCs w:val="24"/>
        </w:rPr>
        <w:fldChar w:fldCharType="begin"/>
      </w:r>
      <w:r w:rsidRPr="005D3F76">
        <w:rPr>
          <w:rFonts w:cs="Times New Roman"/>
          <w:szCs w:val="24"/>
        </w:rPr>
        <w:instrText xml:space="preserve"> ADDIN EN.CITE &lt;EndNote&gt;&lt;Cite&gt;&lt;Author&gt;Yaccino&lt;/Author&gt;&lt;Year&gt;2013&lt;/Year&gt;&lt;RecNum&gt;96&lt;/RecNum&gt;&lt;DisplayText&gt;(Yaccino, 2013)&lt;/DisplayText&gt;&lt;record&gt;&lt;rec-number&gt;96&lt;/rec-number&gt;&lt;foreign-keys&gt;&lt;key app="EN" db-id="etwareaz8xpxz3et59b50d9vxrata9z2w2zt" timestamp="1455565956"&gt;96&lt;/key&gt;&lt;/foreign-keys&gt;&lt;ref-type name="Newspaper Article"&gt;23&lt;/ref-type&gt;&lt;contributors&gt;&lt;authors&gt;&lt;author&gt;Steven Yaccino&lt;/author&gt;&lt;/authors&gt;&lt;/contributors&gt;&lt;titles&gt;&lt;title&gt;Wisconsin Supreme Court Hears Arguments on Collective Bargaining Law&lt;/title&gt;&lt;secondary-title&gt;The New York Times&lt;/secondary-title&gt;&lt;/titles&gt;&lt;pages&gt;15&lt;/pages&gt;&lt;section&gt;National Desk&lt;/section&gt;&lt;dates&gt;&lt;year&gt;2013&lt;/year&gt;&lt;pub-dates&gt;&lt;date&gt;November 12&lt;/date&gt;&lt;/pub-dates&gt;&lt;/dates&gt;&lt;pub-location&gt;New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(Yaccino, 2013)</w:t>
      </w:r>
      <w:r w:rsidRPr="005D3F76">
        <w:rPr>
          <w:rFonts w:cs="Times New Roman"/>
          <w:szCs w:val="24"/>
        </w:rPr>
        <w:fldChar w:fldCharType="end"/>
      </w:r>
      <w:r w:rsidRPr="005D3F76">
        <w:rPr>
          <w:rFonts w:cs="Times New Roman"/>
          <w:szCs w:val="24"/>
        </w:rPr>
        <w:t xml:space="preserve">. </w:t>
      </w:r>
    </w:p>
    <w:p w14:paraId="336564B8" w14:textId="77777777" w:rsidR="00B03557" w:rsidRPr="005D3F76" w:rsidRDefault="00B03557" w:rsidP="00103B6F">
      <w:pPr>
        <w:rPr>
          <w:rFonts w:cs="Times New Roman"/>
          <w:szCs w:val="24"/>
        </w:rPr>
      </w:pPr>
      <w:r w:rsidRPr="005D3F76">
        <w:rPr>
          <w:rFonts w:cs="Times New Roman"/>
          <w:szCs w:val="24"/>
        </w:rPr>
        <w:t xml:space="preserve">In another article in 2015 when referring to the probable presidential campaigning of Governor Walker in 2016, </w:t>
      </w:r>
      <w:r w:rsidRPr="005D3F76">
        <w:rPr>
          <w:rFonts w:cs="Times New Roman"/>
          <w:i/>
          <w:szCs w:val="24"/>
        </w:rPr>
        <w:t>The Times</w:t>
      </w:r>
      <w:r w:rsidRPr="005D3F76">
        <w:rPr>
          <w:rFonts w:cs="Times New Roman"/>
          <w:szCs w:val="24"/>
        </w:rPr>
        <w:t xml:space="preserve"> wrote that </w:t>
      </w:r>
    </w:p>
    <w:p w14:paraId="53D5BE49" w14:textId="77777777" w:rsidR="00B03557" w:rsidRPr="005D3F76" w:rsidRDefault="00B03557" w:rsidP="001D5801">
      <w:pPr>
        <w:ind w:left="1440" w:hanging="720"/>
        <w:rPr>
          <w:rFonts w:cs="Times New Roman"/>
          <w:szCs w:val="24"/>
        </w:rPr>
      </w:pPr>
      <w:r w:rsidRPr="005D3F76">
        <w:rPr>
          <w:rFonts w:cs="Times New Roman"/>
          <w:szCs w:val="24"/>
        </w:rPr>
        <w:t xml:space="preserve">…his battles with labor unions would prepare him to take on terrorists </w:t>
      </w:r>
      <w:r w:rsidRPr="005D3F76">
        <w:rPr>
          <w:rFonts w:cs="Times New Roman"/>
          <w:szCs w:val="24"/>
        </w:rPr>
        <w:fldChar w:fldCharType="begin"/>
      </w:r>
      <w:r w:rsidRPr="005D3F76">
        <w:rPr>
          <w:rFonts w:cs="Times New Roman"/>
          <w:szCs w:val="24"/>
        </w:rPr>
        <w:instrText xml:space="preserve"> ADDIN EN.CITE &lt;EndNote&gt;&lt;Cite&gt;&lt;Author&gt;Baker&lt;/Author&gt;&lt;Year&gt;2015&lt;/Year&gt;&lt;RecNum&gt;102&lt;/RecNum&gt;&lt;DisplayText&gt;(Baker, 2015)&lt;/DisplayText&gt;&lt;record&gt;&lt;rec-number&gt;102&lt;/rec-number&gt;&lt;foreign-keys&gt;&lt;key app="EN" db-id="etwareaz8xpxz3et59b50d9vxrata9z2w2zt" timestamp="1455566626"&gt;102&lt;/key&gt;&lt;/foreign-keys&gt;&lt;ref-type name="Newspaper Article"&gt;23&lt;/ref-type&gt;&lt;contributors&gt;&lt;authors&gt;&lt;author&gt;Peter Baker&lt;/author&gt;&lt;/authors&gt;&lt;/contributors&gt;&lt;titles&gt;&lt;title&gt;Obama Orders Federal Contractors to Provide Workers Paid Sick Leave&lt;/title&gt;&lt;secondary-title&gt;The New York Times&lt;/secondary-title&gt;&lt;/titles&gt;&lt;pages&gt;20&lt;/pages&gt;&lt;section&gt;National Desk&lt;/section&gt;&lt;dates&gt;&lt;year&gt;2015&lt;/year&gt;&lt;pub-dates&gt;&lt;date&gt;September 8&lt;/date&gt;&lt;/pub-dates&gt;&lt;/dates&gt;&lt;pub-location&gt;New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(Baker, 2015)</w:t>
      </w:r>
      <w:r w:rsidRPr="005D3F76">
        <w:rPr>
          <w:rFonts w:cs="Times New Roman"/>
          <w:szCs w:val="24"/>
        </w:rPr>
        <w:fldChar w:fldCharType="end"/>
      </w:r>
      <w:r w:rsidRPr="005D3F76">
        <w:rPr>
          <w:rFonts w:cs="Times New Roman"/>
          <w:szCs w:val="24"/>
        </w:rPr>
        <w:t xml:space="preserve">. </w:t>
      </w:r>
    </w:p>
    <w:p w14:paraId="49F1CF62" w14:textId="77777777" w:rsidR="00B03557" w:rsidRPr="005D3F76" w:rsidRDefault="00B03557" w:rsidP="00103B6F">
      <w:pPr>
        <w:rPr>
          <w:rFonts w:cs="Times New Roman"/>
          <w:szCs w:val="24"/>
        </w:rPr>
      </w:pPr>
      <w:r w:rsidRPr="005D3F76">
        <w:rPr>
          <w:rFonts w:cs="Times New Roman"/>
          <w:szCs w:val="24"/>
        </w:rPr>
        <w:t xml:space="preserve">The language of war continued within the topic of teacher unions throughout the entire period researched. </w:t>
      </w:r>
    </w:p>
    <w:p w14:paraId="5CADCCC6" w14:textId="77777777" w:rsidR="00B03557" w:rsidRPr="005D3F76" w:rsidRDefault="00B03557" w:rsidP="00103B6F">
      <w:pPr>
        <w:ind w:firstLine="720"/>
        <w:rPr>
          <w:rFonts w:cs="Times New Roman"/>
        </w:rPr>
      </w:pPr>
      <w:r w:rsidRPr="005D3F76">
        <w:rPr>
          <w:rFonts w:cs="Times New Roman"/>
          <w:szCs w:val="24"/>
        </w:rPr>
        <w:t xml:space="preserve">This particular strand of analysis suggests that the predilection for battle or war language within the newspapers during the time period of 2011-2015 concerning the state of Wisconsin became a facade for what really needed to be accomplished concerning the unions and the proposed and subsequent legislation that was put into law. Precluding the battle language concept in which teacher unions are painted as saboteurs rather than partners in real reform, always in opposition to those who are trying to make real changes (Governor Walker, reformers, lobbyists, legislators, etc.). According to the articles written within the </w:t>
      </w:r>
      <w:r w:rsidRPr="005D3F76">
        <w:rPr>
          <w:rFonts w:cs="Times New Roman"/>
          <w:i/>
          <w:szCs w:val="24"/>
        </w:rPr>
        <w:t>Times</w:t>
      </w:r>
      <w:r w:rsidRPr="005D3F76">
        <w:rPr>
          <w:rFonts w:cs="Times New Roman"/>
          <w:szCs w:val="24"/>
        </w:rPr>
        <w:t xml:space="preserve">, the </w:t>
      </w:r>
      <w:r w:rsidRPr="005D3F76">
        <w:rPr>
          <w:rFonts w:cs="Times New Roman"/>
          <w:i/>
          <w:szCs w:val="24"/>
        </w:rPr>
        <w:t>WSJ</w:t>
      </w:r>
      <w:r w:rsidRPr="005D3F76">
        <w:rPr>
          <w:rFonts w:cs="Times New Roman"/>
          <w:szCs w:val="24"/>
        </w:rPr>
        <w:t xml:space="preserve">, and the </w:t>
      </w:r>
      <w:r w:rsidRPr="005D3F76">
        <w:rPr>
          <w:rFonts w:cs="Times New Roman"/>
          <w:i/>
          <w:szCs w:val="24"/>
        </w:rPr>
        <w:t>Cap Times</w:t>
      </w:r>
      <w:r w:rsidRPr="005D3F76">
        <w:rPr>
          <w:rFonts w:cs="Times New Roman"/>
          <w:szCs w:val="24"/>
        </w:rPr>
        <w:t xml:space="preserve">, it would seem that teacher unions are more enamored with engrossing in battles with opponents, manifesting the oppositional character, than in delivering to the communities in Wisconsin. Sadly missing within the reporting is a tangible sense of the work teachers and teacher unions actually perform, how the unions encourage the work within the system, and how </w:t>
      </w:r>
      <w:r w:rsidRPr="005D3F76">
        <w:rPr>
          <w:rFonts w:cs="Times New Roman"/>
          <w:szCs w:val="24"/>
        </w:rPr>
        <w:lastRenderedPageBreak/>
        <w:t>and why they are a vital part of efforts to reform the schools within Wisconsin. This overall picture within the language of battle strand suggests that in order to construct a more useful public conversation about teacher unions and truly develop society’s thinking about public sector unions and their role in the U.S., it is simply not enough to read the newspapers and their reporting of the protests and subsequent rendering in Wisconsin as something that is just happening. It is important for readers to further understand what else is being ‘said’ within the discourses that they presented. The media in this study are creating a clear power structure and presenting to their audiences the need to choose a side—the winning side—the more anti-union side. The following section goes a step further by uncovering another discourse that ran congruently with the language of the battle; one that furthers the claims of persuasion and power concerning teacher and public sector unions within the media.</w:t>
      </w:r>
    </w:p>
    <w:p w14:paraId="1295B088" w14:textId="77777777" w:rsidR="00B03557" w:rsidRPr="005D3F76" w:rsidRDefault="00B03557" w:rsidP="00103B6F">
      <w:pPr>
        <w:pStyle w:val="Heading3"/>
        <w:rPr>
          <w:rFonts w:cs="Times New Roman"/>
        </w:rPr>
      </w:pPr>
      <w:bookmarkStart w:id="21" w:name="_Toc462843641"/>
      <w:r w:rsidRPr="005D3F76">
        <w:rPr>
          <w:rFonts w:cs="Times New Roman"/>
        </w:rPr>
        <w:t>Strand Two: Neoliberalistic Discourses</w:t>
      </w:r>
      <w:bookmarkEnd w:id="21"/>
      <w:r w:rsidRPr="005D3F76">
        <w:rPr>
          <w:rFonts w:cs="Times New Roman"/>
        </w:rPr>
        <w:t xml:space="preserve"> </w:t>
      </w:r>
    </w:p>
    <w:p w14:paraId="13A21AC4" w14:textId="48348F58" w:rsidR="00B03557" w:rsidRPr="005D3F76" w:rsidRDefault="00B03557" w:rsidP="00103B6F">
      <w:pPr>
        <w:ind w:firstLine="720"/>
        <w:rPr>
          <w:rFonts w:cs="Times New Roman"/>
          <w:szCs w:val="24"/>
        </w:rPr>
      </w:pPr>
      <w:r w:rsidRPr="005D3F76">
        <w:rPr>
          <w:rFonts w:cs="Times New Roman"/>
          <w:szCs w:val="24"/>
        </w:rPr>
        <w:t xml:space="preserve">The concepts surrounding the strand on neoliberalism are complex and layered. The push for education toward the market is often inspired by the doctrines linked to neoliberalism and is fueled and informed by the discourses that can be found in the media concerning their ideas of neoliberal traits.  These traits include, but are not limited to the deregulation of the economy and trade, and the unprecedented importance of the financial sector. In this capacity, neoliberalism produces a one-size-fits-all mentality, essentially a business model for the education field and for the teachers and their unions </w:t>
      </w:r>
      <w:r w:rsidRPr="005D3F76">
        <w:rPr>
          <w:rFonts w:cs="Times New Roman"/>
          <w:szCs w:val="24"/>
        </w:rPr>
        <w:fldChar w:fldCharType="begin"/>
      </w:r>
      <w:r w:rsidRPr="005D3F76">
        <w:rPr>
          <w:rFonts w:cs="Times New Roman"/>
          <w:szCs w:val="24"/>
        </w:rPr>
        <w:instrText xml:space="preserve"> ADDIN EN.CITE &lt;EndNote&gt;&lt;Cite&gt;&lt;Author&gt;Harness&lt;/Author&gt;&lt;Year&gt;2013&lt;/Year&gt;&lt;RecNum&gt;48&lt;/RecNum&gt;&lt;DisplayText&gt;(M. Harness, 2013)&lt;/DisplayText&gt;&lt;record&gt;&lt;rec-number&gt;48&lt;/rec-number&gt;&lt;foreign-keys&gt;&lt;key app="EN" db-id="etwareaz8xpxz3et59b50d9vxrata9z2w2zt" timestamp="1453218300"&gt;48&lt;/key&gt;&lt;/foreign-keys&gt;&lt;ref-type name="Book"&gt;6&lt;/ref-type&gt;&lt;contributors&gt;&lt;authors&gt;&lt;author&gt;Melissa Harness&lt;/author&gt;&lt;/authors&gt;&lt;/contributors&gt;&lt;titles&gt;&lt;title&gt;Pretending Teaching is a Profession: Why Pblic School Teaching Will Never Be Considered a True Profession&lt;/title&gt;&lt;/titles&gt;&lt;dates&gt;&lt;year&gt;2013&lt;/year&gt;&lt;/dates&gt;&lt;pub-location&gt;Germany&lt;/pub-location&gt;&lt;publisher&gt;LAP Lambert Academic Publishing&lt;/publisher&gt;&lt;urls&gt;&lt;/urls&gt;&lt;/record&gt;&lt;/Cite&gt;&lt;/EndNote&gt;</w:instrText>
      </w:r>
      <w:r w:rsidRPr="005D3F76">
        <w:rPr>
          <w:rFonts w:cs="Times New Roman"/>
          <w:szCs w:val="24"/>
        </w:rPr>
        <w:fldChar w:fldCharType="separate"/>
      </w:r>
      <w:r w:rsidRPr="005D3F76">
        <w:rPr>
          <w:rFonts w:cs="Times New Roman"/>
          <w:noProof/>
          <w:szCs w:val="24"/>
        </w:rPr>
        <w:t>(M. Harness, 2013)</w:t>
      </w:r>
      <w:r w:rsidRPr="005D3F76">
        <w:rPr>
          <w:rFonts w:cs="Times New Roman"/>
          <w:szCs w:val="24"/>
        </w:rPr>
        <w:fldChar w:fldCharType="end"/>
      </w:r>
      <w:r w:rsidRPr="005D3F76">
        <w:rPr>
          <w:rFonts w:cs="Times New Roman"/>
          <w:szCs w:val="24"/>
        </w:rPr>
        <w:t>. In this regard, the battle language discussed above makes sense, as the two entities, those of governmentality and social aspects of the ‘we,’ come in direct opposition to the more business-like entities that are trying to develop within education throughout the U.S. This fight is exemplified perfectly within the state of Wisconsin through the newspapers studied.</w:t>
      </w:r>
    </w:p>
    <w:p w14:paraId="4CE97E03" w14:textId="77777777" w:rsidR="00B03557" w:rsidRPr="005D3F76" w:rsidRDefault="00B03557" w:rsidP="00103B6F">
      <w:pPr>
        <w:rPr>
          <w:rFonts w:cs="Times New Roman"/>
          <w:szCs w:val="24"/>
        </w:rPr>
      </w:pPr>
      <w:r w:rsidRPr="005D3F76">
        <w:rPr>
          <w:rFonts w:cs="Times New Roman"/>
          <w:szCs w:val="24"/>
        </w:rPr>
        <w:lastRenderedPageBreak/>
        <w:tab/>
        <w:t xml:space="preserve">Statistically, this strand was the second largest represented within the three newspapers. Out of the 19 articles studied within the </w:t>
      </w:r>
      <w:r w:rsidRPr="005D3F76">
        <w:rPr>
          <w:rFonts w:cs="Times New Roman"/>
          <w:i/>
          <w:szCs w:val="24"/>
        </w:rPr>
        <w:t>Times</w:t>
      </w:r>
      <w:r w:rsidRPr="005D3F76">
        <w:rPr>
          <w:rFonts w:cs="Times New Roman"/>
          <w:szCs w:val="24"/>
        </w:rPr>
        <w:t xml:space="preserve">, 10 of those contained discourse pertaining to the ideas around neoliberalism, making it 53% of the total articles compositions. Within the </w:t>
      </w:r>
      <w:r w:rsidRPr="005D3F76">
        <w:rPr>
          <w:rFonts w:cs="Times New Roman"/>
          <w:i/>
          <w:szCs w:val="24"/>
        </w:rPr>
        <w:t>WSJ</w:t>
      </w:r>
      <w:r w:rsidRPr="005D3F76">
        <w:rPr>
          <w:rFonts w:cs="Times New Roman"/>
          <w:szCs w:val="24"/>
        </w:rPr>
        <w:t xml:space="preserve">, 13 out of 25, or 52% of the articles contained discourse of neoliberalism. Both of these papers percentages concerning neoliberalism came close to their counterparts within the use of battle language discussed above. Whereas, the </w:t>
      </w:r>
      <w:r w:rsidRPr="005D3F76">
        <w:rPr>
          <w:rFonts w:cs="Times New Roman"/>
          <w:i/>
          <w:szCs w:val="24"/>
        </w:rPr>
        <w:t>Cap Times</w:t>
      </w:r>
      <w:r w:rsidRPr="005D3F76">
        <w:rPr>
          <w:rFonts w:cs="Times New Roman"/>
          <w:szCs w:val="24"/>
        </w:rPr>
        <w:t xml:space="preserve"> contained only 8 out of its 19, or 42% of its articles concerned neoliberistic discourse. It is immediately recognizable that the local newspaper, the </w:t>
      </w:r>
      <w:r w:rsidRPr="005D3F76">
        <w:rPr>
          <w:rFonts w:cs="Times New Roman"/>
          <w:i/>
          <w:szCs w:val="24"/>
        </w:rPr>
        <w:t xml:space="preserve">Cap Times, </w:t>
      </w:r>
      <w:r w:rsidRPr="005D3F76">
        <w:rPr>
          <w:rFonts w:cs="Times New Roman"/>
          <w:szCs w:val="24"/>
        </w:rPr>
        <w:t>shows</w:t>
      </w:r>
      <w:r w:rsidRPr="005D3F76">
        <w:rPr>
          <w:rFonts w:cs="Times New Roman"/>
          <w:i/>
          <w:szCs w:val="24"/>
        </w:rPr>
        <w:t xml:space="preserve"> </w:t>
      </w:r>
      <w:r w:rsidRPr="005D3F76">
        <w:rPr>
          <w:rFonts w:cs="Times New Roman"/>
          <w:szCs w:val="24"/>
        </w:rPr>
        <w:t xml:space="preserve">less concern with issues that pertain to neoliberalism, and more with embattlement as seen previously. This might be explained by the overt focus on local issues concerning the teachers and curriculum which will be discussed in the next strand. Discussion of the economy, globalization, and job production were more readily evidenced within the </w:t>
      </w:r>
      <w:r w:rsidRPr="005D3F76">
        <w:rPr>
          <w:rFonts w:cs="Times New Roman"/>
          <w:i/>
          <w:szCs w:val="24"/>
        </w:rPr>
        <w:t>Times</w:t>
      </w:r>
      <w:r w:rsidRPr="005D3F76">
        <w:rPr>
          <w:rFonts w:cs="Times New Roman"/>
          <w:szCs w:val="24"/>
        </w:rPr>
        <w:t xml:space="preserve"> and </w:t>
      </w:r>
      <w:r w:rsidRPr="005D3F76">
        <w:rPr>
          <w:rFonts w:cs="Times New Roman"/>
          <w:i/>
          <w:szCs w:val="24"/>
        </w:rPr>
        <w:t>Cap Times</w:t>
      </w:r>
      <w:r w:rsidRPr="005D3F76">
        <w:rPr>
          <w:rFonts w:cs="Times New Roman"/>
          <w:szCs w:val="24"/>
        </w:rPr>
        <w:t xml:space="preserve">. Also, the </w:t>
      </w:r>
      <w:r w:rsidRPr="005D3F76">
        <w:rPr>
          <w:rFonts w:cs="Times New Roman"/>
          <w:i/>
          <w:szCs w:val="24"/>
        </w:rPr>
        <w:t xml:space="preserve">Cap Times </w:t>
      </w:r>
      <w:r w:rsidRPr="005D3F76">
        <w:rPr>
          <w:rFonts w:cs="Times New Roman"/>
          <w:szCs w:val="24"/>
        </w:rPr>
        <w:t xml:space="preserve">heavy reporting of the protests and strikes within Madison during 2011-2012 could help explain this as well. The reports of the protests and strikes harkened greatly to battle between the teachers and the State, so the other more neoliberal tendencies were very much a secondary topic for the </w:t>
      </w:r>
      <w:r w:rsidRPr="005D3F76">
        <w:rPr>
          <w:rFonts w:cs="Times New Roman"/>
          <w:i/>
          <w:szCs w:val="24"/>
        </w:rPr>
        <w:t>WSJ</w:t>
      </w:r>
      <w:r w:rsidRPr="005D3F76">
        <w:rPr>
          <w:rFonts w:cs="Times New Roman"/>
          <w:szCs w:val="24"/>
        </w:rPr>
        <w:t>.</w:t>
      </w:r>
    </w:p>
    <w:p w14:paraId="34940465" w14:textId="5246D66E" w:rsidR="00B03557" w:rsidRPr="005D3F76" w:rsidRDefault="00B03557" w:rsidP="00103B6F">
      <w:pPr>
        <w:ind w:firstLine="720"/>
        <w:rPr>
          <w:rFonts w:cs="Times New Roman"/>
          <w:szCs w:val="24"/>
        </w:rPr>
      </w:pPr>
      <w:r w:rsidRPr="005D3F76">
        <w:rPr>
          <w:rFonts w:cs="Times New Roman"/>
          <w:szCs w:val="24"/>
        </w:rPr>
        <w:t xml:space="preserve">These statistics around the number of instances that neoliberalism appears in the </w:t>
      </w:r>
      <w:r w:rsidR="00E341FA" w:rsidRPr="005D3F76">
        <w:rPr>
          <w:rFonts w:cs="Times New Roman"/>
          <w:szCs w:val="24"/>
        </w:rPr>
        <w:t>newspapers can</w:t>
      </w:r>
      <w:r w:rsidRPr="005D3F76">
        <w:rPr>
          <w:rFonts w:cs="Times New Roman"/>
          <w:szCs w:val="24"/>
        </w:rPr>
        <w:t xml:space="preserve"> possibly be explained by the way that the U.S. federal and state governments determine what is beneficial for society concerning entitlements</w:t>
      </w:r>
      <w:r w:rsidRPr="005D3F76">
        <w:rPr>
          <w:rStyle w:val="EndnoteReference"/>
          <w:rFonts w:cs="Times New Roman"/>
          <w:szCs w:val="24"/>
        </w:rPr>
        <w:endnoteReference w:id="31"/>
      </w:r>
      <w:r w:rsidRPr="005D3F76">
        <w:rPr>
          <w:rFonts w:cs="Times New Roman"/>
          <w:szCs w:val="24"/>
        </w:rPr>
        <w:t xml:space="preserve">, such as those in education. Using trade theory, the government essentially uses a logics model, amply named, the input-output model, that states that principally the output of any endeavor should equal the sum of the inputs </w:t>
      </w:r>
      <w:r w:rsidRPr="005D3F76">
        <w:rPr>
          <w:rFonts w:cs="Times New Roman"/>
          <w:szCs w:val="24"/>
        </w:rPr>
        <w:fldChar w:fldCharType="begin"/>
      </w:r>
      <w:r w:rsidRPr="005D3F76">
        <w:rPr>
          <w:rFonts w:cs="Times New Roman"/>
          <w:szCs w:val="24"/>
        </w:rPr>
        <w:instrText xml:space="preserve"> ADDIN EN.CITE &lt;EndNote&gt;&lt;Cite&gt;&lt;Author&gt;Christ&lt;/Author&gt;&lt;Year&gt;1955&lt;/Year&gt;&lt;RecNum&gt;328&lt;/RecNum&gt;&lt;DisplayText&gt;(Christ, 1955)&lt;/DisplayText&gt;&lt;record&gt;&lt;rec-number&gt;328&lt;/rec-number&gt;&lt;foreign-keys&gt;&lt;key app="EN" db-id="etwareaz8xpxz3et59b50d9vxrata9z2w2zt" timestamp="1467754661"&gt;328&lt;/key&gt;&lt;/foreign-keys&gt;&lt;ref-type name="Book Section"&gt;5&lt;/ref-type&gt;&lt;contributors&gt;&lt;authors&gt;&lt;author&gt;Carl F. Christ&lt;/author&gt;&lt;/authors&gt;&lt;/contributors&gt;&lt;titles&gt;&lt;title&gt;A Review of Input-Output Analysis&lt;/title&gt;&lt;secondary-title&gt;Input-Output Analysis: An Appraisal&lt;/secondary-title&gt;&lt;/titles&gt;&lt;pages&gt;137-162&lt;/pages&gt;&lt;dates&gt;&lt;year&gt;1955&lt;/year&gt;&lt;/dates&gt;&lt;pub-location&gt;Princeton, NJ&lt;/pub-location&gt;&lt;publisher&gt;Princeton University Press&lt;/publisher&gt;&lt;urls&gt;&lt;related-urls&gt;&lt;url&gt;http://nber.org/chapters/c2866.pdf&lt;/url&gt;&lt;/related-urls&gt;&lt;/urls&gt;&lt;/record&gt;&lt;/Cite&gt;&lt;/EndNote&gt;</w:instrText>
      </w:r>
      <w:r w:rsidRPr="005D3F76">
        <w:rPr>
          <w:rFonts w:cs="Times New Roman"/>
          <w:szCs w:val="24"/>
        </w:rPr>
        <w:fldChar w:fldCharType="separate"/>
      </w:r>
      <w:r w:rsidRPr="005D3F76">
        <w:rPr>
          <w:rFonts w:cs="Times New Roman"/>
          <w:noProof/>
          <w:szCs w:val="24"/>
        </w:rPr>
        <w:t>(Christ, 1955)</w:t>
      </w:r>
      <w:r w:rsidRPr="005D3F76">
        <w:rPr>
          <w:rFonts w:cs="Times New Roman"/>
          <w:szCs w:val="24"/>
        </w:rPr>
        <w:fldChar w:fldCharType="end"/>
      </w:r>
      <w:r w:rsidRPr="005D3F76">
        <w:rPr>
          <w:rFonts w:cs="Times New Roman"/>
          <w:szCs w:val="24"/>
        </w:rPr>
        <w:t xml:space="preserve"> In other words, the State does not like to put money into endeavors that do not necessarily have a quantifiable outcome, or where the input may not necessarily equal the output. Both of these cases are unfavorable to economists and many politicians. Therefore, in </w:t>
      </w:r>
      <w:r w:rsidRPr="005D3F76">
        <w:rPr>
          <w:rFonts w:cs="Times New Roman"/>
          <w:szCs w:val="24"/>
        </w:rPr>
        <w:lastRenderedPageBreak/>
        <w:t xml:space="preserve">many of the articles that contained discourse pertaining to neoliberalism, phrases like “extend[ing] the new statewide accountability system” </w:t>
      </w:r>
      <w:r w:rsidRPr="005D3F76">
        <w:rPr>
          <w:rFonts w:cs="Times New Roman"/>
          <w:szCs w:val="24"/>
        </w:rPr>
        <w:fldChar w:fldCharType="begin"/>
      </w:r>
      <w:r w:rsidRPr="005D3F76">
        <w:rPr>
          <w:rFonts w:cs="Times New Roman"/>
          <w:szCs w:val="24"/>
        </w:rPr>
        <w:instrText xml:space="preserve"> ADDIN EN.CITE &lt;EndNote&gt;&lt;Cite&gt;&lt;Author&gt;Bauer&lt;/Author&gt;&lt;Year&gt;2012&lt;/Year&gt;&lt;RecNum&gt;117&lt;/RecNum&gt;&lt;DisplayText&gt;(Bauer, 2012)&lt;/DisplayText&gt;&lt;record&gt;&lt;rec-number&gt;117&lt;/rec-number&gt;&lt;foreign-keys&gt;&lt;key app="EN" db-id="etwareaz8xpxz3et59b50d9vxrata9z2w2zt" timestamp="1455578909"&gt;117&lt;/key&gt;&lt;/foreign-keys&gt;&lt;ref-type name="Newspaper Article"&gt;23&lt;/ref-type&gt;&lt;contributors&gt;&lt;authors&gt;&lt;author&gt;Scott Bauer&lt;/author&gt;&lt;/authors&gt;&lt;/contributors&gt;&lt;titles&gt;&lt;title&gt;Evers Urges More Respect for Teachers: State Schools Superintendent Says They Have Been Targeted by The Collective Bargaining Law&lt;/title&gt;&lt;secondary-title&gt;Wisconsin State Journal&lt;/secondary-title&gt;&lt;/titles&gt;&lt;pages&gt;A11&lt;/pages&gt;&lt;section&gt;Loal&lt;/section&gt;&lt;dates&gt;&lt;year&gt;2012&lt;/year&gt;&lt;pub-dates&gt;&lt;date&gt;September 21&lt;/date&gt;&lt;/pub-dates&gt;&lt;/dates&gt;&lt;pub-location&gt;Madison,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(Bauer, 2012)</w:t>
      </w:r>
      <w:r w:rsidRPr="005D3F76">
        <w:rPr>
          <w:rFonts w:cs="Times New Roman"/>
          <w:szCs w:val="24"/>
        </w:rPr>
        <w:fldChar w:fldCharType="end"/>
      </w:r>
      <w:r w:rsidRPr="005D3F76">
        <w:rPr>
          <w:rFonts w:cs="Times New Roman"/>
          <w:szCs w:val="24"/>
        </w:rPr>
        <w:t xml:space="preserve">, “starting merit pay system[s] for teachers” and the “balancing of budgets,” were present and seemed to exemplify this determination of the need for the state to justify the expenses of education as one of the necessities for the citizens. </w:t>
      </w:r>
    </w:p>
    <w:p w14:paraId="2D795F39" w14:textId="451F58AC" w:rsidR="00B03557" w:rsidRPr="005D3F76" w:rsidRDefault="00B03557" w:rsidP="00103B6F">
      <w:pPr>
        <w:ind w:firstLine="720"/>
        <w:rPr>
          <w:rFonts w:cs="Times New Roman"/>
          <w:szCs w:val="24"/>
        </w:rPr>
      </w:pPr>
      <w:r w:rsidRPr="005D3F76">
        <w:rPr>
          <w:rFonts w:cs="Times New Roman"/>
          <w:szCs w:val="24"/>
        </w:rPr>
        <w:t xml:space="preserve">Further, Pierre Bourdieu </w:t>
      </w:r>
      <w:r w:rsidRPr="005D3F76">
        <w:rPr>
          <w:rFonts w:cs="Times New Roman"/>
          <w:szCs w:val="24"/>
        </w:rPr>
        <w:fldChar w:fldCharType="begin"/>
      </w:r>
      <w:r w:rsidRPr="005D3F76">
        <w:rPr>
          <w:rFonts w:cs="Times New Roman"/>
          <w:szCs w:val="24"/>
        </w:rPr>
        <w:instrText xml:space="preserve"> ADDIN EN.CITE &lt;EndNote&gt;&lt;Cite ExcludeAuth="1"&gt;&lt;Author&gt;Bourdieu&lt;/Author&gt;&lt;Year&gt;1998&lt;/Year&gt;&lt;RecNum&gt;280&lt;/RecNum&gt;&lt;DisplayText&gt;(1998)&lt;/DisplayText&gt;&lt;record&gt;&lt;rec-number&gt;280&lt;/rec-number&gt;&lt;foreign-keys&gt;&lt;key app="EN" db-id="etwareaz8xpxz3et59b50d9vxrata9z2w2zt" timestamp="1465496340"&gt;280&lt;/key&gt;&lt;/foreign-keys&gt;&lt;ref-type name="Book"&gt;6&lt;/ref-type&gt;&lt;contributors&gt;&lt;authors&gt;&lt;author&gt;Pierre Bourdieu&lt;/author&gt;&lt;/authors&gt;&lt;/contributors&gt;&lt;titles&gt;&lt;title&gt;Acts of Resistance Against the New Myths of Our Time&lt;/title&gt;&lt;/titles&gt;&lt;dates&gt;&lt;year&gt;1998&lt;/year&gt;&lt;/dates&gt;&lt;pub-location&gt;Cambridge&lt;/pub-location&gt;&lt;publisher&gt;Polity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(1998)</w:t>
      </w:r>
      <w:r w:rsidRPr="005D3F76">
        <w:rPr>
          <w:rFonts w:cs="Times New Roman"/>
          <w:szCs w:val="24"/>
        </w:rPr>
        <w:fldChar w:fldCharType="end"/>
      </w:r>
      <w:r w:rsidRPr="005D3F76">
        <w:rPr>
          <w:rFonts w:cs="Times New Roman"/>
          <w:szCs w:val="24"/>
        </w:rPr>
        <w:t xml:space="preserve"> explains the input-output model well in conjunction with neoliberalism and education by clarifying it using a metaphorical person. Bourdieu describes that educational policy production is essentially the ‘right hand of the state;’ whereby education has been given over within both the federal and state governments to their treasuries and educational policy teams </w:t>
      </w:r>
      <w:r w:rsidRPr="005D3F76">
        <w:rPr>
          <w:rFonts w:cs="Times New Roman"/>
          <w:szCs w:val="24"/>
        </w:rPr>
        <w:fldChar w:fldCharType="begin"/>
      </w:r>
      <w:r w:rsidRPr="005D3F76">
        <w:rPr>
          <w:rFonts w:cs="Times New Roman"/>
          <w:szCs w:val="24"/>
        </w:rPr>
        <w:instrText xml:space="preserve"> ADDIN EN.CITE &lt;EndNote&gt;&lt;Cite&gt;&lt;Author&gt;Bourdieu&lt;/Author&gt;&lt;Year&gt;1998&lt;/Year&gt;&lt;RecNum&gt;280&lt;/RecNum&gt;&lt;DisplayText&gt;(Bourdieu, 1998)&lt;/DisplayText&gt;&lt;record&gt;&lt;rec-number&gt;280&lt;/rec-number&gt;&lt;foreign-keys&gt;&lt;key app="EN" db-id="etwareaz8xpxz3et59b50d9vxrata9z2w2zt" timestamp="1465496340"&gt;280&lt;/key&gt;&lt;/foreign-keys&gt;&lt;ref-type name="Book"&gt;6&lt;/ref-type&gt;&lt;contributors&gt;&lt;authors&gt;&lt;author&gt;Pierre Bourdieu&lt;/author&gt;&lt;/authors&gt;&lt;/contributors&gt;&lt;titles&gt;&lt;title&gt;Acts of Resistance Against the New Myths of Our Time&lt;/title&gt;&lt;/titles&gt;&lt;dates&gt;&lt;year&gt;1998&lt;/year&gt;&lt;/dates&gt;&lt;pub-location&gt;Cambridge&lt;/pub-location&gt;&lt;publisher&gt;Polity Press&lt;/publisher&gt;&lt;urls&gt;&lt;/urls&gt;&lt;/record&gt;&lt;/Cite&gt;&lt;/EndNote&gt;</w:instrText>
      </w:r>
      <w:r w:rsidRPr="005D3F76">
        <w:rPr>
          <w:rFonts w:cs="Times New Roman"/>
          <w:szCs w:val="24"/>
        </w:rPr>
        <w:fldChar w:fldCharType="separate"/>
      </w:r>
      <w:r w:rsidRPr="005D3F76">
        <w:rPr>
          <w:rFonts w:cs="Times New Roman"/>
          <w:noProof/>
          <w:szCs w:val="24"/>
        </w:rPr>
        <w:t>(Bourdieu, 1998)</w:t>
      </w:r>
      <w:r w:rsidRPr="005D3F76">
        <w:rPr>
          <w:rFonts w:cs="Times New Roman"/>
          <w:szCs w:val="24"/>
        </w:rPr>
        <w:fldChar w:fldCharType="end"/>
      </w:r>
      <w:r w:rsidRPr="005D3F76">
        <w:rPr>
          <w:rFonts w:cs="Times New Roman"/>
          <w:szCs w:val="24"/>
        </w:rPr>
        <w:t xml:space="preserve">. These policy mechanisms are “then linked to the introduction of quasi markets within school settings, which are equated to a human capital approach to education” </w:t>
      </w:r>
      <w:r w:rsidRPr="005D3F76">
        <w:rPr>
          <w:rFonts w:cs="Times New Roman"/>
          <w:szCs w:val="24"/>
        </w:rPr>
        <w:fldChar w:fldCharType="begin"/>
      </w:r>
      <w:r w:rsidRPr="005D3F76">
        <w:rPr>
          <w:rFonts w:cs="Times New Roman"/>
          <w:szCs w:val="24"/>
        </w:rPr>
        <w:instrText xml:space="preserve"> ADDIN EN.CITE &lt;EndNote&gt;&lt;Cite&gt;&lt;Author&gt;Harness&lt;/Author&gt;&lt;Year&gt;2013&lt;/Year&gt;&lt;RecNum&gt;48&lt;/RecNum&gt;&lt;Pages&gt;74&lt;/Pages&gt;&lt;DisplayText&gt;(M. Harness, 2013, p. 74)&lt;/DisplayText&gt;&lt;record&gt;&lt;rec-number&gt;48&lt;/rec-number&gt;&lt;foreign-keys&gt;&lt;key app="EN" db-id="etwareaz8xpxz3et59b50d9vxrata9z2w2zt" timestamp="1453218300"&gt;48&lt;/key&gt;&lt;/foreign-keys&gt;&lt;ref-type name="Book"&gt;6&lt;/ref-type&gt;&lt;contributors&gt;&lt;authors&gt;&lt;author&gt;Melissa Harness&lt;/author&gt;&lt;/authors&gt;&lt;/contributors&gt;&lt;titles&gt;&lt;title&gt;Pretending Teaching is a Profession: Why Pblic School Teaching Will Never Be Considered a True Profession&lt;/title&gt;&lt;/titles&gt;&lt;dates&gt;&lt;year&gt;2013&lt;/year&gt;&lt;/dates&gt;&lt;pub-location&gt;Germany&lt;/pub-location&gt;&lt;publisher&gt;LAP Lambert Academic Publishing&lt;/publisher&gt;&lt;urls&gt;&lt;/urls&gt;&lt;/record&gt;&lt;/Cite&gt;&lt;/EndNote&gt;</w:instrText>
      </w:r>
      <w:r w:rsidRPr="005D3F76">
        <w:rPr>
          <w:rFonts w:cs="Times New Roman"/>
          <w:szCs w:val="24"/>
        </w:rPr>
        <w:fldChar w:fldCharType="separate"/>
      </w:r>
      <w:r w:rsidRPr="005D3F76">
        <w:rPr>
          <w:rFonts w:cs="Times New Roman"/>
          <w:noProof/>
          <w:szCs w:val="24"/>
        </w:rPr>
        <w:t>(M. Harness, 2013, p. 74)</w:t>
      </w:r>
      <w:r w:rsidRPr="005D3F76">
        <w:rPr>
          <w:rFonts w:cs="Times New Roman"/>
          <w:szCs w:val="24"/>
        </w:rPr>
        <w:fldChar w:fldCharType="end"/>
      </w:r>
      <w:r w:rsidRPr="005D3F76">
        <w:rPr>
          <w:rFonts w:cs="Times New Roman"/>
          <w:szCs w:val="24"/>
        </w:rPr>
        <w:t xml:space="preserve">. This leads to a culture that is all about performance, as was witnessed in the above quotations, both for teachers and students, where pay performance and testing become all important in proving that good outcomes will come from what the state has paid for. Bourdieu (1998), goes on to write that on the other hand, metaphorically the left, we have teachers who are the spending part of the unit. According to Bourdieu (1998), it is believed that due to neoliberalism’s effects within education, that the left hand, the teachers, “resist the right hand, the government, in an effort to hold onto some of the improvements [that their unions] have made over the last hundred years” (p. 74-75). Bourdieu (1998) concludes his metaphor by asserting that it is difficult, even if wanting to, for the left hand to shake the right. </w:t>
      </w:r>
    </w:p>
    <w:p w14:paraId="2446E0F4" w14:textId="77777777" w:rsidR="00B03557" w:rsidRPr="005D3F76" w:rsidRDefault="00B03557" w:rsidP="00103B6F">
      <w:pPr>
        <w:ind w:firstLine="720"/>
        <w:rPr>
          <w:rFonts w:cs="Times New Roman"/>
          <w:szCs w:val="24"/>
        </w:rPr>
      </w:pPr>
      <w:r w:rsidRPr="005D3F76">
        <w:rPr>
          <w:rFonts w:cs="Times New Roman"/>
          <w:szCs w:val="24"/>
        </w:rPr>
        <w:t xml:space="preserve">The explanations above in connection with the promulgated discourses by the media’s infusion of neoliberalism throughout their articles can help us understand the attack on teachers and their unions in the state of Wisconsin, and the resulting consequences of Governor Walker </w:t>
      </w:r>
      <w:r w:rsidRPr="005D3F76">
        <w:rPr>
          <w:rFonts w:cs="Times New Roman"/>
          <w:szCs w:val="24"/>
        </w:rPr>
        <w:lastRenderedPageBreak/>
        <w:t xml:space="preserve">wanting to cut the budget by more than $800 million dollars; most of which was coming from education. In the same vein, Walker also restricted the rights of cities and counties in Wisconsin to raise property taxes beyond 5.5%, which could help make up for some of the lost education budget </w:t>
      </w:r>
      <w:r w:rsidRPr="005D3F76">
        <w:rPr>
          <w:rFonts w:cs="Times New Roman"/>
          <w:szCs w:val="24"/>
        </w:rPr>
        <w:fldChar w:fldCharType="begin"/>
      </w:r>
      <w:r w:rsidRPr="005D3F76">
        <w:rPr>
          <w:rFonts w:cs="Times New Roman"/>
          <w:szCs w:val="24"/>
        </w:rPr>
        <w:instrText xml:space="preserve"> ADDIN EN.CITE &lt;EndNote&gt;&lt;Cite&gt;&lt;Author&gt;Hetzner&lt;/Author&gt;&lt;Year&gt;2011&lt;/Year&gt;&lt;RecNum&gt;330&lt;/RecNum&gt;&lt;DisplayText&gt;(Hetzner &amp;amp; Richards, 2011)&lt;/DisplayText&gt;&lt;record&gt;&lt;rec-number&gt;330&lt;/rec-number&gt;&lt;foreign-keys&gt;&lt;key app="EN" db-id="etwareaz8xpxz3et59b50d9vxrata9z2w2zt" timestamp="1467911040"&gt;330&lt;/key&gt;&lt;/foreign-keys&gt;&lt;ref-type name="Newspaper Article"&gt;23&lt;/ref-type&gt;&lt;contributors&gt;&lt;authors&gt;&lt;author&gt;Amy Hetzner&lt;/author&gt;&lt;author&gt;Erin Richards&lt;/author&gt;&lt;/authors&gt;&lt;/contributors&gt;&lt;titles&gt;&lt;title&gt;Budget Cuts $834 Million from Schools&lt;/title&gt;&lt;secondary-title&gt;Milwaukee Wiscon Journal Sentinel&lt;/secondary-title&gt;&lt;/titles&gt;&lt;dates&gt;&lt;year&gt;2011&lt;/year&gt;&lt;/dates&gt;&lt;pub-location&gt;Milwaukee, WI&lt;/pub-location&gt;&lt;urls&gt;&lt;related-urls&gt;&lt;url&gt;http://www.jsonline.com/news/statepolitics/117192683.html&lt;/url&gt;&lt;/related-urls&gt;&lt;/urls&gt;&lt;/record&gt;&lt;/Cite&gt;&lt;/EndNote&gt;</w:instrText>
      </w:r>
      <w:r w:rsidRPr="005D3F76">
        <w:rPr>
          <w:rFonts w:cs="Times New Roman"/>
          <w:szCs w:val="24"/>
        </w:rPr>
        <w:fldChar w:fldCharType="separate"/>
      </w:r>
      <w:r w:rsidRPr="005D3F76">
        <w:rPr>
          <w:rFonts w:cs="Times New Roman"/>
          <w:noProof/>
          <w:szCs w:val="24"/>
        </w:rPr>
        <w:t>(Hetzner &amp; Richards, 2011)</w:t>
      </w:r>
      <w:r w:rsidRPr="005D3F76">
        <w:rPr>
          <w:rFonts w:cs="Times New Roman"/>
          <w:szCs w:val="24"/>
        </w:rPr>
        <w:fldChar w:fldCharType="end"/>
      </w:r>
      <w:r w:rsidRPr="005D3F76">
        <w:rPr>
          <w:rFonts w:cs="Times New Roman"/>
          <w:szCs w:val="24"/>
        </w:rPr>
        <w:t xml:space="preserve">. In response, districts throughout Wisconsin began to eliminate regular classroom teacher aid positions, special education teachers and aids, ESL programs, pre-kindergarten programs, humanity classes, such as, art and music, nurses in schools, part-time teacher positions </w:t>
      </w:r>
      <w:r w:rsidRPr="005D3F76">
        <w:rPr>
          <w:rFonts w:cs="Times New Roman"/>
          <w:szCs w:val="24"/>
        </w:rPr>
        <w:fldChar w:fldCharType="begin"/>
      </w:r>
      <w:r w:rsidRPr="005D3F76">
        <w:rPr>
          <w:rFonts w:cs="Times New Roman"/>
          <w:szCs w:val="24"/>
        </w:rPr>
        <w:instrText xml:space="preserve"> ADDIN EN.CITE &lt;EndNote&gt;&lt;Cite&gt;&lt;Author&gt;Bidden&lt;/Author&gt;&lt;Year&gt;2012&lt;/Year&gt;&lt;RecNum&gt;337&lt;/RecNum&gt;&lt;DisplayText&gt;(Bidden, 2012; Hetzner &amp;amp; Richards, 2011)&lt;/DisplayText&gt;&lt;record&gt;&lt;rec-number&gt;337&lt;/rec-number&gt;&lt;foreign-keys&gt;&lt;key app="EN" db-id="etwareaz8xpxz3et59b50d9vxrata9z2w2zt" timestamp="1469035745"&gt;337&lt;/key&gt;&lt;/foreign-keys&gt;&lt;ref-type name="Electronic Article"&gt;43&lt;/ref-type&gt;&lt;contributors&gt;&lt;authors&gt;&lt;author&gt;Gregory Bidden&lt;/author&gt;&lt;/authors&gt;&lt;/contributors&gt;&lt;titles&gt;&lt;title&gt;School Budget Cuts: How Students Say Slashes Are Affecting Them&lt;/title&gt;&lt;secondary-title&gt;The Huffington Post&lt;/secondary-title&gt;&lt;/titles&gt;&lt;periodical&gt;&lt;full-title&gt;The Huffington Post&lt;/full-title&gt;&lt;/periodical&gt;&lt;dates&gt;&lt;year&gt;2012&lt;/year&gt;&lt;/dates&gt;&lt;pub-location&gt;New York, NY&lt;/pub-location&gt;&lt;publisher&gt;HPMG News&lt;/publisher&gt;&lt;urls&gt;&lt;/urls&gt;&lt;/record&gt;&lt;/Cite&gt;&lt;Cite&gt;&lt;Author&gt;Hetzner&lt;/Author&gt;&lt;Year&gt;2011&lt;/Year&gt;&lt;RecNum&gt;330&lt;/RecNum&gt;&lt;record&gt;&lt;rec-number&gt;330&lt;/rec-number&gt;&lt;foreign-keys&gt;&lt;key app="EN" db-id="etwareaz8xpxz3et59b50d9vxrata9z2w2zt" timestamp="1467911040"&gt;330&lt;/key&gt;&lt;/foreign-keys&gt;&lt;ref-type name="Newspaper Article"&gt;23&lt;/ref-type&gt;&lt;contributors&gt;&lt;authors&gt;&lt;author&gt;Amy Hetzner&lt;/author&gt;&lt;author&gt;Erin Richards&lt;/author&gt;&lt;/authors&gt;&lt;/contributors&gt;&lt;titles&gt;&lt;title&gt;Budget Cuts $834 Million from Schools&lt;/title&gt;&lt;secondary-title&gt;Milwaukee Wiscon Journal Sentinel&lt;/secondary-title&gt;&lt;/titles&gt;&lt;dates&gt;&lt;year&gt;2011&lt;/year&gt;&lt;/dates&gt;&lt;pub-location&gt;Milwaukee, WI&lt;/pub-location&gt;&lt;urls&gt;&lt;related-urls&gt;&lt;url&gt;http://www.jsonline.com/news/statepolitics/117192683.html&lt;/url&gt;&lt;/related-urls&gt;&lt;/urls&gt;&lt;/record&gt;&lt;/Cite&gt;&lt;/EndNote&gt;</w:instrText>
      </w:r>
      <w:r w:rsidRPr="005D3F76">
        <w:rPr>
          <w:rFonts w:cs="Times New Roman"/>
          <w:szCs w:val="24"/>
        </w:rPr>
        <w:fldChar w:fldCharType="separate"/>
      </w:r>
      <w:r w:rsidRPr="005D3F76">
        <w:rPr>
          <w:rFonts w:cs="Times New Roman"/>
          <w:noProof/>
          <w:szCs w:val="24"/>
        </w:rPr>
        <w:t>(Bidden, 2012; Hetzner &amp; Richards, 2011)</w:t>
      </w:r>
      <w:r w:rsidRPr="005D3F76">
        <w:rPr>
          <w:rFonts w:cs="Times New Roman"/>
          <w:szCs w:val="24"/>
        </w:rPr>
        <w:fldChar w:fldCharType="end"/>
      </w:r>
      <w:r w:rsidRPr="005D3F76">
        <w:rPr>
          <w:rFonts w:cs="Times New Roman"/>
          <w:szCs w:val="24"/>
        </w:rPr>
        <w:t xml:space="preserve">. Full-time teacher’s benefits and salaries were also significantly cut or restructured </w:t>
      </w:r>
      <w:r w:rsidRPr="005D3F76">
        <w:rPr>
          <w:rFonts w:cs="Times New Roman"/>
          <w:szCs w:val="24"/>
        </w:rPr>
        <w:fldChar w:fldCharType="begin"/>
      </w:r>
      <w:r w:rsidRPr="005D3F76">
        <w:rPr>
          <w:rFonts w:cs="Times New Roman"/>
          <w:szCs w:val="24"/>
        </w:rPr>
        <w:instrText xml:space="preserve"> ADDIN EN.CITE &lt;EndNote&gt;&lt;Cite&gt;&lt;Author&gt;Stein&lt;/Author&gt;&lt;Year&gt;2012&lt;/Year&gt;&lt;RecNum&gt;338&lt;/RecNum&gt;&lt;DisplayText&gt;(Stein, 2012)&lt;/DisplayText&gt;&lt;record&gt;&lt;rec-number&gt;338&lt;/rec-number&gt;&lt;foreign-keys&gt;&lt;key app="EN" db-id="etwareaz8xpxz3et59b50d9vxrata9z2w2zt" timestamp="1469035960"&gt;338&lt;/key&gt;&lt;/foreign-keys&gt;&lt;ref-type name="Audiovisual Material"&gt;3&lt;/ref-type&gt;&lt;contributors&gt;&lt;authors&gt;&lt;author&gt;Jason Stein&lt;/author&gt;&lt;/authors&gt;&lt;/contributors&gt;&lt;titles&gt;&lt;title&gt;Wisconsin Teachers&amp;apos; Benefits Cuts Championed By Scott Walker Offset Much Of School-Aid Losses&lt;/title&gt;&lt;/titles&gt;&lt;dates&gt;&lt;year&gt;2012&lt;/year&gt;&lt;/dates&gt;&lt;pub-location&gt;New York, NY&lt;/pub-location&gt;&lt;publisher&gt;HPMG News&lt;/publisher&gt;&lt;urls&gt;&lt;/urls&gt;&lt;/record&gt;&lt;/Cite&gt;&lt;/EndNote&gt;</w:instrText>
      </w:r>
      <w:r w:rsidRPr="005D3F76">
        <w:rPr>
          <w:rFonts w:cs="Times New Roman"/>
          <w:szCs w:val="24"/>
        </w:rPr>
        <w:fldChar w:fldCharType="separate"/>
      </w:r>
      <w:r w:rsidRPr="005D3F76">
        <w:rPr>
          <w:rFonts w:cs="Times New Roman"/>
          <w:noProof/>
          <w:szCs w:val="24"/>
        </w:rPr>
        <w:t>(Stein, 2012)</w:t>
      </w:r>
      <w:r w:rsidRPr="005D3F76">
        <w:rPr>
          <w:rFonts w:cs="Times New Roman"/>
          <w:szCs w:val="24"/>
        </w:rPr>
        <w:fldChar w:fldCharType="end"/>
      </w:r>
      <w:r w:rsidRPr="005D3F76">
        <w:rPr>
          <w:rFonts w:cs="Times New Roman"/>
          <w:szCs w:val="24"/>
        </w:rPr>
        <w:t xml:space="preserve">. The newspapers reflected this more conservative and neoliberalistic stance of the Governor by using language that engaged and furthered the discussions surrounding overspending and the need for more competition within the education arena by creating an oppositional positionality between the citizens within Wisconsin and the teachers and teacher unions. A good example of this can be found in </w:t>
      </w:r>
      <w:r w:rsidRPr="005D3F76">
        <w:rPr>
          <w:rFonts w:cs="Times New Roman"/>
          <w:i/>
          <w:szCs w:val="24"/>
        </w:rPr>
        <w:t>The Times</w:t>
      </w:r>
      <w:r w:rsidRPr="005D3F76">
        <w:rPr>
          <w:rFonts w:cs="Times New Roman"/>
          <w:szCs w:val="24"/>
        </w:rPr>
        <w:t>:</w:t>
      </w:r>
    </w:p>
    <w:p w14:paraId="4E30C2E9" w14:textId="77777777" w:rsidR="00B03557" w:rsidRPr="005D3F76" w:rsidRDefault="00B03557" w:rsidP="001D5801">
      <w:pPr>
        <w:ind w:left="1440" w:hanging="720"/>
        <w:rPr>
          <w:rFonts w:cs="Times New Roman"/>
          <w:b/>
          <w:szCs w:val="24"/>
        </w:rPr>
      </w:pPr>
      <w:r w:rsidRPr="005D3F76">
        <w:rPr>
          <w:rFonts w:cs="Times New Roman"/>
          <w:szCs w:val="24"/>
          <w:u w:val="single"/>
        </w:rPr>
        <w:t>Across the country</w:t>
      </w:r>
      <w:r w:rsidRPr="005D3F76">
        <w:rPr>
          <w:rFonts w:cs="Times New Roman"/>
          <w:szCs w:val="24"/>
        </w:rPr>
        <w:t xml:space="preserve">, </w:t>
      </w:r>
      <w:r w:rsidRPr="005D3F76">
        <w:rPr>
          <w:rFonts w:cs="Times New Roman"/>
          <w:szCs w:val="24"/>
          <w:u w:val="single"/>
        </w:rPr>
        <w:t>taxpayers</w:t>
      </w:r>
      <w:r w:rsidRPr="005D3F76">
        <w:rPr>
          <w:rFonts w:cs="Times New Roman"/>
          <w:szCs w:val="24"/>
        </w:rPr>
        <w:t xml:space="preserve"> are providing pensions, benefits and job security </w:t>
      </w:r>
      <w:r w:rsidRPr="005D3F76">
        <w:rPr>
          <w:rFonts w:cs="Times New Roman"/>
          <w:szCs w:val="24"/>
          <w:u w:val="single"/>
        </w:rPr>
        <w:t>protections for public workers</w:t>
      </w:r>
      <w:r w:rsidRPr="005D3F76">
        <w:rPr>
          <w:rFonts w:cs="Times New Roman"/>
          <w:szCs w:val="24"/>
        </w:rPr>
        <w:t xml:space="preserve"> that almost no one in the private sector enjoys. </w:t>
      </w:r>
      <w:r w:rsidRPr="005D3F76">
        <w:rPr>
          <w:rFonts w:cs="Times New Roman"/>
          <w:szCs w:val="24"/>
          <w:u w:val="single"/>
        </w:rPr>
        <w:t xml:space="preserve">Taxpayers </w:t>
      </w:r>
      <w:r w:rsidRPr="005D3F76">
        <w:rPr>
          <w:rFonts w:cs="Times New Roman"/>
          <w:szCs w:val="24"/>
        </w:rPr>
        <w:t xml:space="preserve">simply cannot afford [it]…the scale has been increasingly </w:t>
      </w:r>
      <w:r w:rsidRPr="005D3F76">
        <w:rPr>
          <w:rFonts w:cs="Times New Roman"/>
          <w:szCs w:val="24"/>
          <w:u w:val="double"/>
        </w:rPr>
        <w:t>tipping</w:t>
      </w:r>
      <w:r w:rsidRPr="005D3F76">
        <w:rPr>
          <w:rFonts w:cs="Times New Roman"/>
          <w:szCs w:val="24"/>
        </w:rPr>
        <w:t xml:space="preserve"> away from </w:t>
      </w:r>
      <w:r w:rsidRPr="005D3F76">
        <w:rPr>
          <w:rFonts w:cs="Times New Roman"/>
          <w:szCs w:val="24"/>
          <w:u w:val="single"/>
        </w:rPr>
        <w:t>taxpayers</w:t>
      </w:r>
      <w:r w:rsidRPr="005D3F76">
        <w:rPr>
          <w:rFonts w:cs="Times New Roman"/>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&lt;EndNote&gt;&lt;Cite&gt;&lt;Author&gt;Bloomberg&lt;/Author&gt;&lt;Year&gt;2011&lt;/Year&gt;&lt;RecNum&gt;88&lt;/RecNum&gt;&lt;DisplayText&gt;(Bloomberg, 2011)&lt;/DisplayText&gt;&lt;record&gt;&lt;rec-number&gt;88&lt;/rec-number&gt;&lt;foreign-keys&gt;&lt;key app="EN" db-id="etwareaz8xpxz3et59b50d9vxrata9z2w2zt" timestamp="1455565004"&gt;88&lt;/key&gt;&lt;/foreign-keys&gt;&lt;ref-type name="Newspaper Article"&gt;23&lt;/ref-type&gt;&lt;contributors&gt;&lt;authors&gt;&lt;author&gt;Michael R. Bloomberg&lt;/author&gt;&lt;/authors&gt;&lt;/contributors&gt;&lt;titles&gt;&lt;title&gt;Limit Pay, Not Unions&lt;/title&gt;&lt;secondary-title&gt;The New York Times&lt;/secondary-title&gt;&lt;/titles&gt;&lt;pages&gt;23&lt;/pages&gt;&lt;section&gt;Editorial Desk&lt;/section&gt;&lt;dates&gt;&lt;year&gt;2011&lt;/year&gt;&lt;pub-dates&gt;&lt;date&gt;February 28&lt;/date&gt;&lt;/pub-dates&gt;&lt;/dates&gt;&lt;pub-location&gt;New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(Bloomberg, 2011)</w:t>
      </w:r>
      <w:r w:rsidRPr="005D3F76">
        <w:rPr>
          <w:rFonts w:cs="Times New Roman"/>
          <w:szCs w:val="24"/>
        </w:rPr>
        <w:fldChar w:fldCharType="end"/>
      </w:r>
      <w:r w:rsidRPr="005D3F76">
        <w:rPr>
          <w:rFonts w:cs="Times New Roman"/>
          <w:szCs w:val="24"/>
        </w:rPr>
        <w:t xml:space="preserve"> </w:t>
      </w:r>
      <w:r w:rsidRPr="005D3F76">
        <w:rPr>
          <w:rFonts w:cs="Times New Roman"/>
          <w:b/>
          <w:szCs w:val="24"/>
        </w:rPr>
        <w:tab/>
      </w:r>
    </w:p>
    <w:p w14:paraId="3FB24F6B" w14:textId="77777777" w:rsidR="00B03557" w:rsidRPr="005D3F76" w:rsidRDefault="00B03557" w:rsidP="00103B6F">
      <w:pPr>
        <w:rPr>
          <w:rFonts w:cs="Times New Roman"/>
          <w:szCs w:val="24"/>
        </w:rPr>
      </w:pPr>
      <w:r w:rsidRPr="005D3F76">
        <w:rPr>
          <w:rFonts w:cs="Times New Roman"/>
          <w:szCs w:val="24"/>
        </w:rPr>
        <w:t>The language found in this passage clearly depicts the newspapers attempt at creating an oppositional environment between larger society and the unions. The language within this passage is also telling of the more neoliberalistic stance that the</w:t>
      </w:r>
      <w:r w:rsidRPr="005D3F76">
        <w:rPr>
          <w:rFonts w:cs="Times New Roman"/>
          <w:i/>
          <w:szCs w:val="24"/>
        </w:rPr>
        <w:t xml:space="preserve"> Times</w:t>
      </w:r>
      <w:r w:rsidRPr="005D3F76">
        <w:rPr>
          <w:rFonts w:cs="Times New Roman"/>
          <w:szCs w:val="24"/>
        </w:rPr>
        <w:t xml:space="preserve"> takes in regard to what they view as an impractical business practice, one that those in the private sector cannot afford to do. This ‘advantage’ that the public sector union gets according to the</w:t>
      </w:r>
      <w:r w:rsidRPr="005D3F76">
        <w:rPr>
          <w:rFonts w:cs="Times New Roman"/>
          <w:i/>
          <w:szCs w:val="24"/>
        </w:rPr>
        <w:t xml:space="preserve"> Times</w:t>
      </w:r>
      <w:r w:rsidRPr="005D3F76">
        <w:rPr>
          <w:rFonts w:cs="Times New Roman"/>
          <w:szCs w:val="24"/>
        </w:rPr>
        <w:t xml:space="preserve">, also creates competition between the taxpayers and the public sector unions; so now they are not only </w:t>
      </w:r>
      <w:r w:rsidRPr="005D3F76">
        <w:rPr>
          <w:rFonts w:cs="Times New Roman"/>
          <w:szCs w:val="24"/>
        </w:rPr>
        <w:lastRenderedPageBreak/>
        <w:t xml:space="preserve">creating an oppositional arena for the unions and society in Wisconsin, but they are creating an atmosphere of competition, even though the workers within the public sector unions are also taxpaying members of society. The double lined verb, ‘tipping’, indicates this competition between these two entities by creating a picture within the reader’s mind. This picture harkens to a scale of sorts, that if anything else goes the way of the public sector unions, then the results are that the taxpayers, the citizenry outside public sector workers, are going to be the clear losers, hence the only action is to denounce the unions and make it harder for them to be able to collectively bargain, just what ACT 10 has provided for them. This leads to the idea that since the taxpayers (outside of public sector workers) do not want to pay more for education, that the possible answer lies within the private sector and what they can provide. It can be ascertained that the “privatization of state institutions, particularly the defunding of public education, appears to have serious implications” for the future of equity and democracy within the U.S. </w:t>
      </w:r>
      <w:r w:rsidRPr="005D3F76">
        <w:rPr>
          <w:rFonts w:cs="Times New Roman"/>
          <w:szCs w:val="24"/>
        </w:rPr>
        <w:fldChar w:fldCharType="begin"/>
      </w:r>
      <w:r w:rsidRPr="005D3F76">
        <w:rPr>
          <w:rFonts w:cs="Times New Roman"/>
          <w:szCs w:val="24"/>
        </w:rPr>
        <w:instrText xml:space="preserve"> ADDIN EN.CITE &lt;EndNote&gt;&lt;Cite&gt;&lt;Author&gt;Baltodaro&lt;/Author&gt;&lt;Year&gt;2012&lt;/Year&gt;&lt;RecNum&gt;84&lt;/RecNum&gt;&lt;Pages&gt;494&lt;/Pages&gt;&lt;DisplayText&gt;(Baltodaro, 2012, p. 494)&lt;/DisplayText&gt;&lt;record&gt;&lt;rec-number&gt;84&lt;/rec-number&gt;&lt;foreign-keys&gt;&lt;key app="EN" db-id="etwareaz8xpxz3et59b50d9vxrata9z2w2zt" timestamp="1454261667"&gt;84&lt;/key&gt;&lt;/foreign-keys&gt;&lt;ref-type name="Journal Article"&gt;17&lt;/ref-type&gt;&lt;contributors&gt;&lt;authors&gt;&lt;author&gt;M. Baltodaro&lt;/author&gt;&lt;/authors&gt;&lt;/contributors&gt;&lt;titles&gt;&lt;title&gt;Neoliberalism and the demise of public education: the corporatization of schools in education&lt;/title&gt;&lt;secondary-title&gt;International Journal of Qualitative Studies in Education&lt;/secondary-title&gt;&lt;/titles&gt;&lt;periodical&gt;&lt;full-title&gt;International Journal of Qualitative Studies in Education&lt;/full-title&gt;&lt;/periodical&gt;&lt;pages&gt;487-507&lt;/pages&gt;&lt;volume&gt;25&lt;/volume&gt;&lt;number&gt;4&lt;/number&gt;&lt;dates&gt;&lt;year&gt;2012&lt;/year&gt;&lt;/dates&gt;&lt;urls&gt;&lt;/urls&gt;&lt;/record&gt;&lt;/Cite&gt;&lt;/EndNote&gt;</w:instrText>
      </w:r>
      <w:r w:rsidRPr="005D3F76">
        <w:rPr>
          <w:rFonts w:cs="Times New Roman"/>
          <w:szCs w:val="24"/>
        </w:rPr>
        <w:fldChar w:fldCharType="separate"/>
      </w:r>
      <w:r w:rsidRPr="005D3F76">
        <w:rPr>
          <w:rFonts w:cs="Times New Roman"/>
          <w:noProof/>
          <w:szCs w:val="24"/>
        </w:rPr>
        <w:t>(Baltodaro, 2012, p. 494)</w:t>
      </w:r>
      <w:r w:rsidRPr="005D3F76">
        <w:rPr>
          <w:rFonts w:cs="Times New Roman"/>
          <w:szCs w:val="24"/>
        </w:rPr>
        <w:fldChar w:fldCharType="end"/>
      </w:r>
      <w:r w:rsidRPr="005D3F76">
        <w:rPr>
          <w:rFonts w:cs="Times New Roman"/>
          <w:szCs w:val="24"/>
        </w:rPr>
        <w:t>.</w:t>
      </w:r>
    </w:p>
    <w:p w14:paraId="369D8F7E" w14:textId="77777777" w:rsidR="00B03557" w:rsidRPr="005D3F76" w:rsidRDefault="00B03557" w:rsidP="00103B6F">
      <w:pPr>
        <w:jc w:val="both"/>
        <w:rPr>
          <w:rFonts w:cs="Times New Roman"/>
          <w:szCs w:val="24"/>
        </w:rPr>
      </w:pPr>
      <w:r w:rsidRPr="005D3F76">
        <w:rPr>
          <w:rFonts w:cs="Times New Roman"/>
          <w:szCs w:val="24"/>
        </w:rPr>
        <w:tab/>
        <w:t xml:space="preserve">The </w:t>
      </w:r>
      <w:r w:rsidRPr="005D3F76">
        <w:rPr>
          <w:rFonts w:cs="Times New Roman"/>
          <w:i/>
          <w:szCs w:val="24"/>
        </w:rPr>
        <w:t>WSJ</w:t>
      </w:r>
      <w:r w:rsidRPr="005D3F76">
        <w:rPr>
          <w:rFonts w:cs="Times New Roman"/>
          <w:szCs w:val="24"/>
        </w:rPr>
        <w:t xml:space="preserve"> was the newspaper that was overly concerned with the economy and relaying a cost benefit analysis to their readers. They consistently pitted teacher unions against others in society like Wisconsin citizens, but especially the politicians who were trying to make ACT 10 a state law. In the following instance, the </w:t>
      </w:r>
      <w:r w:rsidRPr="005D3F76">
        <w:rPr>
          <w:rFonts w:cs="Times New Roman"/>
          <w:i/>
          <w:szCs w:val="24"/>
        </w:rPr>
        <w:t>WSJ</w:t>
      </w:r>
      <w:r w:rsidRPr="005D3F76">
        <w:rPr>
          <w:rFonts w:cs="Times New Roman"/>
          <w:szCs w:val="24"/>
        </w:rPr>
        <w:t xml:space="preserve"> wrote about how the teacher unions (WEAC) were willing to talk reform only after the initial introductions of ACT 10 was going into motion on the floor of the legislature:</w:t>
      </w:r>
    </w:p>
    <w:p w14:paraId="5596A386" w14:textId="77777777" w:rsidR="00B03557" w:rsidRPr="005D3F76" w:rsidRDefault="00B03557" w:rsidP="001D5801">
      <w:pPr>
        <w:ind w:left="1440" w:hanging="720"/>
        <w:jc w:val="both"/>
        <w:rPr>
          <w:rFonts w:cs="Times New Roman"/>
          <w:szCs w:val="24"/>
        </w:rPr>
      </w:pPr>
      <w:r w:rsidRPr="005D3F76">
        <w:rPr>
          <w:rFonts w:cs="Times New Roman"/>
          <w:szCs w:val="24"/>
        </w:rPr>
        <w:t>Under its “</w:t>
      </w:r>
      <w:r w:rsidRPr="005D3F76">
        <w:rPr>
          <w:rFonts w:cs="Times New Roman"/>
          <w:szCs w:val="24"/>
          <w:u w:val="single"/>
        </w:rPr>
        <w:t>performance pay</w:t>
      </w:r>
      <w:r w:rsidRPr="005D3F76">
        <w:rPr>
          <w:rFonts w:cs="Times New Roman"/>
          <w:szCs w:val="24"/>
        </w:rPr>
        <w:t xml:space="preserve">” proposal, teachers would get more for staffing hard-to-staff schools and filling hard-to-fill positions. Pay would also be related to regular </w:t>
      </w:r>
      <w:r w:rsidRPr="005D3F76">
        <w:rPr>
          <w:rFonts w:cs="Times New Roman"/>
          <w:szCs w:val="24"/>
          <w:u w:val="single"/>
        </w:rPr>
        <w:t>employee evaluations</w:t>
      </w:r>
      <w:r w:rsidRPr="005D3F76">
        <w:rPr>
          <w:rFonts w:cs="Times New Roman"/>
          <w:szCs w:val="24"/>
        </w:rPr>
        <w:t xml:space="preserve">—if in some as-yet-defined, possibly very weak way…This is about </w:t>
      </w:r>
      <w:r w:rsidRPr="005D3F76">
        <w:rPr>
          <w:rFonts w:cs="Times New Roman"/>
          <w:szCs w:val="24"/>
          <w:u w:val="double"/>
        </w:rPr>
        <w:t>a bigger education pie</w:t>
      </w:r>
      <w:r w:rsidRPr="005D3F76">
        <w:rPr>
          <w:rFonts w:cs="Times New Roman"/>
          <w:szCs w:val="24"/>
        </w:rPr>
        <w:t xml:space="preserve">, in other words, not about the </w:t>
      </w:r>
      <w:r w:rsidRPr="005D3F76">
        <w:rPr>
          <w:rFonts w:cs="Times New Roman"/>
          <w:szCs w:val="24"/>
          <w:u w:val="double"/>
        </w:rPr>
        <w:t xml:space="preserve">same pie cut into </w:t>
      </w:r>
      <w:r w:rsidRPr="005D3F76">
        <w:rPr>
          <w:rFonts w:cs="Times New Roman"/>
          <w:szCs w:val="24"/>
          <w:u w:val="double"/>
        </w:rPr>
        <w:lastRenderedPageBreak/>
        <w:t>different-sized pieces</w:t>
      </w:r>
      <w:r w:rsidRPr="005D3F76">
        <w:rPr>
          <w:rFonts w:cs="Times New Roman"/>
          <w:szCs w:val="24"/>
        </w:rPr>
        <w:t xml:space="preserve">…What’s most irritating about WEAC’s proposal is not its shortcomings or its political motivations though, because it’s clear that teachers at least are starting to move toward a more </w:t>
      </w:r>
      <w:r w:rsidRPr="005D3F76">
        <w:rPr>
          <w:rFonts w:cs="Times New Roman"/>
          <w:szCs w:val="24"/>
          <w:u w:val="single"/>
        </w:rPr>
        <w:t>rational employment model</w:t>
      </w:r>
      <w:r w:rsidRPr="005D3F76">
        <w:rPr>
          <w:rFonts w:cs="Times New Roman"/>
          <w:szCs w:val="24"/>
        </w:rPr>
        <w:t xml:space="preserve">; it’s that had all these ‘reforms’ been proposed a year ago, </w:t>
      </w:r>
      <w:r w:rsidRPr="005D3F76">
        <w:rPr>
          <w:rFonts w:cs="Times New Roman"/>
          <w:szCs w:val="24"/>
          <w:u w:val="dash"/>
        </w:rPr>
        <w:t>Wisconsin and their citizens</w:t>
      </w:r>
      <w:r w:rsidRPr="005D3F76">
        <w:rPr>
          <w:rFonts w:cs="Times New Roman"/>
          <w:szCs w:val="24"/>
        </w:rPr>
        <w:t xml:space="preserve">, probably would have had a better chance at </w:t>
      </w:r>
      <w:r w:rsidRPr="005D3F76">
        <w:rPr>
          <w:rFonts w:cs="Times New Roman"/>
          <w:szCs w:val="24"/>
          <w:u w:val="single"/>
        </w:rPr>
        <w:t>winning a grant</w:t>
      </w:r>
      <w:r w:rsidRPr="005D3F76">
        <w:rPr>
          <w:rFonts w:cs="Times New Roman"/>
          <w:szCs w:val="24"/>
        </w:rPr>
        <w:t xml:space="preserve"> through the Obama </w:t>
      </w:r>
      <w:r w:rsidRPr="005D3F76">
        <w:rPr>
          <w:rFonts w:cs="Times New Roman"/>
          <w:szCs w:val="24"/>
          <w:u w:val="single"/>
        </w:rPr>
        <w:t xml:space="preserve">Administration’s </w:t>
      </w:r>
      <w:r w:rsidRPr="005D3F76">
        <w:rPr>
          <w:rFonts w:cs="Times New Roman"/>
          <w:i/>
          <w:szCs w:val="24"/>
          <w:u w:val="single"/>
        </w:rPr>
        <w:t>Race to the Top</w:t>
      </w:r>
      <w:r w:rsidRPr="005D3F76">
        <w:rPr>
          <w:rFonts w:cs="Times New Roman"/>
          <w:szCs w:val="24"/>
          <w:u w:val="single"/>
        </w:rPr>
        <w:t xml:space="preserve"> initiative. </w:t>
      </w:r>
      <w:r w:rsidRPr="005D3F76">
        <w:rPr>
          <w:rFonts w:cs="Times New Roman"/>
          <w:szCs w:val="24"/>
        </w:rPr>
        <w:fldChar w:fldCharType="begin"/>
      </w:r>
      <w:r w:rsidRPr="005D3F76">
        <w:rPr>
          <w:rFonts w:cs="Times New Roman"/>
          <w:szCs w:val="24"/>
        </w:rPr>
        <w:instrText xml:space="preserve"> ADDIN EN.CITE &lt;EndNote&gt;&lt;Cite&gt;&lt;Author&gt;Rickert&lt;/Author&gt;&lt;Year&gt;2011&lt;/Year&gt;&lt;RecNum&gt;130&lt;/RecNum&gt;&lt;DisplayText&gt;(Rickert, 2011c)&lt;/DisplayText&gt;&lt;record&gt;&lt;rec-number&gt;130&lt;/rec-number&gt;&lt;foreign-keys&gt;&lt;key app="EN" db-id="etwareaz8xpxz3et59b50d9vxrata9z2w2zt" timestamp="1455584934"&gt;130&lt;/key&gt;&lt;/foreign-keys&gt;&lt;ref-type name="Newspaper Article"&gt;23&lt;/ref-type&gt;&lt;contributors&gt;&lt;authors&gt;&lt;author&gt;Chris Rickert&lt;/author&gt;&lt;/authors&gt;&lt;/contributors&gt;&lt;titles&gt;&lt;title&gt;Union Plan Too Late to Help Schools&lt;/title&gt;&lt;secondary-title&gt;Wisconsin State Journal&lt;/secondary-title&gt;&lt;/titles&gt;&lt;pages&gt;C1&lt;/pages&gt;&lt;section&gt;Local Sunday&lt;/section&gt;&lt;dates&gt;&lt;year&gt;2011&lt;/year&gt;&lt;pub-dates&gt;&lt;date&gt;February 13&lt;/date&gt;&lt;/pub-dates&gt;&lt;/dates&gt;&lt;pub-location&gt;Madison,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(Rickert, 2011c)</w:t>
      </w:r>
      <w:r w:rsidRPr="005D3F76">
        <w:rPr>
          <w:rFonts w:cs="Times New Roman"/>
          <w:szCs w:val="24"/>
        </w:rPr>
        <w:fldChar w:fldCharType="end"/>
      </w:r>
    </w:p>
    <w:p w14:paraId="0F0C21DA" w14:textId="77777777" w:rsidR="00B03557" w:rsidRPr="005D3F76" w:rsidRDefault="00B03557" w:rsidP="00103B6F">
      <w:pPr>
        <w:tabs>
          <w:tab w:val="left" w:pos="0"/>
        </w:tabs>
        <w:ind w:left="90"/>
        <w:jc w:val="both"/>
        <w:rPr>
          <w:rFonts w:cs="Times New Roman"/>
          <w:szCs w:val="24"/>
        </w:rPr>
      </w:pPr>
      <w:r w:rsidRPr="005D3F76">
        <w:rPr>
          <w:rFonts w:cs="Times New Roman"/>
          <w:szCs w:val="24"/>
        </w:rPr>
        <w:t xml:space="preserve">This discourse from the </w:t>
      </w:r>
      <w:r w:rsidRPr="005D3F76">
        <w:rPr>
          <w:rFonts w:cs="Times New Roman"/>
          <w:i/>
          <w:szCs w:val="24"/>
        </w:rPr>
        <w:t>WSJ</w:t>
      </w:r>
      <w:r w:rsidRPr="005D3F76">
        <w:rPr>
          <w:rFonts w:cs="Times New Roman"/>
          <w:szCs w:val="24"/>
        </w:rPr>
        <w:t xml:space="preserve"> exemplifies the language that is indicative of the neoliberal stance that the newspapers took within their articles concerning the teacher unions within Wisconsin. The single underlined instances above indicate ‘corporatist’ language that harkens to principles that are generally found within the business world. The double underlined part above indicates a metaphor within this passage relating to the economy and education. While the dotted line indicates the use of the oppositional. As the above example provides, we see that the </w:t>
      </w:r>
      <w:r w:rsidRPr="005D3F76">
        <w:rPr>
          <w:rFonts w:cs="Times New Roman"/>
          <w:i/>
          <w:szCs w:val="24"/>
        </w:rPr>
        <w:t>WSJ</w:t>
      </w:r>
      <w:r w:rsidRPr="005D3F76">
        <w:rPr>
          <w:rFonts w:cs="Times New Roman"/>
          <w:szCs w:val="24"/>
        </w:rPr>
        <w:t xml:space="preserve">’s article is insisting that the society within Wisconsin should be angry with the teacher unions because the reforms that were discussed after ACT 10, should have been done before.  The author claims that if the reforms had been put into place, then Wisconsin may have been able to receive money from the federal program, </w:t>
      </w:r>
      <w:r w:rsidRPr="005D3F76">
        <w:rPr>
          <w:rFonts w:cs="Times New Roman"/>
          <w:i/>
          <w:szCs w:val="24"/>
        </w:rPr>
        <w:t>Race to the Top</w:t>
      </w:r>
      <w:r w:rsidRPr="005D3F76">
        <w:rPr>
          <w:rFonts w:cs="Times New Roman"/>
          <w:szCs w:val="24"/>
        </w:rPr>
        <w:t xml:space="preserve">—another neoliberal reminder here. Within this short example, a modality can also be ascertained, as what the teacher unions ‘should’ have done months before the Governor’s introduction of ACT 10. The pursuance here is that if the unions had come up with any types of reforms or different ways of doing things before, then Governor Walker wouldn’t have introduced the new legislation. As Bourdieu would ascertain, this is an instance where the left hand could not shake with the right. Whether or not this may be the case is inconsequential, as the discourse within the article has done its job in inciting a negative look </w:t>
      </w:r>
      <w:r w:rsidRPr="005D3F76">
        <w:rPr>
          <w:rFonts w:cs="Times New Roman"/>
          <w:szCs w:val="24"/>
        </w:rPr>
        <w:lastRenderedPageBreak/>
        <w:t>at the teacher unions, and how the union’s practices clash with the new globalized reality, the one that the business world embraces.</w:t>
      </w:r>
    </w:p>
    <w:p w14:paraId="5F7B5753" w14:textId="77777777" w:rsidR="00B03557" w:rsidRPr="005D3F76" w:rsidRDefault="00B03557" w:rsidP="00103B6F">
      <w:pPr>
        <w:tabs>
          <w:tab w:val="left" w:pos="0"/>
        </w:tabs>
        <w:rPr>
          <w:rFonts w:cs="Times New Roman"/>
          <w:szCs w:val="24"/>
        </w:rPr>
      </w:pPr>
      <w:r w:rsidRPr="005D3F76">
        <w:rPr>
          <w:rFonts w:cs="Times New Roman"/>
          <w:szCs w:val="24"/>
        </w:rPr>
        <w:tab/>
        <w:t xml:space="preserve">What’s interesting about the above-mentioned example is the way in which the neoliberalistic agenda is so tightly placed, and to most readers their use would go largely unnoticed within the newspaper articles that were researched. The way that they use and promote facets of the marketization of education through, “standards-based assessment, all of which are pillars of the global education reform movement” is fascinating to see over and over again within the discourse </w:t>
      </w:r>
      <w:r w:rsidRPr="005D3F76">
        <w:rPr>
          <w:rFonts w:cs="Times New Roman"/>
          <w:szCs w:val="24"/>
        </w:rPr>
        <w:fldChar w:fldCharType="begin"/>
      </w:r>
      <w:r w:rsidRPr="005D3F76">
        <w:rPr>
          <w:rFonts w:cs="Times New Roman"/>
          <w:szCs w:val="24"/>
        </w:rPr>
        <w:instrText xml:space="preserve"> ADDIN EN.CITE &lt;EndNote&gt;&lt;Cite&gt;&lt;Author&gt;Gautreaux&lt;/Author&gt;&lt;Year&gt;2015&lt;/Year&gt;&lt;RecNum&gt;273&lt;/RecNum&gt;&lt;Pages&gt;3&lt;/Pages&gt;&lt;DisplayText&gt;(Gautreaux, 2015, p. 3)&lt;/DisplayText&gt;&lt;record&gt;&lt;rec-number&gt;273&lt;/rec-number&gt;&lt;foreign-keys&gt;&lt;key app="EN" db-id="etwareaz8xpxz3et59b50d9vxrata9z2w2zt" timestamp="1465344921"&gt;273&lt;/key&gt;&lt;/foreign-keys&gt;&lt;ref-type name="Journal Article"&gt;17&lt;/ref-type&gt;&lt;contributors&gt;&lt;authors&gt;&lt;author&gt;Michelle Gautreaux&lt;/author&gt;&lt;/authors&gt;&lt;/contributors&gt;&lt;titles&gt;&lt;title&gt;Neoliberal Education Reform&amp;apos;s Mouthpiece Education Week&amp;apos;s Discourse on Teach for America&lt;/title&gt;&lt;secondary-title&gt;Critical Education&lt;/secondary-title&gt;&lt;/titles&gt;&lt;periodical&gt;&lt;full-title&gt;Critical Education&lt;/full-title&gt;&lt;/periodical&gt;&lt;pages&gt;1-20&lt;/pages&gt;&lt;volume&gt;6&lt;/volume&gt;&lt;number&gt;11&lt;/number&gt;&lt;dates&gt;&lt;year&gt;2015&lt;/year&gt;&lt;/dates&gt;&lt;urls&gt;&lt;/urls&gt;&lt;/record&gt;&lt;/Cite&gt;&lt;/EndNote&gt;</w:instrText>
      </w:r>
      <w:r w:rsidRPr="005D3F76">
        <w:rPr>
          <w:rFonts w:cs="Times New Roman"/>
          <w:szCs w:val="24"/>
        </w:rPr>
        <w:fldChar w:fldCharType="separate"/>
      </w:r>
      <w:r w:rsidRPr="005D3F76">
        <w:rPr>
          <w:rFonts w:cs="Times New Roman"/>
          <w:noProof/>
          <w:szCs w:val="24"/>
        </w:rPr>
        <w:t>(Gautreaux, 2015, p. 3)</w:t>
      </w:r>
      <w:r w:rsidRPr="005D3F76">
        <w:rPr>
          <w:rFonts w:cs="Times New Roman"/>
          <w:szCs w:val="24"/>
        </w:rPr>
        <w:fldChar w:fldCharType="end"/>
      </w:r>
      <w:r w:rsidRPr="005D3F76">
        <w:rPr>
          <w:rFonts w:cs="Times New Roman"/>
          <w:szCs w:val="24"/>
        </w:rPr>
        <w:t xml:space="preserve">. Ellison </w:t>
      </w:r>
      <w:r w:rsidRPr="005D3F76">
        <w:rPr>
          <w:rFonts w:cs="Times New Roman"/>
          <w:szCs w:val="24"/>
        </w:rPr>
        <w:fldChar w:fldCharType="begin"/>
      </w:r>
      <w:r w:rsidRPr="005D3F76">
        <w:rPr>
          <w:rFonts w:cs="Times New Roman"/>
          <w:szCs w:val="24"/>
        </w:rPr>
        <w:instrText xml:space="preserve"> ADDIN EN.CITE &lt;EndNote&gt;&lt;Cite ExcludeAuth="1"&gt;&lt;Author&gt;Ellison&lt;/Author&gt;&lt;Year&gt;2009&lt;/Year&gt;&lt;RecNum&gt;332&lt;/RecNum&gt;&lt;DisplayText&gt;(2009)&lt;/DisplayText&gt;&lt;record&gt;&lt;rec-number&gt;332&lt;/rec-number&gt;&lt;foreign-keys&gt;&lt;key app="EN" db-id="etwareaz8xpxz3et59b50d9vxrata9z2w2zt" timestamp="1467917809"&gt;332&lt;/key&gt;&lt;/foreign-keys&gt;&lt;ref-type name="Thesis"&gt;32&lt;/ref-type&gt;&lt;contributors&gt;&lt;authors&gt;&lt;author&gt;Bradley Scott Ellison&lt;/author&gt;&lt;/authors&gt;&lt;tertiary-authors&gt;&lt;author&gt;Dr. Barbara Thayer-Bacon&lt;/author&gt;&lt;/tertiary-authors&gt;&lt;/contributors&gt;&lt;titles&gt;&lt;title&gt;In Contradiction: The Concept of Globaization in the Popular Discourse of Education Reform&lt;/title&gt;&lt;secondary-title&gt;Cultural Studies&lt;/secondary-title&gt;&lt;/titles&gt;&lt;volume&gt;Doctoral Dissertation&lt;/volume&gt;&lt;dates&gt;&lt;year&gt;2009&lt;/year&gt;&lt;/dates&gt;&lt;pub-location&gt;Knoxville, TN&lt;/pub-location&gt;&lt;publisher&gt;University of Tennessee&lt;/publisher&gt;&lt;urls&gt;&lt;/urls&gt;&lt;/record&gt;&lt;/Cite&gt;&lt;/EndNote&gt;</w:instrText>
      </w:r>
      <w:r w:rsidRPr="005D3F76">
        <w:rPr>
          <w:rFonts w:cs="Times New Roman"/>
          <w:szCs w:val="24"/>
        </w:rPr>
        <w:fldChar w:fldCharType="separate"/>
      </w:r>
      <w:r w:rsidRPr="005D3F76">
        <w:rPr>
          <w:rFonts w:cs="Times New Roman"/>
          <w:noProof/>
          <w:szCs w:val="24"/>
        </w:rPr>
        <w:t>(2009)</w:t>
      </w:r>
      <w:r w:rsidRPr="005D3F76">
        <w:rPr>
          <w:rFonts w:cs="Times New Roman"/>
          <w:szCs w:val="24"/>
        </w:rPr>
        <w:fldChar w:fldCharType="end"/>
      </w:r>
      <w:r w:rsidRPr="005D3F76">
        <w:rPr>
          <w:rFonts w:cs="Times New Roman"/>
          <w:szCs w:val="24"/>
        </w:rPr>
        <w:t xml:space="preserve"> asserts that the language above makes sense since the newspapers are “attempt[ing] to frame popular discourse and sway public opinion that provide a ‘common language’ unifying the disparate and often conflicting actors and interests engaged in policy debates under one broad discursive umbrella,” which in this case happens to be that of the ideals around neoliberalism (p. 2). So it can be seen within the newspapers that the discourse includes everything from “a merger” </w:t>
      </w:r>
      <w:r w:rsidRPr="005D3F76">
        <w:rPr>
          <w:rFonts w:cs="Times New Roman"/>
          <w:szCs w:val="24"/>
        </w:rPr>
        <w:fldChar w:fldCharType="begin"/>
      </w:r>
      <w:r w:rsidRPr="005D3F76">
        <w:rPr>
          <w:rFonts w:cs="Times New Roman"/>
          <w:szCs w:val="24"/>
        </w:rPr>
        <w:instrText xml:space="preserve"> ADDIN EN.CITE &lt;EndNote&gt;&lt;Cite&gt;&lt;Author&gt;Craver&lt;/Author&gt;&lt;Year&gt;2012&lt;/Year&gt;&lt;RecNum&gt;142&lt;/RecNum&gt;&lt;DisplayText&gt;(Craver, 2012)&lt;/DisplayText&gt;&lt;record&gt;&lt;rec-number&gt;142&lt;/rec-number&gt;&lt;foreign-keys&gt;&lt;key app="EN" db-id="etwareaz8xpxz3et59b50d9vxrata9z2w2zt" timestamp="1455741580"&gt;142&lt;/key&gt;&lt;/foreign-keys&gt;&lt;ref-type name="Newspaper Article"&gt;23&lt;/ref-type&gt;&lt;contributors&gt;&lt;authors&gt;&lt;author&gt;Jack Craver&lt;/author&gt;&lt;/authors&gt;&lt;/contributors&gt;&lt;titles&gt;&lt;title&gt;Teachers Union Chief Explains New Reality For Labor: Q &amp;amp; A Mary Bell&lt;/title&gt;&lt;secondary-title&gt;The Capital Times&lt;/secondary-title&gt;&lt;/titles&gt;&lt;pages&gt;8&lt;/pages&gt;&lt;section&gt;All Edition&lt;/section&gt;&lt;dates&gt;&lt;year&gt;2012&lt;/year&gt;&lt;pub-dates&gt;&lt;date&gt;December 5&lt;/date&gt;&lt;/pub-dates&gt;&lt;/dates&gt;&lt;pub-location&gt;Madison,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(Craver, 2012)</w:t>
      </w:r>
      <w:r w:rsidRPr="005D3F76">
        <w:rPr>
          <w:rFonts w:cs="Times New Roman"/>
          <w:szCs w:val="24"/>
        </w:rPr>
        <w:fldChar w:fldCharType="end"/>
      </w:r>
      <w:r w:rsidRPr="005D3F76">
        <w:rPr>
          <w:rFonts w:cs="Times New Roman"/>
          <w:szCs w:val="24"/>
        </w:rPr>
        <w:t xml:space="preserve"> between unions and education to the government, to calling students “consumers” </w:t>
      </w:r>
      <w:r w:rsidRPr="005D3F76">
        <w:rPr>
          <w:rFonts w:cs="Times New Roman"/>
          <w:szCs w:val="24"/>
        </w:rPr>
        <w:fldChar w:fldCharType="begin"/>
      </w:r>
      <w:r w:rsidRPr="005D3F76">
        <w:rPr>
          <w:rFonts w:cs="Times New Roman"/>
          <w:szCs w:val="24"/>
        </w:rPr>
        <w:instrText xml:space="preserve"> ADDIN EN.CITE &lt;EndNote&gt;&lt;Cite&gt;&lt;Author&gt;Rickert&lt;/Author&gt;&lt;Year&gt;2011&lt;/Year&gt;&lt;RecNum&gt;124&lt;/RecNum&gt;&lt;DisplayText&gt;(Rickert, 2011b)&lt;/DisplayText&gt;&lt;record&gt;&lt;rec-number&gt;124&lt;/rec-number&gt;&lt;foreign-keys&gt;&lt;key app="EN" db-id="etwareaz8xpxz3et59b50d9vxrata9z2w2zt" timestamp="1455579576"&gt;124&lt;/key&gt;&lt;/foreign-keys&gt;&lt;ref-type name="Newspaper Article"&gt;23&lt;/ref-type&gt;&lt;contributors&gt;&lt;authors&gt;&lt;author&gt;Chris Rickert&lt;/author&gt;&lt;/authors&gt;&lt;/contributors&gt;&lt;titles&gt;&lt;title&gt;Teachers Unions, Welcome to the Debate&lt;/title&gt;&lt;secondary-title&gt;Wisconsin State Journal&lt;/secondary-title&gt;&lt;/titles&gt;&lt;pages&gt;A3&lt;/pages&gt;&lt;section&gt;Local&lt;/section&gt;&lt;dates&gt;&lt;year&gt;2011&lt;/year&gt;&lt;pub-dates&gt;&lt;date&gt;October 15&lt;/date&gt;&lt;/pub-dates&gt;&lt;/dates&gt;&lt;pub-location&gt;Madison,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(Rickert, 2011b)</w:t>
      </w:r>
      <w:r w:rsidRPr="005D3F76">
        <w:rPr>
          <w:rFonts w:cs="Times New Roman"/>
          <w:szCs w:val="24"/>
        </w:rPr>
        <w:fldChar w:fldCharType="end"/>
      </w:r>
      <w:r w:rsidRPr="005D3F76">
        <w:rPr>
          <w:rFonts w:cs="Times New Roman"/>
          <w:szCs w:val="24"/>
        </w:rPr>
        <w:t xml:space="preserve"> of public education, to estimating the “value to society” </w:t>
      </w:r>
      <w:r w:rsidRPr="005D3F76">
        <w:rPr>
          <w:rFonts w:cs="Times New Roman"/>
          <w:szCs w:val="24"/>
        </w:rPr>
        <w:fldChar w:fldCharType="begin"/>
      </w:r>
      <w:r w:rsidRPr="005D3F76">
        <w:rPr>
          <w:rFonts w:cs="Times New Roman"/>
          <w:szCs w:val="24"/>
        </w:rPr>
        <w:instrText xml:space="preserve"> ADDIN EN.CITE &lt;EndNote&gt;&lt;Cite&gt;&lt;Author&gt;Gabriel&lt;/Author&gt;&lt;Year&gt;2011&lt;/Year&gt;&lt;RecNum&gt;89&lt;/RecNum&gt;&lt;DisplayText&gt;(Gabriel, 2011)&lt;/DisplayText&gt;&lt;record&gt;&lt;rec-number&gt;89&lt;/rec-number&gt;&lt;foreign-keys&gt;&lt;key app="EN" db-id="etwareaz8xpxz3et59b50d9vxrata9z2w2zt" timestamp="1455565060"&gt;89&lt;/key&gt;&lt;/foreign-keys&gt;&lt;ref-type name="Newspaper Article"&gt;23&lt;/ref-type&gt;&lt;contributors&gt;&lt;authors&gt;&lt;author&gt;Trip Gabriel&lt;/author&gt;&lt;/authors&gt;&lt;/contributors&gt;&lt;titles&gt;&lt;title&gt;Teachers Wonder, Why the Heapings of Scorn?&lt;/title&gt;&lt;secondary-title&gt;The New York Times&lt;/secondary-title&gt;&lt;/titles&gt;&lt;pages&gt;1&lt;/pages&gt;&lt;section&gt;National Desk&lt;/section&gt;&lt;dates&gt;&lt;year&gt;2011&lt;/year&gt;&lt;pub-dates&gt;&lt;date&gt;March 3&lt;/date&gt;&lt;/pub-dates&gt;&lt;/dates&gt;&lt;pub-location&gt;New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(Gabriel, 2011)</w:t>
      </w:r>
      <w:r w:rsidRPr="005D3F76">
        <w:rPr>
          <w:rFonts w:cs="Times New Roman"/>
          <w:szCs w:val="24"/>
        </w:rPr>
        <w:fldChar w:fldCharType="end"/>
      </w:r>
      <w:r w:rsidRPr="005D3F76">
        <w:rPr>
          <w:rFonts w:cs="Times New Roman"/>
          <w:szCs w:val="24"/>
        </w:rPr>
        <w:t xml:space="preserve"> that teacher unions and their collective bargaining bring to education to the overall community in Wisconsin and beyond. This neoliberal language is indicative of a broader issue concerning the ability of individuals within society to ascertain the impact that these types of representations have on themselves. In this capacity,</w:t>
      </w:r>
    </w:p>
    <w:p w14:paraId="19D1EEA9" w14:textId="77777777" w:rsidR="00B03557" w:rsidRPr="005D3F76" w:rsidRDefault="00B03557" w:rsidP="00103B6F">
      <w:pPr>
        <w:ind w:left="720"/>
        <w:jc w:val="both"/>
        <w:rPr>
          <w:rFonts w:cs="Times New Roman"/>
          <w:szCs w:val="24"/>
        </w:rPr>
      </w:pPr>
      <w:r w:rsidRPr="005D3F76">
        <w:rPr>
          <w:rFonts w:cs="Times New Roman"/>
          <w:szCs w:val="24"/>
        </w:rPr>
        <w:t xml:space="preserve">Neoliberalism functions at the level of the subject, producing docile subjects who are tightly governed, and who, at the same time define themselves as free. Individuals [it is] sugges[ed], have been seduced by their own perceived powers of freedom and have, at the </w:t>
      </w:r>
      <w:r w:rsidRPr="005D3F76">
        <w:rPr>
          <w:rFonts w:cs="Times New Roman"/>
          <w:szCs w:val="24"/>
        </w:rPr>
        <w:lastRenderedPageBreak/>
        <w:t xml:space="preserve">same time, let significant collective power, through for example, allowing erosion of union power. </w:t>
      </w:r>
      <w:r w:rsidRPr="005D3F76">
        <w:rPr>
          <w:rFonts w:cs="Times New Roman"/>
          <w:szCs w:val="24"/>
        </w:rPr>
        <w:fldChar w:fldCharType="begin"/>
      </w:r>
      <w:r w:rsidRPr="005D3F76">
        <w:rPr>
          <w:rFonts w:cs="Times New Roman"/>
          <w:szCs w:val="24"/>
        </w:rPr>
        <w:instrText xml:space="preserve"> ADDIN EN.CITE &lt;EndNote&gt;&lt;Cite&gt;&lt;Author&gt;Davies&lt;/Author&gt;&lt;Year&gt;2007&lt;/Year&gt;&lt;RecNum&gt;268&lt;/RecNum&gt;&lt;Pages&gt;349&lt;/Pages&gt;&lt;DisplayText&gt;(Davies &amp;amp; Bansel, 2007, p. 349)&lt;/DisplayText&gt;&lt;record&gt;&lt;rec-number&gt;268&lt;/rec-number&gt;&lt;foreign-keys&gt;&lt;key app="EN" db-id="etwareaz8xpxz3et59b50d9vxrata9z2w2zt" timestamp="1465163360"&gt;268&lt;/key&gt;&lt;/foreign-keys&gt;&lt;ref-type name="Journal Article"&gt;17&lt;/ref-type&gt;&lt;contributors&gt;&lt;authors&gt;&lt;author&gt;B. Davies&lt;/author&gt;&lt;author&gt;P. Bansel&lt;/author&gt;&lt;/authors&gt;&lt;/contributors&gt;&lt;titles&gt;&lt;title&gt;Neoliberalism and education&lt;/title&gt;&lt;secondary-title&gt;International Journal of Qualitative Studies in Education&lt;/secondary-title&gt;&lt;/titles&gt;&lt;periodical&gt;&lt;full-title&gt;International Journal of Qualitative Studies in Education&lt;/full-title&gt;&lt;/periodical&gt;&lt;pages&gt;247-259&lt;/pages&gt;&lt;volume&gt;20&lt;/volume&gt;&lt;number&gt;3&lt;/number&gt;&lt;dates&gt;&lt;year&gt;2007&lt;/year&gt;&lt;/dates&gt;&lt;urls&gt;&lt;/urls&gt;&lt;/record&gt;&lt;/Cite&gt;&lt;/EndNote&gt;</w:instrText>
      </w:r>
      <w:r w:rsidRPr="005D3F76">
        <w:rPr>
          <w:rFonts w:cs="Times New Roman"/>
          <w:szCs w:val="24"/>
        </w:rPr>
        <w:fldChar w:fldCharType="separate"/>
      </w:r>
      <w:r w:rsidRPr="005D3F76">
        <w:rPr>
          <w:rFonts w:cs="Times New Roman"/>
          <w:noProof/>
          <w:szCs w:val="24"/>
        </w:rPr>
        <w:t>(Davies &amp; Bansel, 2007, p. 349)</w:t>
      </w:r>
      <w:r w:rsidRPr="005D3F76">
        <w:rPr>
          <w:rFonts w:cs="Times New Roman"/>
          <w:szCs w:val="24"/>
        </w:rPr>
        <w:fldChar w:fldCharType="end"/>
      </w:r>
    </w:p>
    <w:p w14:paraId="25BD8544" w14:textId="5E68E14F" w:rsidR="00B03557" w:rsidRPr="005D3F76" w:rsidRDefault="00B03557" w:rsidP="00103B6F">
      <w:pPr>
        <w:jc w:val="both"/>
        <w:rPr>
          <w:rFonts w:cs="Times New Roman"/>
          <w:szCs w:val="24"/>
        </w:rPr>
      </w:pPr>
      <w:r w:rsidRPr="005D3F76">
        <w:rPr>
          <w:rFonts w:cs="Times New Roman"/>
          <w:szCs w:val="24"/>
        </w:rPr>
        <w:t xml:space="preserve">It makes sense that the discourses within the newspapers would provide a means of reinforcing what the neoliberal agenda provides—an answer to the state’s educational money and staffing problems. In this way, the neoliberal strand can be regarded as a strand that contains a great deal of hegemony on the part of the newspapers. In fact, in a </w:t>
      </w:r>
      <w:r w:rsidRPr="005D3F76">
        <w:rPr>
          <w:rFonts w:cs="Times New Roman"/>
          <w:i/>
          <w:szCs w:val="24"/>
        </w:rPr>
        <w:t>WSJ</w:t>
      </w:r>
      <w:r w:rsidRPr="005D3F76">
        <w:rPr>
          <w:rFonts w:cs="Times New Roman"/>
          <w:szCs w:val="24"/>
        </w:rPr>
        <w:t xml:space="preserve"> article titled, </w:t>
      </w:r>
      <w:r w:rsidRPr="005D3F76">
        <w:rPr>
          <w:rFonts w:cs="Times New Roman"/>
          <w:i/>
          <w:szCs w:val="24"/>
        </w:rPr>
        <w:t>New Work Rules…</w:t>
      </w:r>
      <w:r w:rsidRPr="005D3F76">
        <w:rPr>
          <w:rFonts w:cs="Times New Roman"/>
          <w:szCs w:val="24"/>
        </w:rPr>
        <w:t xml:space="preserve"> by Steven Verburg </w:t>
      </w:r>
      <w:r w:rsidRPr="005D3F76">
        <w:rPr>
          <w:rFonts w:cs="Times New Roman"/>
          <w:szCs w:val="24"/>
        </w:rPr>
        <w:fldChar w:fldCharType="begin"/>
      </w:r>
      <w:r w:rsidRPr="005D3F76">
        <w:rPr>
          <w:rFonts w:cs="Times New Roman"/>
          <w:szCs w:val="24"/>
        </w:rPr>
        <w:instrText xml:space="preserve"> ADDIN EN.CITE &lt;EndNote&gt;&lt;Cite ExcludeAuth="1"&gt;&lt;Author&gt;Verburg&lt;/Author&gt;&lt;Year&gt;2011&lt;/Year&gt;&lt;RecNum&gt;121&lt;/RecNum&gt;&lt;DisplayText&gt;(2011)&lt;/DisplayText&gt;&lt;record&gt;&lt;rec-number&gt;121&lt;/rec-number&gt;&lt;foreign-keys&gt;&lt;key app="EN" db-id="etwareaz8xpxz3et59b50d9vxrata9z2w2zt" timestamp="1455579332"&gt;121&lt;/key&gt;&lt;/foreign-keys&gt;&lt;ref-type name="Newspaper Article"&gt;23&lt;/ref-type&gt;&lt;contributors&gt;&lt;authors&gt;&lt;author&gt;Steven Verburg&lt;/author&gt;&lt;/authors&gt;&lt;/contributors&gt;&lt;titles&gt;&lt;title&gt;New Work Rules Set in as Contracts Lapse: Administrators, Workers Are Adjusting to a Different Employment Landscape: Public Employee Unions Post-Collective Bargaining&lt;/title&gt;&lt;secondary-title&gt;Wisconsin State Journal&lt;/secondary-title&gt;&lt;/titles&gt;&lt;pages&gt;A1&lt;/pages&gt;&lt;section&gt;Front&lt;/section&gt;&lt;dates&gt;&lt;year&gt;2011&lt;/year&gt;&lt;pub-dates&gt;&lt;date&gt;December 25&lt;/date&gt;&lt;/pub-dates&gt;&lt;/dates&gt;&lt;pub-location&gt;Madison,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(2011)</w:t>
      </w:r>
      <w:r w:rsidRPr="005D3F76">
        <w:rPr>
          <w:rFonts w:cs="Times New Roman"/>
          <w:szCs w:val="24"/>
        </w:rPr>
        <w:fldChar w:fldCharType="end"/>
      </w:r>
      <w:r w:rsidRPr="005D3F76">
        <w:rPr>
          <w:rFonts w:cs="Times New Roman"/>
          <w:szCs w:val="24"/>
        </w:rPr>
        <w:t xml:space="preserve"> he writes, that “transparency is the key to trust” in regards to teacher unions and the new ACT 10 laws that were put into place. Essentially, Verburg claims that if the teachers and their unions had been transparent to begin with, then the government would not have had to step in and create laws to produce a more competitive environment. This idea of ‘transparency’ is something that the media has been pushing hard for the last 10-15 years within governmental agencies and those who deal with the government like public sector unions (Bowles et al., 2014)</w:t>
      </w:r>
      <w:r w:rsidRPr="005D3F76">
        <w:rPr>
          <w:rFonts w:cs="Times New Roman"/>
          <w:szCs w:val="24"/>
        </w:rPr>
        <w:fldChar w:fldCharType="begin"/>
      </w:r>
      <w:r w:rsidRPr="005D3F76">
        <w:rPr>
          <w:rFonts w:cs="Times New Roman"/>
          <w:szCs w:val="24"/>
        </w:rPr>
        <w:instrText xml:space="preserve"> ADDIN EN.CITE &lt;EndNote&gt;&lt;Cite ExcludeAuth="1" ExcludeYear="1"&gt;&lt;Author&gt;Bowles&lt;/Author&gt;&lt;Year&gt;2014&lt;/Year&gt;&lt;RecNum&gt;333&lt;/RecNum&gt;&lt;record&gt;&lt;rec-number&gt;333&lt;/rec-number&gt;&lt;foreign-keys&gt;&lt;key app="EN" db-id="etwareaz8xpxz3et59b50d9vxrata9z2w2zt" timestamp="1467931450"&gt;333&lt;/key&gt;&lt;/foreign-keys&gt;&lt;ref-type name="Edited Book"&gt;28&lt;/ref-type&gt;&lt;contributors&gt;&lt;authors&gt;&lt;author&gt;Nigel Bowles&lt;/author&gt;&lt;author&gt;James T. Hamilton&lt;/author&gt;&lt;author&gt;David A.L. Levy&lt;/author&gt;&lt;/authors&gt;&lt;/contributors&gt;&lt;titles&gt;&lt;title&gt;Transparency in Politics and the Media Accountability and Open Government&lt;/title&gt;&lt;/titles&gt;&lt;dates&gt;&lt;year&gt;2014&lt;/year&gt;&lt;/dates&gt;&lt;pub-location&gt;New York, NY&lt;/pub-location&gt;&lt;publisher&gt;Palgrave Macmillian&lt;/publisher&gt;&lt;urls&gt;&lt;/urls&gt;&lt;/record&gt;&lt;/Cite&gt;&lt;Cite&gt;&lt;Author&gt;Bowles&lt;/Author&gt;&lt;Year&gt;2014&lt;/Year&gt;&lt;RecNum&gt;333&lt;/RecNum&gt;&lt;record&gt;&lt;rec-number&gt;333&lt;/rec-number&gt;&lt;foreign-keys&gt;&lt;key app="EN" db-id="etwareaz8xpxz3et59b50d9vxrata9z2w2zt" timestamp="1467931450"&gt;333&lt;/key&gt;&lt;/foreign-keys&gt;&lt;ref-type name="Edited Book"&gt;28&lt;/ref-type&gt;&lt;contributors&gt;&lt;authors&gt;&lt;author&gt;Nigel Bowles&lt;/author&gt;&lt;author&gt;James T. Hamilton&lt;/author&gt;&lt;author&gt;David A.L. Levy&lt;/author&gt;&lt;/authors&gt;&lt;/contributors&gt;&lt;titles&gt;&lt;title&gt;Transparency in Politics and the Media Accountability and Open Government&lt;/title&gt;&lt;/titles&gt;&lt;dates&gt;&lt;year&gt;2014&lt;/year&gt;&lt;/dates&gt;&lt;pub-location&gt;New York, NY&lt;/pub-location&gt;&lt;publisher&gt;Palgrave Macmillian&lt;/publisher&gt;&lt;urls&gt;&lt;/urls&gt;&lt;/record&gt;&lt;/Cite&gt;&lt;/EndNote&gt;</w:instrText>
      </w:r>
      <w:r w:rsidRPr="005D3F76">
        <w:rPr>
          <w:rFonts w:cs="Times New Roman"/>
          <w:szCs w:val="24"/>
        </w:rPr>
        <w:fldChar w:fldCharType="end"/>
      </w:r>
      <w:r w:rsidRPr="005D3F76">
        <w:rPr>
          <w:rFonts w:cs="Times New Roman"/>
          <w:szCs w:val="24"/>
        </w:rPr>
        <w:t xml:space="preserve">. For example, this message of transparency was a prominent feature for the media to expel to the public during both of President Obama’s election terms </w:t>
      </w:r>
      <w:r w:rsidRPr="005D3F76">
        <w:rPr>
          <w:rFonts w:cs="Times New Roman"/>
          <w:szCs w:val="24"/>
        </w:rPr>
        <w:fldChar w:fldCharType="begin"/>
      </w:r>
      <w:r w:rsidRPr="005D3F76">
        <w:rPr>
          <w:rFonts w:cs="Times New Roman"/>
          <w:szCs w:val="24"/>
        </w:rPr>
        <w:instrText xml:space="preserve"> ADDIN EN.CITE &lt;EndNote&gt;&lt;Cite&gt;&lt;Author&gt;Hall&lt;/Author&gt;&lt;Year&gt;2015&lt;/Year&gt;&lt;RecNum&gt;334&lt;/RecNum&gt;&lt;DisplayText&gt;(R. Hall, 2015)&lt;/DisplayText&gt;&lt;record&gt;&lt;rec-number&gt;334&lt;/rec-number&gt;&lt;foreign-keys&gt;&lt;key app="EN" db-id="etwareaz8xpxz3et59b50d9vxrata9z2w2zt" timestamp="1467934741"&gt;334&lt;/key&gt;&lt;/foreign-keys&gt;&lt;ref-type name="Web Page"&gt;12&lt;/ref-type&gt;&lt;contributors&gt;&lt;authors&gt;&lt;author&gt;Randy Hall&lt;/author&gt;&lt;/authors&gt;&lt;/contributors&gt;&lt;titles&gt;&lt;title&gt;Media Groups Call for Transparency from Obama Administration--Again&lt;/title&gt;&lt;/titles&gt;&lt;volume&gt;2016&lt;/volume&gt;&lt;number&gt;June&lt;/number&gt;&lt;dates&gt;&lt;year&gt;2015&lt;/year&gt;&lt;/dates&gt;&lt;publisher&gt;MRC NewsBusters&lt;/publisher&gt;&lt;urls&gt;&lt;related-urls&gt;&lt;url&gt;http://newsbusters.org/blogs/nb/randy-hall/2015/08/12/media-groups-call-transparency-obama-administration-again&lt;/url&gt;&lt;/related-urls&gt;&lt;/urls&gt;&lt;/record&gt;&lt;/Cite&gt;&lt;/EndNote&gt;</w:instrText>
      </w:r>
      <w:r w:rsidRPr="005D3F76">
        <w:rPr>
          <w:rFonts w:cs="Times New Roman"/>
          <w:szCs w:val="24"/>
        </w:rPr>
        <w:fldChar w:fldCharType="separate"/>
      </w:r>
      <w:r w:rsidRPr="005D3F76">
        <w:rPr>
          <w:rFonts w:cs="Times New Roman"/>
          <w:noProof/>
          <w:szCs w:val="24"/>
        </w:rPr>
        <w:t>(R. Hall, 2015)</w:t>
      </w:r>
      <w:r w:rsidRPr="005D3F76">
        <w:rPr>
          <w:rFonts w:cs="Times New Roman"/>
          <w:szCs w:val="24"/>
        </w:rPr>
        <w:fldChar w:fldCharType="end"/>
      </w:r>
      <w:r w:rsidRPr="005D3F76">
        <w:rPr>
          <w:rFonts w:cs="Times New Roman"/>
          <w:szCs w:val="24"/>
        </w:rPr>
        <w:t xml:space="preserve">.  The media believes that it has an obligation to hold the government “accountable in an era of professed transparency” </w:t>
      </w:r>
      <w:r w:rsidRPr="005D3F76">
        <w:rPr>
          <w:rFonts w:cs="Times New Roman"/>
          <w:szCs w:val="24"/>
        </w:rPr>
        <w:fldChar w:fldCharType="begin"/>
      </w:r>
      <w:r w:rsidRPr="005D3F76">
        <w:rPr>
          <w:rFonts w:cs="Times New Roman"/>
          <w:szCs w:val="24"/>
        </w:rPr>
        <w:instrText xml:space="preserve"> ADDIN EN.CITE &lt;EndNote&gt;&lt;Cite ExcludeAuth="1" ExcludeYear="1"&gt;&lt;Author&gt;Bowles&lt;/Author&gt;&lt;Year&gt;2014&lt;/Year&gt;&lt;RecNum&gt;333&lt;/RecNum&gt;&lt;Pages&gt;xi&lt;/Pages&gt;&lt;DisplayText&gt;(p. xi)&lt;/DisplayText&gt;&lt;record&gt;&lt;rec-number&gt;333&lt;/rec-number&gt;&lt;foreign-keys&gt;&lt;key app="EN" db-id="etwareaz8xpxz3et59b50d9vxrata9z2w2zt" timestamp="1467931450"&gt;333&lt;/key&gt;&lt;/foreign-keys&gt;&lt;ref-type name="Edited Book"&gt;28&lt;/ref-type&gt;&lt;contributors&gt;&lt;authors&gt;&lt;author&gt;Nigel Bowles&lt;/author&gt;&lt;author&gt;James T. Hamilton&lt;/author&gt;&lt;author&gt;David A.L. Levy&lt;/author&gt;&lt;/authors&gt;&lt;/contributors&gt;&lt;titles&gt;&lt;title&gt;Transparency in Politics and the Media Accountability and Open Government&lt;/title&gt;&lt;/titles&gt;&lt;dates&gt;&lt;year&gt;2014&lt;/year&gt;&lt;/dates&gt;&lt;pub-location&gt;New York, NY&lt;/pub-location&gt;&lt;publisher&gt;Palgrave Macmillian&lt;/publisher&gt;&lt;urls&gt;&lt;/urls&gt;&lt;/record&gt;&lt;/Cite&gt;&lt;/EndNote&gt;</w:instrText>
      </w:r>
      <w:r w:rsidRPr="005D3F76">
        <w:rPr>
          <w:rFonts w:cs="Times New Roman"/>
          <w:szCs w:val="24"/>
        </w:rPr>
        <w:fldChar w:fldCharType="separate"/>
      </w:r>
      <w:r w:rsidRPr="005D3F76">
        <w:rPr>
          <w:rFonts w:cs="Times New Roman"/>
          <w:noProof/>
          <w:szCs w:val="24"/>
        </w:rPr>
        <w:t>(p. xi)</w:t>
      </w:r>
      <w:r w:rsidRPr="005D3F76">
        <w:rPr>
          <w:rFonts w:cs="Times New Roman"/>
          <w:szCs w:val="24"/>
        </w:rPr>
        <w:fldChar w:fldCharType="end"/>
      </w:r>
      <w:r w:rsidRPr="005D3F76">
        <w:rPr>
          <w:rFonts w:cs="Times New Roman"/>
          <w:szCs w:val="24"/>
        </w:rPr>
        <w:t xml:space="preserve">.  The ideas behind ‘transparency’ comes from neoliberalistic ideals, where business owners know everything, at all times that are going on within their company’s walls; this is especially inclusive of financial issues. But in the case of the discourse provided by Verburg, the idea of transparency is one of hegemony where teacher and other public sector unions are concerned. Chiefly, the thought is that if ACT 10 causes the unions and teachers to act and react in a certain way to new reforms that are going to be introduced concerning education, then the government will be able to better hold them accountable for creating a situation where the output outgrows the input; meaning, the students of Wisconsin will better be able to compete globally for jobs. It seems </w:t>
      </w:r>
      <w:r w:rsidRPr="005D3F76">
        <w:rPr>
          <w:rFonts w:cs="Times New Roman"/>
          <w:szCs w:val="24"/>
        </w:rPr>
        <w:lastRenderedPageBreak/>
        <w:t xml:space="preserve">that they are taking a clear stance within their discourse of where education needs to be heading--toward a more globalized understanding of the world. Even if this is the case for the students of Wisconsin, the preponderance for the need to push for transparency by the media, a neoliberalistic goal, creates a hegemonic situation, lending itself to an anti-union stance. </w:t>
      </w:r>
    </w:p>
    <w:p w14:paraId="72AE3A32" w14:textId="77777777" w:rsidR="00B03557" w:rsidRPr="005D3F76" w:rsidRDefault="00B03557" w:rsidP="00103B6F">
      <w:pPr>
        <w:tabs>
          <w:tab w:val="left" w:pos="0"/>
        </w:tabs>
        <w:ind w:left="90"/>
        <w:rPr>
          <w:rFonts w:cs="Times New Roman"/>
          <w:szCs w:val="24"/>
        </w:rPr>
      </w:pPr>
      <w:r w:rsidRPr="005D3F76">
        <w:rPr>
          <w:rFonts w:cs="Times New Roman"/>
          <w:szCs w:val="24"/>
        </w:rPr>
        <w:tab/>
        <w:t xml:space="preserve">As shown, all three newspapers contained instances from the neoliberal stance and all three in most instances used this as a means of demonstrating the incorporated ideology of neoliberalism and in turn, hegemonic power.  However, there was one newspaper within this strand that in some instances used it as a means to try and promote public sector unions rather than tear them down—the </w:t>
      </w:r>
      <w:r w:rsidRPr="005D3F76">
        <w:rPr>
          <w:rFonts w:cs="Times New Roman"/>
          <w:i/>
          <w:szCs w:val="24"/>
        </w:rPr>
        <w:t>Cap Times</w:t>
      </w:r>
      <w:r w:rsidRPr="005D3F76">
        <w:rPr>
          <w:rFonts w:cs="Times New Roman"/>
          <w:szCs w:val="24"/>
        </w:rPr>
        <w:t>. Although, the language that was used was still couched in neoliberal discourse and had to be softened by the use of conceptual metaphor, it is nonetheless present. One such example can be found in the following:</w:t>
      </w:r>
    </w:p>
    <w:p w14:paraId="20FB8EB8" w14:textId="77777777" w:rsidR="00B03557" w:rsidRPr="005D3F76" w:rsidRDefault="00B03557" w:rsidP="001B1E2A">
      <w:pPr>
        <w:tabs>
          <w:tab w:val="left" w:pos="0"/>
        </w:tabs>
        <w:ind w:left="1440" w:hanging="720"/>
        <w:jc w:val="both"/>
        <w:rPr>
          <w:rFonts w:cs="Times New Roman"/>
          <w:szCs w:val="24"/>
        </w:rPr>
      </w:pPr>
      <w:r w:rsidRPr="005D3F76">
        <w:rPr>
          <w:rFonts w:cs="Times New Roman"/>
          <w:szCs w:val="24"/>
        </w:rPr>
        <w:t xml:space="preserve">In </w:t>
      </w:r>
      <w:r w:rsidRPr="005D3F76">
        <w:rPr>
          <w:rFonts w:cs="Times New Roman"/>
          <w:szCs w:val="24"/>
          <w:u w:val="single"/>
        </w:rPr>
        <w:t>business journalism</w:t>
      </w:r>
      <w:r w:rsidRPr="005D3F76">
        <w:rPr>
          <w:rFonts w:cs="Times New Roman"/>
          <w:szCs w:val="24"/>
        </w:rPr>
        <w:t xml:space="preserve">, it’s popular to suggest a </w:t>
      </w:r>
      <w:r w:rsidRPr="005D3F76">
        <w:rPr>
          <w:rFonts w:cs="Times New Roman"/>
          <w:szCs w:val="24"/>
          <w:u w:val="single"/>
        </w:rPr>
        <w:t>company</w:t>
      </w:r>
      <w:r w:rsidRPr="005D3F76">
        <w:rPr>
          <w:rFonts w:cs="Times New Roman"/>
          <w:szCs w:val="24"/>
        </w:rPr>
        <w:t xml:space="preserve"> is “</w:t>
      </w:r>
      <w:r w:rsidRPr="005D3F76">
        <w:rPr>
          <w:rFonts w:cs="Times New Roman"/>
          <w:szCs w:val="24"/>
          <w:u w:val="double"/>
        </w:rPr>
        <w:t>burning the furniture</w:t>
      </w:r>
      <w:r w:rsidRPr="005D3F76">
        <w:rPr>
          <w:rFonts w:cs="Times New Roman"/>
          <w:szCs w:val="24"/>
        </w:rPr>
        <w:t xml:space="preserve">” when it takes </w:t>
      </w:r>
      <w:r w:rsidRPr="005D3F76">
        <w:rPr>
          <w:rFonts w:cs="Times New Roman"/>
          <w:szCs w:val="24"/>
          <w:u w:val="single"/>
        </w:rPr>
        <w:t>ill-advised, short term steps that compromise its ability to ever rebound</w:t>
      </w:r>
      <w:r w:rsidRPr="005D3F76">
        <w:rPr>
          <w:rFonts w:cs="Times New Roman"/>
          <w:szCs w:val="24"/>
        </w:rPr>
        <w:t xml:space="preserve">. In other words, when there is </w:t>
      </w:r>
      <w:r w:rsidRPr="005D3F76">
        <w:rPr>
          <w:rFonts w:cs="Times New Roman"/>
          <w:szCs w:val="24"/>
          <w:u w:val="double"/>
        </w:rPr>
        <w:t>no money for fuel in the middle of winter, desperate residents resort to burning the furniture, which obviously only works as long as the furniture lasts</w:t>
      </w:r>
      <w:r w:rsidRPr="005D3F76">
        <w:rPr>
          <w:rFonts w:cs="Times New Roman"/>
          <w:szCs w:val="24"/>
        </w:rPr>
        <w:t xml:space="preserve">. The state of </w:t>
      </w:r>
      <w:r w:rsidRPr="005D3F76">
        <w:rPr>
          <w:rFonts w:cs="Times New Roman"/>
          <w:szCs w:val="24"/>
          <w:u w:val="double"/>
        </w:rPr>
        <w:t>Wisconsin has been burning furniture</w:t>
      </w:r>
      <w:r w:rsidRPr="005D3F76">
        <w:rPr>
          <w:rFonts w:cs="Times New Roman"/>
          <w:szCs w:val="24"/>
        </w:rPr>
        <w:t xml:space="preserve"> these past few years, haphazardly cutting taxes beyond what’s prudent and placing our historically excellent system of public education, both K-12 and the university system, in jeopardy. It has also been undercutting </w:t>
      </w:r>
      <w:r w:rsidRPr="005D3F76">
        <w:rPr>
          <w:rFonts w:cs="Times New Roman"/>
          <w:szCs w:val="24"/>
          <w:u w:val="double"/>
        </w:rPr>
        <w:t>soup to nuts</w:t>
      </w:r>
      <w:r w:rsidRPr="005D3F76">
        <w:rPr>
          <w:rFonts w:cs="Times New Roman"/>
          <w:szCs w:val="24"/>
        </w:rPr>
        <w:t xml:space="preserve"> the signature programs, policies and protections that have defined Wisconsin since the Progressive Era of a century ago. </w:t>
      </w:r>
      <w:r w:rsidRPr="005D3F76">
        <w:rPr>
          <w:rFonts w:cs="Times New Roman"/>
          <w:szCs w:val="24"/>
        </w:rPr>
        <w:fldChar w:fldCharType="begin"/>
      </w:r>
      <w:r w:rsidRPr="005D3F76">
        <w:rPr>
          <w:rFonts w:cs="Times New Roman"/>
          <w:szCs w:val="24"/>
        </w:rPr>
        <w:instrText xml:space="preserve"> ADDIN EN.CITE &lt;EndNote&gt;&lt;Cite&gt;&lt;Author&gt;Fanlund&lt;/Author&gt;&lt;Year&gt;2014&lt;/Year&gt;&lt;RecNum&gt;134&lt;/RecNum&gt;&lt;DisplayText&gt;(Fanlund, 2014)&lt;/DisplayText&gt;&lt;record&gt;&lt;rec-number&gt;134&lt;/rec-number&gt;&lt;foreign-keys&gt;&lt;key app="EN" db-id="etwareaz8xpxz3et59b50d9vxrata9z2w2zt" timestamp="1455740830"&gt;134&lt;/key&gt;&lt;/foreign-keys&gt;&lt;ref-type name="Newspaper Article"&gt;23&lt;/ref-type&gt;&lt;contributors&gt;&lt;authors&gt;&lt;author&gt;Paul Fanlund&lt;/author&gt;&lt;/authors&gt;&lt;/contributors&gt;&lt;titles&gt;&lt;title&gt;Is Wisconsin Destined to be a Rust Belt Backwater?: Editor&amp;apos;s Column&lt;/title&gt;&lt;secondary-title&gt;The Capital Times&lt;/secondary-title&gt;&lt;/titles&gt;&lt;pages&gt;7&lt;/pages&gt;&lt;section&gt;Editors Column&lt;/section&gt;&lt;dates&gt;&lt;year&gt;2014&lt;/year&gt;&lt;pub-dates&gt;&lt;date&gt;December 31&lt;/date&gt;&lt;/pub-dates&gt;&lt;/dates&gt;&lt;pub-location&gt;Madison, Wisconsin&lt;/pub-location&gt;&lt;publisher&gt;Madison Newspapers&lt;/publisher&gt;&lt;urls&gt;&lt;/urls&gt;&lt;/record&gt;&lt;/Cite&gt;&lt;/EndNote&gt;</w:instrText>
      </w:r>
      <w:r w:rsidRPr="005D3F76">
        <w:rPr>
          <w:rFonts w:cs="Times New Roman"/>
          <w:szCs w:val="24"/>
        </w:rPr>
        <w:fldChar w:fldCharType="separate"/>
      </w:r>
      <w:r w:rsidRPr="005D3F76">
        <w:rPr>
          <w:rFonts w:cs="Times New Roman"/>
          <w:noProof/>
          <w:szCs w:val="24"/>
        </w:rPr>
        <w:t>(Fanlund, 2014)</w:t>
      </w:r>
      <w:r w:rsidRPr="005D3F76">
        <w:rPr>
          <w:rFonts w:cs="Times New Roman"/>
          <w:szCs w:val="24"/>
        </w:rPr>
        <w:fldChar w:fldCharType="end"/>
      </w:r>
      <w:r w:rsidRPr="005D3F76">
        <w:rPr>
          <w:rFonts w:cs="Times New Roman"/>
          <w:szCs w:val="24"/>
        </w:rPr>
        <w:t xml:space="preserve"> </w:t>
      </w:r>
    </w:p>
    <w:p w14:paraId="6D9EFABD" w14:textId="77777777" w:rsidR="00B03557" w:rsidRPr="005D3F76" w:rsidRDefault="00B03557" w:rsidP="00103B6F">
      <w:pPr>
        <w:tabs>
          <w:tab w:val="left" w:pos="0"/>
        </w:tabs>
        <w:ind w:left="90"/>
        <w:rPr>
          <w:rFonts w:cs="Times New Roman"/>
          <w:szCs w:val="24"/>
        </w:rPr>
      </w:pPr>
      <w:r w:rsidRPr="005D3F76">
        <w:rPr>
          <w:rFonts w:cs="Times New Roman"/>
          <w:szCs w:val="24"/>
        </w:rPr>
        <w:t xml:space="preserve">As we see, the business emphasis is used here as a means to establish normalcy that is seen throughout the rest of the articles concerning teacher unions, but in this article the writer takes </w:t>
      </w:r>
      <w:r w:rsidRPr="005D3F76">
        <w:rPr>
          <w:rFonts w:cs="Times New Roman"/>
          <w:szCs w:val="24"/>
        </w:rPr>
        <w:lastRenderedPageBreak/>
        <w:t xml:space="preserve">the use of the normal and turns it on its head by couching a pro-union stance within the metaphor provided by the “burning furniture.” What this does is allow the reader to engage with and be comforted by the ideologies of neoliberalism that have become so naturalized within the discourse of the everyday, and also provide the reader with a sense that what is going on with the unions could be detrimental to the future of education in Wisconsin. The passage above and the few other instances that could be found within the articles in the </w:t>
      </w:r>
      <w:r w:rsidRPr="005D3F76">
        <w:rPr>
          <w:rFonts w:cs="Times New Roman"/>
          <w:i/>
          <w:szCs w:val="24"/>
        </w:rPr>
        <w:t>Cap Times</w:t>
      </w:r>
      <w:r w:rsidRPr="005D3F76">
        <w:rPr>
          <w:rFonts w:cs="Times New Roman"/>
          <w:szCs w:val="24"/>
        </w:rPr>
        <w:t>, are providing a softened modality of what should happen with unions—that is, that they are a vital part of not only the education system, but society in general. However, these instances do very little to chip away at the hegemonic processes that the neoliberal ideology created in the rest of the articles.</w:t>
      </w:r>
    </w:p>
    <w:p w14:paraId="070612F5" w14:textId="3D252B75" w:rsidR="00B03557" w:rsidRPr="005D3F76" w:rsidRDefault="00B03557" w:rsidP="00103B6F">
      <w:pPr>
        <w:rPr>
          <w:rFonts w:cs="Times New Roman"/>
        </w:rPr>
      </w:pPr>
      <w:r w:rsidRPr="005D3F76">
        <w:rPr>
          <w:rFonts w:cs="Times New Roman"/>
          <w:szCs w:val="24"/>
        </w:rPr>
        <w:tab/>
        <w:t xml:space="preserve">Therefore, it can be understood through the analysis of the discourse contained within these newspapers that neoliberalism “corrodes the institutions, values, and processes of liberal democracies” </w:t>
      </w:r>
      <w:r w:rsidRPr="005D3F76">
        <w:rPr>
          <w:rFonts w:cs="Times New Roman"/>
          <w:szCs w:val="24"/>
        </w:rPr>
        <w:fldChar w:fldCharType="begin"/>
      </w:r>
      <w:r w:rsidRPr="005D3F76">
        <w:rPr>
          <w:rFonts w:cs="Times New Roman"/>
          <w:szCs w:val="24"/>
        </w:rPr>
        <w:instrText xml:space="preserve"> ADDIN EN.CITE &lt;EndNote&gt;&lt;Cite&gt;&lt;Author&gt;Baltodaro&lt;/Author&gt;&lt;Year&gt;2012&lt;/Year&gt;&lt;RecNum&gt;84&lt;/RecNum&gt;&lt;Pages&gt;494&lt;/Pages&gt;&lt;DisplayText&gt;(Baltodaro, 2012, p. 494)&lt;/DisplayText&gt;&lt;record&gt;&lt;rec-number&gt;84&lt;/rec-number&gt;&lt;foreign-keys&gt;&lt;key app="EN" db-id="etwareaz8xpxz3et59b50d9vxrata9z2w2zt" timestamp="1454261667"&gt;84&lt;/key&gt;&lt;/foreign-keys&gt;&lt;ref-type name="Journal Article"&gt;17&lt;/ref-type&gt;&lt;contributors&gt;&lt;authors&gt;&lt;author&gt;M. Baltodaro&lt;/author&gt;&lt;/authors&gt;&lt;/contributors&gt;&lt;titles&gt;&lt;title&gt;Neoliberalism and the demise of public education: the corporatization of schools in education&lt;/title&gt;&lt;secondary-title&gt;International Journal of Qualitative Studies in Education&lt;/secondary-title&gt;&lt;/titles&gt;&lt;periodical&gt;&lt;full-title&gt;International Journal of Qualitative Studies in Education&lt;/full-title&gt;&lt;/periodical&gt;&lt;pages&gt;487-507&lt;/pages&gt;&lt;volume&gt;25&lt;/volume&gt;&lt;number&gt;4&lt;/number&gt;&lt;dates&gt;&lt;year&gt;2012&lt;/year&gt;&lt;/dates&gt;&lt;urls&gt;&lt;/urls&gt;&lt;/record&gt;&lt;/Cite&gt;&lt;/EndNote&gt;</w:instrText>
      </w:r>
      <w:r w:rsidRPr="005D3F76">
        <w:rPr>
          <w:rFonts w:cs="Times New Roman"/>
          <w:szCs w:val="24"/>
        </w:rPr>
        <w:fldChar w:fldCharType="separate"/>
      </w:r>
      <w:r w:rsidRPr="005D3F76">
        <w:rPr>
          <w:rFonts w:cs="Times New Roman"/>
          <w:noProof/>
          <w:szCs w:val="24"/>
        </w:rPr>
        <w:t>(Baltodaro, 2012, p. 494)</w:t>
      </w:r>
      <w:r w:rsidRPr="005D3F76">
        <w:rPr>
          <w:rFonts w:cs="Times New Roman"/>
          <w:szCs w:val="24"/>
        </w:rPr>
        <w:fldChar w:fldCharType="end"/>
      </w:r>
      <w:r w:rsidRPr="005D3F76">
        <w:rPr>
          <w:rFonts w:cs="Times New Roman"/>
          <w:szCs w:val="24"/>
        </w:rPr>
        <w:t xml:space="preserve"> which seek to eradicate the concepts of education as “a common and public good in the public interest” </w:t>
      </w:r>
      <w:r w:rsidRPr="005D3F76">
        <w:rPr>
          <w:rFonts w:cs="Times New Roman"/>
          <w:szCs w:val="24"/>
        </w:rPr>
        <w:fldChar w:fldCharType="begin"/>
      </w:r>
      <w:r w:rsidRPr="005D3F76">
        <w:rPr>
          <w:rFonts w:cs="Times New Roman"/>
          <w:szCs w:val="24"/>
        </w:rPr>
        <w:instrText xml:space="preserve"> ADDIN EN.CITE &lt;EndNote&gt;&lt;Cite&gt;&lt;Author&gt;Luke&lt;/Author&gt;&lt;Year&gt;2005&lt;/Year&gt;&lt;RecNum&gt;276&lt;/RecNum&gt;&lt;Pages&gt;161&lt;/Pages&gt;&lt;DisplayText&gt;(Luke, 2005, p. 161)&lt;/DisplayText&gt;&lt;record&gt;&lt;rec-number&gt;276&lt;/rec-number&gt;&lt;foreign-keys&gt;&lt;key app="EN" db-id="etwareaz8xpxz3et59b50d9vxrata9z2w2zt" timestamp="1465491603"&gt;276&lt;/key&gt;&lt;/foreign-keys&gt;&lt;ref-type name="Journal Article"&gt;17&lt;/ref-type&gt;&lt;contributors&gt;&lt;authors&gt;&lt;author&gt;C. Luke&lt;/author&gt;&lt;/authors&gt;&lt;/contributors&gt;&lt;titles&gt;&lt;title&gt;Capital and knowledge flows: Global higher education markets&lt;/title&gt;&lt;secondary-title&gt;Asia Pacific Journal of Education&lt;/secondary-title&gt;&lt;/titles&gt;&lt;periodical&gt;&lt;full-title&gt;Asia Pacific Journal of Education&lt;/full-title&gt;&lt;/periodical&gt;&lt;pages&gt;159-74&lt;/pages&gt;&lt;volume&gt;25&lt;/volume&gt;&lt;number&gt;2&lt;/number&gt;&lt;dates&gt;&lt;year&gt;2005&lt;/year&gt;&lt;/dates&gt;&lt;urls&gt;&lt;/urls&gt;&lt;/record&gt;&lt;/Cite&gt;&lt;/EndNote&gt;</w:instrText>
      </w:r>
      <w:r w:rsidRPr="005D3F76">
        <w:rPr>
          <w:rFonts w:cs="Times New Roman"/>
          <w:szCs w:val="24"/>
        </w:rPr>
        <w:fldChar w:fldCharType="separate"/>
      </w:r>
      <w:r w:rsidRPr="005D3F76">
        <w:rPr>
          <w:rFonts w:cs="Times New Roman"/>
          <w:noProof/>
          <w:szCs w:val="24"/>
        </w:rPr>
        <w:t>(Luke, 2005, p. 161)</w:t>
      </w:r>
      <w:r w:rsidRPr="005D3F76">
        <w:rPr>
          <w:rFonts w:cs="Times New Roman"/>
          <w:szCs w:val="24"/>
        </w:rPr>
        <w:fldChar w:fldCharType="end"/>
      </w:r>
      <w:r w:rsidRPr="005D3F76">
        <w:rPr>
          <w:rFonts w:cs="Times New Roman"/>
          <w:szCs w:val="24"/>
        </w:rPr>
        <w:t xml:space="preserve">. Under this neoliberal strand concerning teacher unions in Wisconsin, it is easy to understand that in this way neoliberalism is a form of governmentality </w:t>
      </w:r>
      <w:r w:rsidRPr="005D3F76">
        <w:rPr>
          <w:rFonts w:cs="Times New Roman"/>
          <w:szCs w:val="24"/>
        </w:rPr>
        <w:fldChar w:fldCharType="begin"/>
      </w:r>
      <w:r w:rsidRPr="005D3F76">
        <w:rPr>
          <w:rFonts w:cs="Times New Roman"/>
          <w:szCs w:val="24"/>
        </w:rPr>
        <w:instrText xml:space="preserve"> ADDIN EN.CITE &lt;EndNote&gt;&lt;Cite&gt;&lt;Author&gt;Foucault&lt;/Author&gt;&lt;Year&gt;1977&lt;/Year&gt;&lt;RecNum&gt;281&lt;/RecNum&gt;&lt;DisplayText&gt;(Michel Foucault, 1977)&lt;/DisplayText&gt;&lt;record&gt;&lt;rec-number&gt;281&lt;/rec-number&gt;&lt;foreign-keys&gt;&lt;key app="EN" db-id="etwareaz8xpxz3et59b50d9vxrata9z2w2zt" timestamp="1465588038"&gt;281&lt;/key&gt;&lt;/foreign-keys&gt;&lt;ref-type name="Book"&gt;6&lt;/ref-type&gt;&lt;contributors&gt;&lt;authors&gt;&lt;author&gt;Michel Foucault&lt;/author&gt;&lt;/authors&gt;&lt;subsidiary-authors&gt;&lt;author&gt;Alan Sheridan&lt;/author&gt;&lt;/subsidiary-authors&gt;&lt;/contributors&gt;&lt;titles&gt;&lt;title&gt;Discipline and Punishment: The Birth of the Prison&lt;/title&gt;&lt;/titles&gt;&lt;dates&gt;&lt;year&gt;1977&lt;/year&gt;&lt;/dates&gt;&lt;pub-location&gt;New York&lt;/pub-location&gt;&lt;publisher&gt;Vintage Books&lt;/publisher&gt;&lt;urls&gt;&lt;/urls&gt;&lt;/record&gt;&lt;/Cite&gt;&lt;/EndNote&gt;</w:instrText>
      </w:r>
      <w:r w:rsidRPr="005D3F76">
        <w:rPr>
          <w:rFonts w:cs="Times New Roman"/>
          <w:szCs w:val="24"/>
        </w:rPr>
        <w:fldChar w:fldCharType="separate"/>
      </w:r>
      <w:r w:rsidRPr="005D3F76">
        <w:rPr>
          <w:rFonts w:cs="Times New Roman"/>
          <w:noProof/>
          <w:szCs w:val="24"/>
        </w:rPr>
        <w:t>(Michel Foucault, 1977)</w:t>
      </w:r>
      <w:r w:rsidRPr="005D3F76">
        <w:rPr>
          <w:rFonts w:cs="Times New Roman"/>
          <w:szCs w:val="24"/>
        </w:rPr>
        <w:fldChar w:fldCharType="end"/>
      </w:r>
      <w:r w:rsidRPr="005D3F76">
        <w:rPr>
          <w:rFonts w:cs="Times New Roman"/>
          <w:szCs w:val="24"/>
        </w:rPr>
        <w:t xml:space="preserve">. It is “always [an] active political intervention and manipulation” infused and used by social institutions, like the media </w:t>
      </w:r>
      <w:r w:rsidRPr="005D3F76">
        <w:rPr>
          <w:rFonts w:cs="Times New Roman"/>
          <w:szCs w:val="24"/>
        </w:rPr>
        <w:fldChar w:fldCharType="begin"/>
      </w:r>
      <w:r w:rsidRPr="005D3F76">
        <w:rPr>
          <w:rFonts w:cs="Times New Roman"/>
          <w:szCs w:val="24"/>
        </w:rPr>
        <w:instrText xml:space="preserve"> ADDIN EN.CITE &lt;EndNote&gt;&lt;Cite&gt;&lt;Author&gt;Baltodaro&lt;/Author&gt;&lt;Year&gt;2012&lt;/Year&gt;&lt;RecNum&gt;84&lt;/RecNum&gt;&lt;Pages&gt;493&lt;/Pages&gt;&lt;DisplayText&gt;(Baltodaro, 2012, p. 493)&lt;/DisplayText&gt;&lt;record&gt;&lt;rec-number&gt;84&lt;/rec-number&gt;&lt;foreign-keys&gt;&lt;key app="EN" db-id="etwareaz8xpxz3et59b50d9vxrata9z2w2zt" timestamp="1454261667"&gt;84&lt;/key&gt;&lt;/foreign-keys&gt;&lt;ref-type name="Journal Article"&gt;17&lt;/ref-type&gt;&lt;contributors&gt;&lt;authors&gt;&lt;author&gt;M. Baltodaro&lt;/author&gt;&lt;/authors&gt;&lt;/contributors&gt;&lt;titles&gt;&lt;title&gt;Neoliberalism and the demise of public education: the corporatization of schools in education&lt;/title&gt;&lt;secondary-title&gt;International Journal of Qualitative Studies in Education&lt;/secondary-title&gt;&lt;/titles&gt;&lt;periodical&gt;&lt;full-title&gt;International Journal of Qualitative Studies in Education&lt;/full-title&gt;&lt;/periodical&gt;&lt;pages&gt;487-507&lt;/pages&gt;&lt;volume&gt;25&lt;/volume&gt;&lt;number&gt;4&lt;/number&gt;&lt;dates&gt;&lt;year&gt;2012&lt;/year&gt;&lt;/dates&gt;&lt;urls&gt;&lt;/urls&gt;&lt;/record&gt;&lt;/Cite&gt;&lt;/EndNote&gt;</w:instrText>
      </w:r>
      <w:r w:rsidRPr="005D3F76">
        <w:rPr>
          <w:rFonts w:cs="Times New Roman"/>
          <w:szCs w:val="24"/>
        </w:rPr>
        <w:fldChar w:fldCharType="separate"/>
      </w:r>
      <w:r w:rsidRPr="005D3F76">
        <w:rPr>
          <w:rFonts w:cs="Times New Roman"/>
          <w:noProof/>
          <w:szCs w:val="24"/>
        </w:rPr>
        <w:t>(Baltodaro, 2012, p. 493)</w:t>
      </w:r>
      <w:r w:rsidRPr="005D3F76">
        <w:rPr>
          <w:rFonts w:cs="Times New Roman"/>
          <w:szCs w:val="24"/>
        </w:rPr>
        <w:fldChar w:fldCharType="end"/>
      </w:r>
      <w:r w:rsidRPr="005D3F76">
        <w:rPr>
          <w:rFonts w:cs="Times New Roman"/>
          <w:szCs w:val="24"/>
        </w:rPr>
        <w:t xml:space="preserve">. Giroux </w:t>
      </w:r>
      <w:r w:rsidRPr="005D3F76">
        <w:rPr>
          <w:rFonts w:cs="Times New Roman"/>
          <w:szCs w:val="24"/>
        </w:rPr>
        <w:fldChar w:fldCharType="begin"/>
      </w:r>
      <w:r w:rsidRPr="005D3F76">
        <w:rPr>
          <w:rFonts w:cs="Times New Roman"/>
          <w:szCs w:val="24"/>
        </w:rPr>
        <w:instrText xml:space="preserve"> ADDIN EN.CITE &lt;EndNote&gt;&lt;Cite ExcludeAuth="1"&gt;&lt;Author&gt;Giroux&lt;/Author&gt;&lt;Year&gt;2002&lt;/Year&gt;&lt;RecNum&gt;277&lt;/RecNum&gt;&lt;DisplayText&gt;(2002)&lt;/DisplayText&gt;&lt;record&gt;&lt;rec-number&gt;277&lt;/rec-number&gt;&lt;foreign-keys&gt;&lt;key app="EN" db-id="etwareaz8xpxz3et59b50d9vxrata9z2w2zt" timestamp="1465492780"&gt;277&lt;/key&gt;&lt;/foreign-keys&gt;&lt;ref-type name="Journal Article"&gt;17&lt;/ref-type&gt;&lt;contributors&gt;&lt;authors&gt;&lt;author&gt;Henry Giroux&lt;/author&gt;&lt;/authors&gt;&lt;/contributors&gt;&lt;titles&gt;&lt;title&gt;The corporate war against higher education&lt;/title&gt;&lt;secondary-title&gt;Workplace&lt;/secondary-title&gt;&lt;/titles&gt;&lt;periodical&gt;&lt;full-title&gt;Workplace&lt;/full-title&gt;&lt;/periodical&gt;&lt;volume&gt;5&lt;/volume&gt;&lt;number&gt;1&lt;/number&gt;&lt;dates&gt;&lt;year&gt;2002&lt;/year&gt;&lt;/dates&gt;&lt;urls&gt;&lt;related-urls&gt;&lt;url&gt;http://louisville.edu/journal/workplace/issue5p1/giroux.html &lt;/url&gt;&lt;/related-urls&gt;&lt;/urls&gt;&lt;/record&gt;&lt;/Cite&gt;&lt;/EndNote&gt;</w:instrText>
      </w:r>
      <w:r w:rsidRPr="005D3F76">
        <w:rPr>
          <w:rFonts w:cs="Times New Roman"/>
          <w:szCs w:val="24"/>
        </w:rPr>
        <w:fldChar w:fldCharType="separate"/>
      </w:r>
      <w:r w:rsidRPr="005D3F76">
        <w:rPr>
          <w:rFonts w:cs="Times New Roman"/>
          <w:noProof/>
          <w:szCs w:val="24"/>
        </w:rPr>
        <w:t>(2002)</w:t>
      </w:r>
      <w:r w:rsidRPr="005D3F76">
        <w:rPr>
          <w:rFonts w:cs="Times New Roman"/>
          <w:szCs w:val="24"/>
        </w:rPr>
        <w:fldChar w:fldCharType="end"/>
      </w:r>
      <w:r w:rsidRPr="005D3F76">
        <w:rPr>
          <w:rFonts w:cs="Times New Roman"/>
          <w:szCs w:val="24"/>
        </w:rPr>
        <w:t xml:space="preserve"> wrote that the practices of institutions, such as, the media and the policies that comes from such discourse “assault all things public, sabotage the basic contradiction between democratic values and market fundamentalism[;] it also weakens any viable notion of political agency by offering no language capable of connecting private considerations to public issues” (para. 1). In this way, the public’s good becomes “burdensome [to] private firms, causing even greater strife within society” </w:t>
      </w:r>
      <w:r w:rsidRPr="005D3F76">
        <w:rPr>
          <w:rFonts w:cs="Times New Roman"/>
          <w:szCs w:val="24"/>
        </w:rPr>
        <w:fldChar w:fldCharType="begin"/>
      </w:r>
      <w:r w:rsidRPr="005D3F76">
        <w:rPr>
          <w:rFonts w:cs="Times New Roman"/>
          <w:szCs w:val="24"/>
        </w:rPr>
        <w:instrText xml:space="preserve"> ADDIN EN.CITE &lt;EndNote&gt;&lt;Cite&gt;&lt;Author&gt;Baker&lt;/Author&gt;&lt;Year&gt;2015&lt;/Year&gt;&lt;RecNum&gt;102&lt;/RecNum&gt;&lt;Pages&gt;45&lt;/Pages&gt;&lt;DisplayText&gt;(Baker, 2015, p. 45)&lt;/DisplayText&gt;&lt;record&gt;&lt;rec-number&gt;102&lt;/rec-number&gt;&lt;foreign-keys&gt;&lt;key app="EN" db-id="etwareaz8xpxz3et59b50d9vxrata9z2w2zt" timestamp="1455566626"&gt;102&lt;/key&gt;&lt;/foreign-keys&gt;&lt;ref-type name="Newspaper Article"&gt;23&lt;/ref-type&gt;&lt;contributors&gt;&lt;authors&gt;&lt;author&gt;Peter Baker&lt;/author&gt;&lt;/authors&gt;&lt;/contributors&gt;&lt;titles&gt;&lt;title&gt;Obama Orders Federal Contractors to Provide Workers Paid Sick Leave&lt;/title&gt;&lt;secondary-title&gt;The New York Times&lt;/secondary-title&gt;&lt;/titles&gt;&lt;pages&gt;20&lt;/pages&gt;&lt;section&gt;National Desk&lt;/section&gt;&lt;dates&gt;&lt;year&gt;2015&lt;/year&gt;&lt;pub-dates&gt;&lt;date&gt;September 8&lt;/date&gt;&lt;/pub-dates&gt;&lt;/dates&gt;&lt;pub-location&gt;New York&lt;/pub-location&gt;&lt;urls&gt;&lt;/urls&gt;&lt;/record&gt;&lt;/Cite&gt;&lt;/EndNote&gt;</w:instrText>
      </w:r>
      <w:r w:rsidRPr="005D3F76">
        <w:rPr>
          <w:rFonts w:cs="Times New Roman"/>
          <w:szCs w:val="24"/>
        </w:rPr>
        <w:fldChar w:fldCharType="separate"/>
      </w:r>
      <w:r w:rsidRPr="005D3F76">
        <w:rPr>
          <w:rFonts w:cs="Times New Roman"/>
          <w:noProof/>
          <w:szCs w:val="24"/>
        </w:rPr>
        <w:t>(Baker, 2015, p. 45)</w:t>
      </w:r>
      <w:r w:rsidRPr="005D3F76">
        <w:rPr>
          <w:rFonts w:cs="Times New Roman"/>
          <w:szCs w:val="24"/>
        </w:rPr>
        <w:fldChar w:fldCharType="end"/>
      </w:r>
      <w:r w:rsidRPr="005D3F76">
        <w:rPr>
          <w:rFonts w:cs="Times New Roman"/>
          <w:szCs w:val="24"/>
        </w:rPr>
        <w:t xml:space="preserve">.  It can further be argued that the media’s usage and incorporation of neoliberal educational discourses portends </w:t>
      </w:r>
      <w:r w:rsidRPr="005D3F76">
        <w:rPr>
          <w:rFonts w:cs="Times New Roman"/>
          <w:szCs w:val="24"/>
        </w:rPr>
        <w:lastRenderedPageBreak/>
        <w:t>a precarious understanding of the association between public education and equity there within. As can be seen in the following section on the teachers themselves within Wisconsin, these hegemonic responses, specifically found within this strand are damaging to the overall well-being of all involved within the education system, including, the students, parents and the unions, but specifically damaging to the teachers involved.</w:t>
      </w:r>
    </w:p>
    <w:p w14:paraId="0F1202DF" w14:textId="77777777" w:rsidR="00B03557" w:rsidRPr="005D3F76" w:rsidRDefault="00B03557" w:rsidP="00103B6F">
      <w:pPr>
        <w:pStyle w:val="Heading3"/>
        <w:rPr>
          <w:rFonts w:cs="Times New Roman"/>
        </w:rPr>
      </w:pPr>
      <w:bookmarkStart w:id="22" w:name="_Toc462843642"/>
      <w:r w:rsidRPr="005D3F76">
        <w:rPr>
          <w:rFonts w:cs="Times New Roman"/>
        </w:rPr>
        <w:t>Strand Three: Teacher as a Defunct Agent</w:t>
      </w:r>
      <w:bookmarkEnd w:id="22"/>
      <w:r w:rsidRPr="005D3F76">
        <w:rPr>
          <w:rFonts w:cs="Times New Roman"/>
        </w:rPr>
        <w:t xml:space="preserve"> </w:t>
      </w:r>
    </w:p>
    <w:p w14:paraId="4104CB86" w14:textId="4F0249C3" w:rsidR="00B03557" w:rsidRPr="005D3F76" w:rsidRDefault="00B03557" w:rsidP="00103B6F">
      <w:pPr>
        <w:rPr>
          <w:rFonts w:cs="Times New Roman"/>
        </w:rPr>
      </w:pPr>
      <w:r w:rsidRPr="005D3F76">
        <w:rPr>
          <w:rFonts w:cs="Times New Roman"/>
        </w:rPr>
        <w:tab/>
        <w:t>It is evident in the material above, that neoliberalism has a direct impact on what is being reported within the media, in conjunction with the harkening of an us versus them mentality found in the use of battle language, where winners and losers need to be decided. There seems to be a clear loser within the discourse from the media—the teachers. ACT 10, along with other more neoliberalistic policies, which will be discussed later in this section, are creating even tighter control over money and outcomes, which is emphasizing the need to have more control through accountability and tighter restrictions on those who are on the bottom of the bureaucratic chain. We can see through the research I have presented that through loss of issues that teacher unions previously fought for and won on behalf of teachers over the twentieth century, such as, seniority and tenure rights, because of these tighter controls, teachers often times become the products of the neoliberal agenda.  This agenda often times pushes for better grades and higher test</w:t>
      </w:r>
      <w:r w:rsidR="008E5DB1" w:rsidRPr="005D3F76">
        <w:rPr>
          <w:rFonts w:cs="Times New Roman"/>
        </w:rPr>
        <w:t xml:space="preserve"> scores with the goal</w:t>
      </w:r>
      <w:r w:rsidRPr="005D3F76">
        <w:rPr>
          <w:rFonts w:cs="Times New Roman"/>
        </w:rPr>
        <w:t xml:space="preserve"> of fostering economic competition, instead of fostering a real love of learning. These same harsh accountability measures harken back to the same principles that were contrived at the beginning of the 1980’s with the report of a </w:t>
      </w:r>
      <w:r w:rsidRPr="005D3F76">
        <w:rPr>
          <w:rFonts w:cs="Times New Roman"/>
          <w:i/>
        </w:rPr>
        <w:t>Nation at Risk</w:t>
      </w:r>
      <w:r w:rsidRPr="005D3F76">
        <w:rPr>
          <w:rFonts w:cs="Times New Roman"/>
        </w:rPr>
        <w:t xml:space="preserve">; coincidentally, a neoliberalistic look at the profession of teaching, teachers, and the unions that represent them </w:t>
      </w:r>
      <w:r w:rsidRPr="005D3F76">
        <w:rPr>
          <w:rFonts w:cs="Times New Roman"/>
        </w:rPr>
        <w:fldChar w:fldCharType="begin"/>
      </w:r>
      <w:r w:rsidRPr="005D3F76">
        <w:rPr>
          <w:rFonts w:cs="Times New Roman"/>
        </w:rPr>
        <w:instrText xml:space="preserve"> ADDIN EN.CITE &lt;EndNote&gt;&lt;Cite&gt;&lt;Author&gt;Ellison&lt;/Author&gt;&lt;Year&gt;2009&lt;/Year&gt;&lt;RecNum&gt;332&lt;/RecNum&gt;&lt;DisplayText&gt;(Ellison, 2009)&lt;/DisplayText&gt;&lt;record&gt;&lt;rec-number&gt;332&lt;/rec-number&gt;&lt;foreign-keys&gt;&lt;key app="EN" db-id="etwareaz8xpxz3et59b50d9vxrata9z2w2zt" timestamp="1467917809"&gt;332&lt;/key&gt;&lt;/foreign-keys&gt;&lt;ref-type name="Thesis"&gt;32&lt;/ref-type&gt;&lt;contributors&gt;&lt;authors&gt;&lt;author&gt;Bradley Scott Ellison&lt;/author&gt;&lt;/authors&gt;&lt;tertiary-authors&gt;&lt;author&gt;Dr. Barbara Thayer-Bacon&lt;/author&gt;&lt;/tertiary-authors&gt;&lt;/contributors&gt;&lt;titles&gt;&lt;title&gt;In Contradiction: The Concept of Globaization in the Popular Discourse of Education Reform&lt;/title&gt;&lt;secondary-title&gt;Cultural Studies&lt;/secondary-title&gt;&lt;/titles&gt;&lt;volume&gt;Doctoral Dissertation&lt;/volume&gt;&lt;dates&gt;&lt;year&gt;2009&lt;/year&gt;&lt;/dates&gt;&lt;pub-location&gt;Knoxville, TN&lt;/pub-location&gt;&lt;publisher&gt;University of Tennessee&lt;/publisher&gt;&lt;urls&gt;&lt;/urls&gt;&lt;/record&gt;&lt;/Cite&gt;&lt;/EndNote&gt;</w:instrText>
      </w:r>
      <w:r w:rsidRPr="005D3F76">
        <w:rPr>
          <w:rFonts w:cs="Times New Roman"/>
        </w:rPr>
        <w:fldChar w:fldCharType="separate"/>
      </w:r>
      <w:r w:rsidRPr="005D3F76">
        <w:rPr>
          <w:rFonts w:cs="Times New Roman"/>
          <w:noProof/>
        </w:rPr>
        <w:t>(Ellison, 2009)</w:t>
      </w:r>
      <w:r w:rsidRPr="005D3F76">
        <w:rPr>
          <w:rFonts w:cs="Times New Roman"/>
        </w:rPr>
        <w:fldChar w:fldCharType="end"/>
      </w:r>
      <w:r w:rsidRPr="005D3F76">
        <w:rPr>
          <w:rFonts w:cs="Times New Roman"/>
        </w:rPr>
        <w:t>.</w:t>
      </w:r>
    </w:p>
    <w:p w14:paraId="7000BB74" w14:textId="77777777" w:rsidR="00B03557" w:rsidRPr="005D3F76" w:rsidRDefault="00B03557" w:rsidP="00103B6F">
      <w:pPr>
        <w:rPr>
          <w:rFonts w:cs="Times New Roman"/>
        </w:rPr>
      </w:pPr>
      <w:r w:rsidRPr="005D3F76">
        <w:rPr>
          <w:rFonts w:cs="Times New Roman"/>
        </w:rPr>
        <w:lastRenderedPageBreak/>
        <w:tab/>
        <w:t xml:space="preserve">However, this strand was the least represented out of the three within this research, even though teacher unions and ACT 10 directly impact the teachers within Wisconsin. Within the </w:t>
      </w:r>
      <w:r w:rsidRPr="005D3F76">
        <w:rPr>
          <w:rFonts w:cs="Times New Roman"/>
          <w:i/>
        </w:rPr>
        <w:t>Times</w:t>
      </w:r>
      <w:r w:rsidRPr="005D3F76">
        <w:rPr>
          <w:rFonts w:cs="Times New Roman"/>
        </w:rPr>
        <w:t xml:space="preserve">, out of the 19 articles only 6 or 32% contained discourse that directly related to the teachers within Wisconsin. Similarly, in the </w:t>
      </w:r>
      <w:r w:rsidRPr="005D3F76">
        <w:rPr>
          <w:rFonts w:cs="Times New Roman"/>
          <w:i/>
        </w:rPr>
        <w:t>WSJ</w:t>
      </w:r>
      <w:r w:rsidRPr="005D3F76">
        <w:rPr>
          <w:rFonts w:cs="Times New Roman"/>
        </w:rPr>
        <w:t xml:space="preserve">, out of the 25 articles researched, only 9, or 36% contained discourse directly about teachers. The </w:t>
      </w:r>
      <w:r w:rsidRPr="005D3F76">
        <w:rPr>
          <w:rFonts w:cs="Times New Roman"/>
          <w:i/>
        </w:rPr>
        <w:t>Cap Times</w:t>
      </w:r>
      <w:r w:rsidRPr="005D3F76">
        <w:rPr>
          <w:rFonts w:cs="Times New Roman"/>
        </w:rPr>
        <w:t xml:space="preserve"> had the most representation for teachers within its discourse, having 8 out of the 19, or 42%. Again, the reasoning for the </w:t>
      </w:r>
      <w:r w:rsidRPr="005D3F76">
        <w:rPr>
          <w:rFonts w:cs="Times New Roman"/>
          <w:i/>
        </w:rPr>
        <w:t>Cap Times</w:t>
      </w:r>
      <w:r w:rsidRPr="005D3F76">
        <w:rPr>
          <w:rFonts w:cs="Times New Roman"/>
        </w:rPr>
        <w:t xml:space="preserve"> to include more discourse on teachers is because they are dealing more with local issues, and the teachers are in direct contact with the individuals within the communities they know and write about.</w:t>
      </w:r>
    </w:p>
    <w:p w14:paraId="672440EE" w14:textId="39234422" w:rsidR="00B03557" w:rsidRPr="005D3F76" w:rsidRDefault="00B03557" w:rsidP="00103B6F">
      <w:pPr>
        <w:rPr>
          <w:rFonts w:cs="Times New Roman"/>
        </w:rPr>
      </w:pPr>
      <w:r w:rsidRPr="005D3F76">
        <w:rPr>
          <w:rFonts w:cs="Times New Roman"/>
        </w:rPr>
        <w:tab/>
      </w:r>
      <w:r w:rsidR="008E5DB1" w:rsidRPr="005D3F76">
        <w:rPr>
          <w:rFonts w:cs="Times New Roman"/>
        </w:rPr>
        <w:t>Teachers were the least represented within all three strands found within the research. However, a</w:t>
      </w:r>
      <w:r w:rsidRPr="005D3F76">
        <w:rPr>
          <w:rFonts w:cs="Times New Roman"/>
        </w:rPr>
        <w:t xml:space="preserve">ll three newspapers in this research echoed the need for extra accountability and control over the teachers, who often times were discussed in the discourse as the defunct agents of the education system within the state of Wisconsin. Many of the articles were about taking the first steps to increasing such control, which included their curtailing collective bargaining rights for their unions as we have seen in the discourse examined within the previous two sections. By no means were all the articles examined trying to tear down the job and performance of the teachers within the state; in fact, the </w:t>
      </w:r>
      <w:r w:rsidRPr="005D3F76">
        <w:rPr>
          <w:rFonts w:cs="Times New Roman"/>
          <w:i/>
        </w:rPr>
        <w:t xml:space="preserve">Cap Times </w:t>
      </w:r>
      <w:r w:rsidRPr="005D3F76">
        <w:rPr>
          <w:rFonts w:cs="Times New Roman"/>
        </w:rPr>
        <w:t xml:space="preserve">provided many good counter examples of this. But, the overwhelming majority presumed such explanations for the need for “merit and performance pay” </w:t>
      </w:r>
      <w:r w:rsidRPr="005D3F76">
        <w:rPr>
          <w:rFonts w:cs="Times New Roman"/>
        </w:rPr>
        <w:fldChar w:fldCharType="begin"/>
      </w:r>
      <w:r w:rsidRPr="005D3F76">
        <w:rPr>
          <w:rFonts w:cs="Times New Roman"/>
        </w:rPr>
        <w:instrText xml:space="preserve"> ADDIN EN.CITE &lt;EndNote&gt;&lt;Cite&gt;&lt;Author&gt;Greenhouse&lt;/Author&gt;&lt;Year&gt;2012&lt;/Year&gt;&lt;RecNum&gt;92&lt;/RecNum&gt;&lt;DisplayText&gt;(Greenhouse, 2012)&lt;/DisplayText&gt;&lt;record&gt;&lt;rec-number&gt;92&lt;/rec-number&gt;&lt;foreign-keys&gt;&lt;key app="EN" db-id="etwareaz8xpxz3et59b50d9vxrata9z2w2zt" timestamp="1455565255"&gt;92&lt;/key&gt;&lt;/foreign-keys&gt;&lt;ref-type name="Newspaper Article"&gt;23&lt;/ref-type&gt;&lt;contributors&gt;&lt;authors&gt;&lt;author&gt;Steven Greenhouse&lt;/author&gt;&lt;/authors&gt;&lt;/contributors&gt;&lt;titles&gt;&lt;title&gt;In Standoff, Latest Sign of Unions Under Siege&lt;/title&gt;&lt;secondary-title&gt;The New York Times&lt;/secondary-title&gt;&lt;/titles&gt;&lt;pages&gt;1&lt;/pages&gt;&lt;section&gt;National Desk&lt;/section&gt;&lt;dates&gt;&lt;year&gt;2012&lt;/year&gt;&lt;pub-dates&gt;&lt;date&gt;September 11&lt;/date&gt;&lt;/pub-dates&gt;&lt;/dates&gt;&lt;pub-location&gt;New York&lt;/pub-location&gt;&lt;urls&gt;&lt;/urls&gt;&lt;/record&gt;&lt;/Cite&gt;&lt;/EndNote&gt;</w:instrText>
      </w:r>
      <w:r w:rsidRPr="005D3F76">
        <w:rPr>
          <w:rFonts w:cs="Times New Roman"/>
        </w:rPr>
        <w:fldChar w:fldCharType="separate"/>
      </w:r>
      <w:r w:rsidRPr="005D3F76">
        <w:rPr>
          <w:rFonts w:cs="Times New Roman"/>
          <w:noProof/>
        </w:rPr>
        <w:t>(Greenhouse, 2012)</w:t>
      </w:r>
      <w:r w:rsidRPr="005D3F76">
        <w:rPr>
          <w:rFonts w:cs="Times New Roman"/>
        </w:rPr>
        <w:fldChar w:fldCharType="end"/>
      </w:r>
      <w:r w:rsidRPr="005D3F76">
        <w:rPr>
          <w:rFonts w:cs="Times New Roman"/>
        </w:rPr>
        <w:t xml:space="preserve">, a “new accountability system” for teachers and schools </w:t>
      </w:r>
      <w:r w:rsidRPr="005D3F76">
        <w:rPr>
          <w:rFonts w:cs="Times New Roman"/>
        </w:rPr>
        <w:fldChar w:fldCharType="begin"/>
      </w:r>
      <w:r w:rsidRPr="005D3F76">
        <w:rPr>
          <w:rFonts w:cs="Times New Roman"/>
        </w:rPr>
        <w:instrText xml:space="preserve"> ADDIN EN.CITE &lt;EndNote&gt;&lt;Cite&gt;&lt;Author&gt;DeFour&lt;/Author&gt;&lt;Year&gt;2011&lt;/Year&gt;&lt;RecNum&gt;125&lt;/RecNum&gt;&lt;DisplayText&gt;(DeFour, 2011b)&lt;/DisplayText&gt;&lt;record&gt;&lt;rec-number&gt;125&lt;/rec-number&gt;&lt;foreign-keys&gt;&lt;key app="EN" db-id="etwareaz8xpxz3et59b50d9vxrata9z2w2zt" timestamp="1455584497"&gt;125&lt;/key&gt;&lt;/foreign-keys&gt;&lt;ref-type name="Newspaper Article"&gt;23&lt;/ref-type&gt;&lt;contributors&gt;&lt;authors&gt;&lt;author&gt;Matthew DeFour&lt;/author&gt;&lt;/authors&gt;&lt;/contributors&gt;&lt;titles&gt;&lt;title&gt;Unions Reject Discussions: Task Force Aims to Develop School Accountability System Unions Reject Discussions&lt;/title&gt;&lt;secondary-title&gt;Wisconsin State Journal&lt;/secondary-title&gt;&lt;/titles&gt;&lt;pages&gt;A3&lt;/pages&gt;&lt;section&gt;Local&lt;/section&gt;&lt;dates&gt;&lt;year&gt;2011&lt;/year&gt;&lt;pub-dates&gt;&lt;date&gt;July 23&lt;/date&gt;&lt;/pub-dates&gt;&lt;/dates&gt;&lt;pub-location&gt;Madison, Wisconsin&lt;/pub-location&gt;&lt;publisher&gt;Madison Newspapers&lt;/publisher&gt;&lt;urls&gt;&lt;/urls&gt;&lt;/record&gt;&lt;/Cite&gt;&lt;/EndNote&gt;</w:instrText>
      </w:r>
      <w:r w:rsidRPr="005D3F76">
        <w:rPr>
          <w:rFonts w:cs="Times New Roman"/>
        </w:rPr>
        <w:fldChar w:fldCharType="separate"/>
      </w:r>
      <w:r w:rsidRPr="005D3F76">
        <w:rPr>
          <w:rFonts w:cs="Times New Roman"/>
          <w:noProof/>
        </w:rPr>
        <w:t>(DeFour, 2011b)</w:t>
      </w:r>
      <w:r w:rsidRPr="005D3F76">
        <w:rPr>
          <w:rFonts w:cs="Times New Roman"/>
        </w:rPr>
        <w:fldChar w:fldCharType="end"/>
      </w:r>
      <w:r w:rsidRPr="005D3F76">
        <w:rPr>
          <w:rFonts w:cs="Times New Roman"/>
        </w:rPr>
        <w:t xml:space="preserve">, and the ability and need to “unwind tenure and seniority protections [that have been] in place for more than 50 years,” even if the newspapers favored the teachers side </w:t>
      </w:r>
      <w:r w:rsidRPr="005D3F76">
        <w:rPr>
          <w:rFonts w:cs="Times New Roman"/>
        </w:rPr>
        <w:fldChar w:fldCharType="begin"/>
      </w:r>
      <w:r w:rsidRPr="005D3F76">
        <w:rPr>
          <w:rFonts w:cs="Times New Roman"/>
        </w:rPr>
        <w:instrText xml:space="preserve"> ADDIN EN.CITE &lt;EndNote&gt;&lt;Cite&gt;&lt;Author&gt;Gabriel&lt;/Author&gt;&lt;Year&gt;2011&lt;/Year&gt;&lt;RecNum&gt;89&lt;/RecNum&gt;&lt;DisplayText&gt;(Gabriel, 2011)&lt;/DisplayText&gt;&lt;record&gt;&lt;rec-number&gt;89&lt;/rec-number&gt;&lt;foreign-keys&gt;&lt;key app="EN" db-id="etwareaz8xpxz3et59b50d9vxrata9z2w2zt" timestamp="1455565060"&gt;89&lt;/key&gt;&lt;/foreign-keys&gt;&lt;ref-type name="Newspaper Article"&gt;23&lt;/ref-type&gt;&lt;contributors&gt;&lt;authors&gt;&lt;author&gt;Trip Gabriel&lt;/author&gt;&lt;/authors&gt;&lt;/contributors&gt;&lt;titles&gt;&lt;title&gt;Teachers Wonder, Why the Heapings of Scorn?&lt;/title&gt;&lt;secondary-title&gt;The New York Times&lt;/secondary-title&gt;&lt;/titles&gt;&lt;pages&gt;1&lt;/pages&gt;&lt;section&gt;National Desk&lt;/section&gt;&lt;dates&gt;&lt;year&gt;2011&lt;/year&gt;&lt;pub-dates&gt;&lt;date&gt;March 3&lt;/date&gt;&lt;/pub-dates&gt;&lt;/dates&gt;&lt;pub-location&gt;New York&lt;/pub-location&gt;&lt;urls&gt;&lt;/urls&gt;&lt;/record&gt;&lt;/Cite&gt;&lt;/EndNote&gt;</w:instrText>
      </w:r>
      <w:r w:rsidRPr="005D3F76">
        <w:rPr>
          <w:rFonts w:cs="Times New Roman"/>
        </w:rPr>
        <w:fldChar w:fldCharType="separate"/>
      </w:r>
      <w:r w:rsidRPr="005D3F76">
        <w:rPr>
          <w:rFonts w:cs="Times New Roman"/>
          <w:noProof/>
        </w:rPr>
        <w:t>(Gabriel, 2011)</w:t>
      </w:r>
      <w:r w:rsidRPr="005D3F76">
        <w:rPr>
          <w:rFonts w:cs="Times New Roman"/>
        </w:rPr>
        <w:fldChar w:fldCharType="end"/>
      </w:r>
      <w:r w:rsidRPr="005D3F76">
        <w:rPr>
          <w:rFonts w:cs="Times New Roman"/>
        </w:rPr>
        <w:t xml:space="preserve">. The discourse surrounding the teachers and the systems that they function within, </w:t>
      </w:r>
      <w:r w:rsidRPr="005D3F76">
        <w:rPr>
          <w:rFonts w:cs="Times New Roman"/>
        </w:rPr>
        <w:lastRenderedPageBreak/>
        <w:t xml:space="preserve">established an interesting paradox of opposition, </w:t>
      </w:r>
      <w:r w:rsidR="008E5DB1" w:rsidRPr="005D3F76">
        <w:rPr>
          <w:rFonts w:cs="Times New Roman"/>
        </w:rPr>
        <w:t xml:space="preserve">in culmination with </w:t>
      </w:r>
      <w:r w:rsidRPr="005D3F76">
        <w:rPr>
          <w:rFonts w:cs="Times New Roman"/>
        </w:rPr>
        <w:t>the ideologies of neoliberalism within this strand of research.</w:t>
      </w:r>
    </w:p>
    <w:p w14:paraId="74DBEAF6" w14:textId="7888EA81" w:rsidR="00B03557" w:rsidRPr="005D3F76" w:rsidRDefault="00B03557" w:rsidP="00103B6F">
      <w:pPr>
        <w:rPr>
          <w:rFonts w:cs="Times New Roman"/>
        </w:rPr>
      </w:pPr>
      <w:r w:rsidRPr="005D3F76">
        <w:rPr>
          <w:rFonts w:cs="Times New Roman"/>
        </w:rPr>
        <w:tab/>
        <w:t xml:space="preserve">This paradox of opposition created through the discourse established a no win situation for the teachers within Wisconsin. Although individual teachers were viewed favorably within the state of Wisconsin, especially at the local level as was mentioned earlier, the discourse within the newspapers concerning </w:t>
      </w:r>
      <w:r w:rsidR="00E341FA" w:rsidRPr="005D3F76">
        <w:rPr>
          <w:rFonts w:cs="Times New Roman"/>
        </w:rPr>
        <w:t>teacher’s</w:t>
      </w:r>
      <w:r w:rsidRPr="005D3F76">
        <w:rPr>
          <w:rFonts w:cs="Times New Roman"/>
        </w:rPr>
        <w:t xml:space="preserve"> unions created an oppositional positionality that produced a paradoxical conundrum for the teachers, one of which they had could have no response or cure for. The discourse within the articles, even at the local level within the </w:t>
      </w:r>
      <w:r w:rsidRPr="005D3F76">
        <w:rPr>
          <w:rFonts w:cs="Times New Roman"/>
          <w:i/>
        </w:rPr>
        <w:t>Cap Times</w:t>
      </w:r>
      <w:r w:rsidRPr="005D3F76">
        <w:rPr>
          <w:rFonts w:cs="Times New Roman"/>
        </w:rPr>
        <w:t>, suggested that either the teacher unions were usurping the power of the individual teachers making it impossible for them to help push through new educational reforms, or that the teachers themselves, who are part of the unions, are in fact, causing the problems within the system. In either scenario, whether the teacher unions held all the power as a solidified unit and the teachers were in fact the victims, or the teachers themselves as part of the unions were keeping reform and ‘real’ change from happening, the teachers were the villains. According to the discourse that was presented by all three newspapers, being either the victim or the villain is not a good place to sit in the education system.  In either case, the government, with their legislative action, ACT 10, became the good guys in the scenario by creating a mechanism to control either the too power heavy unions, or by taking control and creating more accountability for the teachers themselves that sit within the union. In the following passage we can see that the language used depicts this scenario well:</w:t>
      </w:r>
    </w:p>
    <w:p w14:paraId="33D1CCEA" w14:textId="77777777" w:rsidR="00B03557" w:rsidRPr="005D3F76" w:rsidRDefault="00B03557" w:rsidP="001B1E2A">
      <w:pPr>
        <w:ind w:left="1440" w:hanging="720"/>
        <w:rPr>
          <w:rFonts w:cs="Times New Roman"/>
        </w:rPr>
      </w:pPr>
      <w:r w:rsidRPr="005D3F76">
        <w:rPr>
          <w:rFonts w:cs="Times New Roman"/>
        </w:rPr>
        <w:t xml:space="preserve">Although crushing state budget deficits are the proximate cause of </w:t>
      </w:r>
      <w:r w:rsidRPr="005D3F76">
        <w:rPr>
          <w:rFonts w:cs="Times New Roman"/>
          <w:u w:val="single"/>
        </w:rPr>
        <w:t>lawmakers’ pressure,</w:t>
      </w:r>
      <w:r w:rsidRPr="005D3F76">
        <w:rPr>
          <w:rFonts w:cs="Times New Roman"/>
        </w:rPr>
        <w:t xml:space="preserve"> a further justification for many of the proposed measures comes from the </w:t>
      </w:r>
      <w:r w:rsidRPr="005D3F76">
        <w:rPr>
          <w:rFonts w:cs="Times New Roman"/>
          <w:u w:val="double"/>
        </w:rPr>
        <w:t xml:space="preserve">broad accountability movement </w:t>
      </w:r>
      <w:r w:rsidRPr="005D3F76">
        <w:rPr>
          <w:rFonts w:cs="Times New Roman"/>
        </w:rPr>
        <w:t xml:space="preserve">which aims to raise student achievement and sees </w:t>
      </w:r>
      <w:r w:rsidRPr="005D3F76">
        <w:rPr>
          <w:rFonts w:cs="Times New Roman"/>
          <w:u w:val="wave"/>
        </w:rPr>
        <w:t>teachers’ unions</w:t>
      </w:r>
      <w:r w:rsidRPr="005D3F76">
        <w:rPr>
          <w:rFonts w:cs="Times New Roman"/>
        </w:rPr>
        <w:t xml:space="preserve"> as often blocking the way</w:t>
      </w:r>
      <w:r w:rsidRPr="005D3F76">
        <w:rPr>
          <w:rFonts w:cs="Times New Roman"/>
          <w:u w:val="dotted"/>
        </w:rPr>
        <w:t xml:space="preserve">. </w:t>
      </w:r>
      <w:r w:rsidRPr="005D3F76">
        <w:rPr>
          <w:rFonts w:cs="Times New Roman"/>
          <w:u w:val="double"/>
        </w:rPr>
        <w:t>Accountability</w:t>
      </w:r>
      <w:r w:rsidRPr="005D3F76">
        <w:rPr>
          <w:rFonts w:cs="Times New Roman"/>
          <w:u w:val="dotted"/>
        </w:rPr>
        <w:t xml:space="preserve">, </w:t>
      </w:r>
      <w:r w:rsidRPr="005D3F76">
        <w:rPr>
          <w:rFonts w:cs="Times New Roman"/>
        </w:rPr>
        <w:t xml:space="preserve">particularly as </w:t>
      </w:r>
      <w:r w:rsidRPr="005D3F76">
        <w:rPr>
          <w:rFonts w:cs="Times New Roman"/>
        </w:rPr>
        <w:lastRenderedPageBreak/>
        <w:t xml:space="preserve">measured by student test scores, has brought </w:t>
      </w:r>
      <w:r w:rsidRPr="005D3F76">
        <w:rPr>
          <w:rFonts w:cs="Times New Roman"/>
          <w:u w:val="thick"/>
        </w:rPr>
        <w:t>sweeping change</w:t>
      </w:r>
      <w:r w:rsidRPr="005D3F76">
        <w:rPr>
          <w:rFonts w:cs="Times New Roman"/>
        </w:rPr>
        <w:t xml:space="preserve"> to education and promises more, but many </w:t>
      </w:r>
      <w:r w:rsidRPr="005D3F76">
        <w:rPr>
          <w:rFonts w:cs="Times New Roman"/>
          <w:u w:val="dash"/>
        </w:rPr>
        <w:t>teachers</w:t>
      </w:r>
      <w:r w:rsidRPr="005D3F76">
        <w:rPr>
          <w:rFonts w:cs="Times New Roman"/>
        </w:rPr>
        <w:t xml:space="preserve"> feel the changes are imposed with scant input from </w:t>
      </w:r>
      <w:r w:rsidRPr="005D3F76">
        <w:rPr>
          <w:rFonts w:cs="Times New Roman"/>
          <w:u w:val="dash"/>
        </w:rPr>
        <w:t>classroom-level educators</w:t>
      </w:r>
      <w:r w:rsidRPr="005D3F76">
        <w:rPr>
          <w:rFonts w:cs="Times New Roman"/>
        </w:rPr>
        <w:t xml:space="preserve">…the decline in </w:t>
      </w:r>
      <w:r w:rsidRPr="005D3F76">
        <w:rPr>
          <w:rFonts w:cs="Times New Roman"/>
          <w:u w:val="dash"/>
        </w:rPr>
        <w:t>teachers’ status</w:t>
      </w:r>
      <w:r w:rsidRPr="005D3F76">
        <w:rPr>
          <w:rFonts w:cs="Times New Roman"/>
        </w:rPr>
        <w:t xml:space="preserve"> [can be] traced to the success of </w:t>
      </w:r>
      <w:r w:rsidRPr="005D3F76">
        <w:rPr>
          <w:rFonts w:cs="Times New Roman"/>
          <w:u w:val="wave"/>
        </w:rPr>
        <w:t>unions</w:t>
      </w:r>
      <w:r w:rsidRPr="005D3F76">
        <w:rPr>
          <w:rFonts w:cs="Times New Roman"/>
        </w:rPr>
        <w:t xml:space="preserve"> in paying teachers and granting job security based on their years of service, not ability. </w:t>
      </w:r>
      <w:r w:rsidRPr="005D3F76">
        <w:rPr>
          <w:rFonts w:cs="Times New Roman"/>
          <w:u w:val="dash"/>
        </w:rPr>
        <w:t>They</w:t>
      </w:r>
      <w:r w:rsidRPr="005D3F76">
        <w:rPr>
          <w:rFonts w:cs="Times New Roman"/>
        </w:rPr>
        <w:t xml:space="preserve"> are </w:t>
      </w:r>
      <w:r w:rsidRPr="005D3F76">
        <w:rPr>
          <w:rFonts w:cs="Times New Roman"/>
          <w:u w:val="thick"/>
        </w:rPr>
        <w:t>reaping a bitter harvest</w:t>
      </w:r>
      <w:r w:rsidRPr="005D3F76">
        <w:rPr>
          <w:rFonts w:cs="Times New Roman"/>
        </w:rPr>
        <w:t xml:space="preserve"> that [the teachers]</w:t>
      </w:r>
      <w:r w:rsidRPr="005D3F76">
        <w:rPr>
          <w:rFonts w:cs="Times New Roman"/>
          <w:u w:val="dash"/>
        </w:rPr>
        <w:t xml:space="preserve"> individually</w:t>
      </w:r>
      <w:r w:rsidRPr="005D3F76">
        <w:rPr>
          <w:rFonts w:cs="Times New Roman"/>
        </w:rPr>
        <w:t xml:space="preserve"> </w:t>
      </w:r>
      <w:r w:rsidRPr="005D3F76">
        <w:rPr>
          <w:rFonts w:cs="Times New Roman"/>
          <w:u w:val="thick"/>
        </w:rPr>
        <w:t>plant[ed]</w:t>
      </w:r>
      <w:r w:rsidRPr="005D3F76">
        <w:rPr>
          <w:rFonts w:cs="Times New Roman"/>
        </w:rPr>
        <w:t xml:space="preserve"> over 50 years ago </w:t>
      </w:r>
      <w:r w:rsidRPr="005D3F76">
        <w:rPr>
          <w:rFonts w:cs="Times New Roman"/>
        </w:rPr>
        <w:fldChar w:fldCharType="begin"/>
      </w:r>
      <w:r w:rsidRPr="005D3F76">
        <w:rPr>
          <w:rFonts w:cs="Times New Roman"/>
        </w:rPr>
        <w:instrText xml:space="preserve"> ADDIN EN.CITE &lt;EndNote&gt;&lt;Cite&gt;&lt;Author&gt;Gabriel&lt;/Author&gt;&lt;Year&gt;2011&lt;/Year&gt;&lt;RecNum&gt;89&lt;/RecNum&gt;&lt;DisplayText&gt;(Gabriel, 2011)&lt;/DisplayText&gt;&lt;record&gt;&lt;rec-number&gt;89&lt;/rec-number&gt;&lt;foreign-keys&gt;&lt;key app="EN" db-id="etwareaz8xpxz3et59b50d9vxrata9z2w2zt" timestamp="1455565060"&gt;89&lt;/key&gt;&lt;/foreign-keys&gt;&lt;ref-type name="Newspaper Article"&gt;23&lt;/ref-type&gt;&lt;contributors&gt;&lt;authors&gt;&lt;author&gt;Trip Gabriel&lt;/author&gt;&lt;/authors&gt;&lt;/contributors&gt;&lt;titles&gt;&lt;title&gt;Teachers Wonder, Why the Heapings of Scorn?&lt;/title&gt;&lt;secondary-title&gt;The New York Times&lt;/secondary-title&gt;&lt;/titles&gt;&lt;pages&gt;1&lt;/pages&gt;&lt;section&gt;National Desk&lt;/section&gt;&lt;dates&gt;&lt;year&gt;2011&lt;/year&gt;&lt;pub-dates&gt;&lt;date&gt;March 3&lt;/date&gt;&lt;/pub-dates&gt;&lt;/dates&gt;&lt;pub-location&gt;New York&lt;/pub-location&gt;&lt;urls&gt;&lt;/urls&gt;&lt;/record&gt;&lt;/Cite&gt;&lt;/EndNote&gt;</w:instrText>
      </w:r>
      <w:r w:rsidRPr="005D3F76">
        <w:rPr>
          <w:rFonts w:cs="Times New Roman"/>
        </w:rPr>
        <w:fldChar w:fldCharType="separate"/>
      </w:r>
      <w:r w:rsidRPr="005D3F76">
        <w:rPr>
          <w:rFonts w:cs="Times New Roman"/>
          <w:noProof/>
        </w:rPr>
        <w:t>(Gabriel, 2011)</w:t>
      </w:r>
      <w:r w:rsidRPr="005D3F76">
        <w:rPr>
          <w:rFonts w:cs="Times New Roman"/>
        </w:rPr>
        <w:fldChar w:fldCharType="end"/>
      </w:r>
      <w:r w:rsidRPr="005D3F76">
        <w:rPr>
          <w:rFonts w:cs="Times New Roman"/>
        </w:rPr>
        <w:t xml:space="preserve">. </w:t>
      </w:r>
    </w:p>
    <w:p w14:paraId="12AEF611" w14:textId="507AA49C" w:rsidR="00B03557" w:rsidRPr="005D3F76" w:rsidRDefault="00B03557" w:rsidP="00103B6F">
      <w:pPr>
        <w:ind w:firstLine="720"/>
        <w:rPr>
          <w:rFonts w:cs="Times New Roman"/>
        </w:rPr>
      </w:pPr>
      <w:r w:rsidRPr="005D3F76">
        <w:rPr>
          <w:rFonts w:cs="Times New Roman"/>
        </w:rPr>
        <w:t xml:space="preserve">In the above example, the single underlined phrases denote the governmental presence within the work. Even though the government is only presented as a worded discourse once within the passage, the undertones imply that the governmental presence runs throughout the entire section. In this way, the government is set up as the good guys, especially with the introduction of the ACT 10 legislation, while pitted against both teachers and </w:t>
      </w:r>
      <w:r w:rsidR="00E341FA" w:rsidRPr="005D3F76">
        <w:rPr>
          <w:rFonts w:cs="Times New Roman"/>
        </w:rPr>
        <w:t>teacher’s</w:t>
      </w:r>
      <w:r w:rsidRPr="005D3F76">
        <w:rPr>
          <w:rFonts w:cs="Times New Roman"/>
        </w:rPr>
        <w:t xml:space="preserve"> unions, as can be seen in the passage indicated by the dotted line for the teachers themselves, and the wavy lines for the unions. What’s particularly interesting about this example and others like it within the articles researched, is that the language harkens back to both the neoliberal ideology. This neoliberal ideology is undergirding this discussion surrounding both the abilities of the teachers, and their preponderance to lack the desire for ‘real’ reform, as harkened to by the governmental entities within Wisconsin. These oppositional tendencies concerning the teachers themselves are guided by the use of metaphor, as can be found by the bolded underlined discourse. Where teachers’ predilection for circumventing either themselves or through their unions, the reforms that the government and more neoliberalistic entities would like to see passed are gauged in talk of planting crops. This metaphor creates a picture for readers that harkens to Bible verses about ‘reaping what we sow.’ In essence, the teachers have surrendered their power and have received what’s coming to them according to the discourse provided here. </w:t>
      </w:r>
      <w:r w:rsidRPr="005D3F76">
        <w:rPr>
          <w:rFonts w:cs="Times New Roman"/>
        </w:rPr>
        <w:lastRenderedPageBreak/>
        <w:t xml:space="preserve">The use of the metaphors within this passage straddles a boundary between teachers being the victims of something that is out of their control, and teachers as the villains because they are part of the unions, because they are the ones who began them.  </w:t>
      </w:r>
    </w:p>
    <w:p w14:paraId="5D22A179" w14:textId="77777777" w:rsidR="00B03557" w:rsidRPr="005D3F76" w:rsidRDefault="00B03557" w:rsidP="00103B6F">
      <w:pPr>
        <w:rPr>
          <w:rFonts w:cs="Times New Roman"/>
        </w:rPr>
      </w:pPr>
      <w:r w:rsidRPr="005D3F76">
        <w:rPr>
          <w:rFonts w:cs="Times New Roman"/>
        </w:rPr>
        <w:tab/>
        <w:t xml:space="preserve">This strand of research dealing with the discourse that is about the teachers within the unions in Wisconsin is an intricate web. No one wants to come out and make the profound statements that the teachers are the ones to blame for both the issues with education and with the public sector unions; however, the implication of this is quite clear within the newspaper articles. </w:t>
      </w:r>
    </w:p>
    <w:p w14:paraId="14997ABF" w14:textId="77777777" w:rsidR="00B03557" w:rsidRPr="005D3F76" w:rsidRDefault="00B03557" w:rsidP="001B1E2A">
      <w:pPr>
        <w:ind w:left="1440" w:hanging="720"/>
        <w:rPr>
          <w:rFonts w:cs="Times New Roman"/>
        </w:rPr>
      </w:pPr>
      <w:r w:rsidRPr="005D3F76">
        <w:rPr>
          <w:rFonts w:cs="Times New Roman"/>
        </w:rPr>
        <w:t xml:space="preserve">…if you’d like to see your district have an easier time keeping that awesome first-year teacher and ditching the underwhelming 20-year vet, if you want [et.al] less money [spent] on teachers’ generous health care and pension benefits--now’s your chance. </w:t>
      </w:r>
      <w:r w:rsidRPr="005D3F76">
        <w:rPr>
          <w:rFonts w:cs="Times New Roman"/>
        </w:rPr>
        <w:fldChar w:fldCharType="begin"/>
      </w:r>
      <w:r w:rsidRPr="005D3F76">
        <w:rPr>
          <w:rFonts w:cs="Times New Roman"/>
        </w:rPr>
        <w:instrText xml:space="preserve"> ADDIN EN.CITE &lt;EndNote&gt;&lt;Cite&gt;&lt;Author&gt;Rickert&lt;/Author&gt;&lt;Year&gt;2011&lt;/Year&gt;&lt;RecNum&gt;124&lt;/RecNum&gt;&lt;DisplayText&gt;(Rickert, 2011b)&lt;/DisplayText&gt;&lt;record&gt;&lt;rec-number&gt;124&lt;/rec-number&gt;&lt;foreign-keys&gt;&lt;key app="EN" db-id="etwareaz8xpxz3et59b50d9vxrata9z2w2zt" timestamp="1455579576"&gt;124&lt;/key&gt;&lt;/foreign-keys&gt;&lt;ref-type name="Newspaper Article"&gt;23&lt;/ref-type&gt;&lt;contributors&gt;&lt;authors&gt;&lt;author&gt;Chris Rickert&lt;/author&gt;&lt;/authors&gt;&lt;/contributors&gt;&lt;titles&gt;&lt;title&gt;Teachers Unions, Welcome to the Debate&lt;/title&gt;&lt;secondary-title&gt;Wisconsin State Journal&lt;/secondary-title&gt;&lt;/titles&gt;&lt;pages&gt;A3&lt;/pages&gt;&lt;section&gt;Local&lt;/section&gt;&lt;dates&gt;&lt;year&gt;2011&lt;/year&gt;&lt;pub-dates&gt;&lt;date&gt;October 15&lt;/date&gt;&lt;/pub-dates&gt;&lt;/dates&gt;&lt;pub-location&gt;Madison, Wisconsin&lt;/pub-location&gt;&lt;publisher&gt;Madison Newspapers&lt;/publisher&gt;&lt;urls&gt;&lt;/urls&gt;&lt;/record&gt;&lt;/Cite&gt;&lt;/EndNote&gt;</w:instrText>
      </w:r>
      <w:r w:rsidRPr="005D3F76">
        <w:rPr>
          <w:rFonts w:cs="Times New Roman"/>
        </w:rPr>
        <w:fldChar w:fldCharType="separate"/>
      </w:r>
      <w:r w:rsidRPr="005D3F76">
        <w:rPr>
          <w:rFonts w:cs="Times New Roman"/>
          <w:noProof/>
        </w:rPr>
        <w:t>(Rickert, 2011b)</w:t>
      </w:r>
      <w:r w:rsidRPr="005D3F76">
        <w:rPr>
          <w:rFonts w:cs="Times New Roman"/>
        </w:rPr>
        <w:fldChar w:fldCharType="end"/>
      </w:r>
      <w:r w:rsidRPr="005D3F76">
        <w:rPr>
          <w:rFonts w:cs="Times New Roman"/>
        </w:rPr>
        <w:t xml:space="preserve">  </w:t>
      </w:r>
    </w:p>
    <w:p w14:paraId="5F06B86B" w14:textId="77777777" w:rsidR="00B03557" w:rsidRPr="005D3F76" w:rsidRDefault="00B03557" w:rsidP="001B1E2A">
      <w:pPr>
        <w:ind w:left="1440" w:hanging="720"/>
        <w:rPr>
          <w:rFonts w:cs="Times New Roman"/>
        </w:rPr>
      </w:pPr>
      <w:r w:rsidRPr="005D3F76">
        <w:rPr>
          <w:rFonts w:cs="Times New Roman"/>
        </w:rPr>
        <w:t xml:space="preserve"> …innovative contract…which softens tenure protections and calls for steps to improve underperforming teachers…working to train teachers for new tougher core standards. </w:t>
      </w:r>
      <w:r w:rsidRPr="005D3F76">
        <w:rPr>
          <w:rFonts w:cs="Times New Roman"/>
        </w:rPr>
        <w:fldChar w:fldCharType="begin"/>
      </w:r>
      <w:r w:rsidRPr="005D3F76">
        <w:rPr>
          <w:rFonts w:cs="Times New Roman"/>
        </w:rPr>
        <w:instrText xml:space="preserve"> ADDIN EN.CITE &lt;EndNote&gt;&lt;Cite&gt;&lt;Author&gt;Greenhouse&lt;/Author&gt;&lt;Year&gt;2012&lt;/Year&gt;&lt;RecNum&gt;92&lt;/RecNum&gt;&lt;DisplayText&gt;(Greenhouse, 2012)&lt;/DisplayText&gt;&lt;record&gt;&lt;rec-number&gt;92&lt;/rec-number&gt;&lt;foreign-keys&gt;&lt;key app="EN" db-id="etwareaz8xpxz3et59b50d9vxrata9z2w2zt" timestamp="1455565255"&gt;92&lt;/key&gt;&lt;/foreign-keys&gt;&lt;ref-type name="Newspaper Article"&gt;23&lt;/ref-type&gt;&lt;contributors&gt;&lt;authors&gt;&lt;author&gt;Steven Greenhouse&lt;/author&gt;&lt;/authors&gt;&lt;/contributors&gt;&lt;titles&gt;&lt;title&gt;In Standoff, Latest Sign of Unions Under Siege&lt;/title&gt;&lt;secondary-title&gt;The New York Times&lt;/secondary-title&gt;&lt;/titles&gt;&lt;pages&gt;1&lt;/pages&gt;&lt;section&gt;National Desk&lt;/section&gt;&lt;dates&gt;&lt;year&gt;2012&lt;/year&gt;&lt;pub-dates&gt;&lt;date&gt;September 11&lt;/date&gt;&lt;/pub-dates&gt;&lt;/dates&gt;&lt;pub-location&gt;New York&lt;/pub-location&gt;&lt;urls&gt;&lt;/urls&gt;&lt;/record&gt;&lt;/Cite&gt;&lt;/EndNote&gt;</w:instrText>
      </w:r>
      <w:r w:rsidRPr="005D3F76">
        <w:rPr>
          <w:rFonts w:cs="Times New Roman"/>
        </w:rPr>
        <w:fldChar w:fldCharType="separate"/>
      </w:r>
      <w:r w:rsidRPr="005D3F76">
        <w:rPr>
          <w:rFonts w:cs="Times New Roman"/>
          <w:noProof/>
        </w:rPr>
        <w:t>(Greenhouse, 2012)</w:t>
      </w:r>
      <w:r w:rsidRPr="005D3F76">
        <w:rPr>
          <w:rFonts w:cs="Times New Roman"/>
        </w:rPr>
        <w:fldChar w:fldCharType="end"/>
      </w:r>
    </w:p>
    <w:p w14:paraId="1FDDC235" w14:textId="102CE034" w:rsidR="00B03557" w:rsidRPr="005D3F76" w:rsidRDefault="00B03557" w:rsidP="00103B6F">
      <w:pPr>
        <w:rPr>
          <w:rFonts w:cs="Times New Roman"/>
        </w:rPr>
      </w:pPr>
      <w:r w:rsidRPr="005D3F76">
        <w:rPr>
          <w:rFonts w:cs="Times New Roman"/>
        </w:rPr>
        <w:t xml:space="preserve">In these instances, modalities are inferenced as to what the teachers in Wisconsin should be doing to make education better, and what could be if they had been doing it all along; both are modalities of obligation and desirability.  If the teacher unions are not blamed directly for the seeming issues within the educational systems in Wisconsin, then it becomes apparent that the blame should rest on the teachers themselves because the teachers are part of the unions. The issues, like tenure, seniority, pensions, and vacation time that were won by the unions over the twentieth </w:t>
      </w:r>
      <w:r w:rsidR="00E341FA" w:rsidRPr="005D3F76">
        <w:rPr>
          <w:rFonts w:cs="Times New Roman"/>
        </w:rPr>
        <w:t>century,</w:t>
      </w:r>
      <w:r w:rsidRPr="005D3F76">
        <w:rPr>
          <w:rFonts w:cs="Times New Roman"/>
        </w:rPr>
        <w:t xml:space="preserve"> seem to be taken advantage of by the teachers. Government officials, parents, and reformers claim that teachers get ‘excessive’ vacation and paid time off during the regular school year, all of which are negotiated by their unions.  </w:t>
      </w:r>
    </w:p>
    <w:p w14:paraId="19701CDC" w14:textId="77777777" w:rsidR="00B03557" w:rsidRPr="005D3F76" w:rsidRDefault="00B03557" w:rsidP="00103B6F">
      <w:pPr>
        <w:rPr>
          <w:rFonts w:cs="Times New Roman"/>
        </w:rPr>
      </w:pPr>
      <w:r w:rsidRPr="005D3F76">
        <w:rPr>
          <w:rFonts w:cs="Times New Roman"/>
        </w:rPr>
        <w:lastRenderedPageBreak/>
        <w:tab/>
        <w:t xml:space="preserve">Within certain articles researched, the teachers of Wisconsin were not just victimized or villainized, but their means of power and autonomy within the classroom were also called into question.  These articles inquire whether or not the unions that teachers have been a part of for so many years, have in fact contributed to the lack of innovation and hence the overall ability of their performance within the classroom. Specifically, the </w:t>
      </w:r>
      <w:r w:rsidRPr="005D3F76">
        <w:rPr>
          <w:rFonts w:cs="Times New Roman"/>
          <w:i/>
        </w:rPr>
        <w:t>WSJ</w:t>
      </w:r>
      <w:r w:rsidRPr="005D3F76">
        <w:rPr>
          <w:rFonts w:cs="Times New Roman"/>
        </w:rPr>
        <w:t xml:space="preserve"> more so than the other two, was the newspaper that really pushed this agenda unto its readers by the use of more inflammatory discourse and exemplification of issues that were coming to a head within Wisconsin after the passage of ACT 10. For instance, in one article titled, </w:t>
      </w:r>
      <w:r w:rsidRPr="005D3F76">
        <w:rPr>
          <w:rFonts w:cs="Times New Roman"/>
          <w:i/>
        </w:rPr>
        <w:t>New Work Rules Set in as Contracts Lapse: Administrators, Workers are Adjusting to a Different Employment Landscape: Public Employee Unions\Post-Collective Bargaining</w:t>
      </w:r>
      <w:r w:rsidRPr="005D3F76">
        <w:rPr>
          <w:rFonts w:cs="Times New Roman"/>
        </w:rPr>
        <w:t xml:space="preserve">, discourse on policy manuals, or employee handbooks, what they would later be called in most counties, was written about as </w:t>
      </w:r>
    </w:p>
    <w:p w14:paraId="7D0FE0D6" w14:textId="77777777" w:rsidR="00B03557" w:rsidRPr="005D3F76" w:rsidRDefault="00B03557" w:rsidP="001D5801">
      <w:pPr>
        <w:ind w:left="1440" w:hanging="720"/>
        <w:rPr>
          <w:rFonts w:cs="Times New Roman"/>
        </w:rPr>
      </w:pPr>
      <w:r w:rsidRPr="005D3F76">
        <w:rPr>
          <w:rFonts w:cs="Times New Roman"/>
        </w:rPr>
        <w:t xml:space="preserve">…replacing union contracts…giv[ing] </w:t>
      </w:r>
      <w:r w:rsidRPr="005D3F76">
        <w:rPr>
          <w:rFonts w:cs="Times New Roman"/>
          <w:u w:val="single"/>
        </w:rPr>
        <w:t>public administrators</w:t>
      </w:r>
      <w:r w:rsidRPr="005D3F76">
        <w:rPr>
          <w:rFonts w:cs="Times New Roman"/>
        </w:rPr>
        <w:t xml:space="preserve"> a </w:t>
      </w:r>
      <w:r w:rsidRPr="005D3F76">
        <w:rPr>
          <w:rFonts w:cs="Times New Roman"/>
          <w:u w:val="double"/>
        </w:rPr>
        <w:t>clear upper hand</w:t>
      </w:r>
      <w:r w:rsidRPr="005D3F76">
        <w:rPr>
          <w:rFonts w:cs="Times New Roman"/>
        </w:rPr>
        <w:t xml:space="preserve"> for the first time in 50 years under a state law that essentially ends union rights for most </w:t>
      </w:r>
      <w:r w:rsidRPr="005D3F76">
        <w:rPr>
          <w:rFonts w:cs="Times New Roman"/>
          <w:u w:val="dotted"/>
        </w:rPr>
        <w:t>public employees.</w:t>
      </w:r>
      <w:r w:rsidRPr="005D3F76">
        <w:rPr>
          <w:rFonts w:cs="Times New Roman"/>
        </w:rPr>
        <w:t xml:space="preserve">  </w:t>
      </w:r>
      <w:r w:rsidRPr="005D3F76">
        <w:rPr>
          <w:rFonts w:cs="Times New Roman"/>
        </w:rPr>
        <w:fldChar w:fldCharType="begin"/>
      </w:r>
      <w:r w:rsidRPr="005D3F76">
        <w:rPr>
          <w:rFonts w:cs="Times New Roman"/>
        </w:rPr>
        <w:instrText xml:space="preserve"> ADDIN EN.CITE &lt;EndNote&gt;&lt;Cite&gt;&lt;Author&gt;Verburg&lt;/Author&gt;&lt;Year&gt;2011&lt;/Year&gt;&lt;RecNum&gt;121&lt;/RecNum&gt;&lt;Pages&gt;1&lt;/Pages&gt;&lt;DisplayText&gt;(Verburg, 2011, p. 1)&lt;/DisplayText&gt;&lt;record&gt;&lt;rec-number&gt;121&lt;/rec-number&gt;&lt;foreign-keys&gt;&lt;key app="EN" db-id="etwareaz8xpxz3et59b50d9vxrata9z2w2zt" timestamp="1455579332"&gt;121&lt;/key&gt;&lt;/foreign-keys&gt;&lt;ref-type name="Newspaper Article"&gt;23&lt;/ref-type&gt;&lt;contributors&gt;&lt;authors&gt;&lt;author&gt;Steven Verburg&lt;/author&gt;&lt;/authors&gt;&lt;/contributors&gt;&lt;titles&gt;&lt;title&gt;New Work Rules Set in as Contracts Lapse: Administrators, Workers Are Adjusting to a Different Employment Landscape: Public Employee Unions Post-Collective Bargaining&lt;/title&gt;&lt;secondary-title&gt;Wisconsin State Journal&lt;/secondary-title&gt;&lt;/titles&gt;&lt;pages&gt;A1&lt;/pages&gt;&lt;section&gt;Front&lt;/section&gt;&lt;dates&gt;&lt;year&gt;2011&lt;/year&gt;&lt;pub-dates&gt;&lt;date&gt;December 25&lt;/date&gt;&lt;/pub-dates&gt;&lt;/dates&gt;&lt;pub-location&gt;Madison, Wisconsin&lt;/pub-location&gt;&lt;publisher&gt;Madison Newspapers&lt;/publisher&gt;&lt;urls&gt;&lt;/urls&gt;&lt;/record&gt;&lt;/Cite&gt;&lt;/EndNote&gt;</w:instrText>
      </w:r>
      <w:r w:rsidRPr="005D3F76">
        <w:rPr>
          <w:rFonts w:cs="Times New Roman"/>
        </w:rPr>
        <w:fldChar w:fldCharType="separate"/>
      </w:r>
      <w:r w:rsidRPr="005D3F76">
        <w:rPr>
          <w:rFonts w:cs="Times New Roman"/>
          <w:noProof/>
        </w:rPr>
        <w:t>(Verburg, 2011, p. 1)</w:t>
      </w:r>
      <w:r w:rsidRPr="005D3F76">
        <w:rPr>
          <w:rFonts w:cs="Times New Roman"/>
        </w:rPr>
        <w:fldChar w:fldCharType="end"/>
      </w:r>
    </w:p>
    <w:p w14:paraId="6531656E" w14:textId="77777777" w:rsidR="00B03557" w:rsidRPr="005D3F76" w:rsidRDefault="00B03557" w:rsidP="00103B6F">
      <w:pPr>
        <w:rPr>
          <w:rFonts w:cs="Times New Roman"/>
        </w:rPr>
      </w:pPr>
      <w:r w:rsidRPr="005D3F76">
        <w:rPr>
          <w:rFonts w:cs="Times New Roman"/>
        </w:rPr>
        <w:t xml:space="preserve">In this example, again we see that the us versus them mentality is taken in regards to the public administrators and the public employees. They are essentially pitting two entities that work together against one another. The writer’s couch this within metaphorical language as denoted by the double underlined section above, possibly making it easier for readers to understand and accept ACT 10 and the changes to unionization as an important and upturning event for public education in Wisconsin. </w:t>
      </w:r>
    </w:p>
    <w:p w14:paraId="330D182F" w14:textId="77777777" w:rsidR="00B03557" w:rsidRPr="005D3F76" w:rsidRDefault="00B03557" w:rsidP="00103B6F">
      <w:pPr>
        <w:ind w:firstLine="720"/>
        <w:rPr>
          <w:rFonts w:cs="Times New Roman"/>
        </w:rPr>
      </w:pPr>
      <w:r w:rsidRPr="005D3F76">
        <w:rPr>
          <w:rFonts w:cs="Times New Roman"/>
        </w:rPr>
        <w:t xml:space="preserve">The employee handbooks are essentially ‘rules of conduct,’ ‘job performance requirements,’ and the laws and policies that will hold the teachers accountable for student performance and testing outcomes. However, the discourse further in the article goes on to create </w:t>
      </w:r>
      <w:r w:rsidRPr="005D3F76">
        <w:rPr>
          <w:rFonts w:cs="Times New Roman"/>
        </w:rPr>
        <w:lastRenderedPageBreak/>
        <w:t>the picture that the unions are the ones causing the issues for the teachers within the states, affirming that now the school administrators and boards have a “free hand to reward” teachers for performance based on merit. Changing over to a system that, instead of using contracts and negotiations, uses the new handbooks will allow teachers who work the hardest to get rewarded for doing so.  The new system “no longer us[es] seniority” to keep or fill positions, which the newspaper claims will help teachers more than anything, giving them back their power within the classroom and education system (Verburg, 2011 p. 2). The article further claims that most teachers who are under these new employee handbooks are “pleasantly surprised” by how easy and good it feels to have such a tranquil transition to an easier way of teaching, and that those who are against these changes are part of the problem (p. 2). In turn, the key they claim to prosperity for education in Wisconsin comes down to ‘transparency’—another recall of a more neoliberal ideology as discussed in strand two. Considering the teachers themselves, the asserted claim is that unions protected rights have been essentially destroyed, making the institution of the unions become more ‘transparent’ with passage of the ACT 10 legislation.  The passage of ACT 10, in turn, has freed teachers to ‘compete’ and really show who they are in the classroom, thus giving them back their power and autonomy. In truth the opposite may very well be the case.  Teachers may have less power and autonomy in the end. However, the way in which the media presents the teachers within their articles, does not give the readers an opportunity to gauge that for themselves, but readily helps them to decide who should be held accountable and why these new implementations for teachers are going to ‘save’ the education system in Wisconsin and further, if passed in other states.</w:t>
      </w:r>
    </w:p>
    <w:p w14:paraId="18659A25" w14:textId="77777777" w:rsidR="00B03557" w:rsidRPr="005D3F76" w:rsidRDefault="00B03557" w:rsidP="00103B6F">
      <w:pPr>
        <w:rPr>
          <w:rFonts w:cs="Times New Roman"/>
        </w:rPr>
      </w:pPr>
      <w:r w:rsidRPr="005D3F76">
        <w:rPr>
          <w:rFonts w:cs="Times New Roman"/>
        </w:rPr>
        <w:tab/>
        <w:t xml:space="preserve">Another way that the argument above could be perceived and was written within the </w:t>
      </w:r>
      <w:r w:rsidRPr="005D3F76">
        <w:rPr>
          <w:rFonts w:cs="Times New Roman"/>
          <w:i/>
        </w:rPr>
        <w:t>WSJ</w:t>
      </w:r>
      <w:r w:rsidRPr="005D3F76">
        <w:rPr>
          <w:rFonts w:cs="Times New Roman"/>
        </w:rPr>
        <w:t xml:space="preserve">, is that the unions are protecting all of the ‘bad teachers’ within Wisconsin. This underlined </w:t>
      </w:r>
      <w:r w:rsidRPr="005D3F76">
        <w:rPr>
          <w:rFonts w:cs="Times New Roman"/>
        </w:rPr>
        <w:lastRenderedPageBreak/>
        <w:t xml:space="preserve">perception of ‘bad teachers,’ especially in the media, is not a new concept for researchers; however, it becomes problematic when a state level newspaper, such as the </w:t>
      </w:r>
      <w:r w:rsidRPr="005D3F76">
        <w:rPr>
          <w:rFonts w:cs="Times New Roman"/>
          <w:i/>
        </w:rPr>
        <w:t>WSJ</w:t>
      </w:r>
      <w:r w:rsidRPr="005D3F76">
        <w:rPr>
          <w:rFonts w:cs="Times New Roman"/>
        </w:rPr>
        <w:t xml:space="preserve">, promulgates the stereotypical tenured, ‘lazy’ teacher, and that they perceive the teachers shortcomings as causing the failure of the public schools not only in Wisconsin, but all throughout the U.S. </w:t>
      </w:r>
      <w:r w:rsidRPr="005D3F76">
        <w:rPr>
          <w:rFonts w:cs="Times New Roman"/>
        </w:rPr>
        <w:fldChar w:fldCharType="begin"/>
      </w:r>
      <w:r w:rsidRPr="005D3F76">
        <w:rPr>
          <w:rFonts w:cs="Times New Roman"/>
        </w:rPr>
        <w:instrText xml:space="preserve"> ADDIN EN.CITE &lt;EndNote&gt;&lt;Cite&gt;&lt;Author&gt;Kumashiro&lt;/Author&gt;&lt;Year&gt;2012&lt;/Year&gt;&lt;RecNum&gt;321&lt;/RecNum&gt;&lt;DisplayText&gt;(Kumashiro, 2012)&lt;/DisplayText&gt;&lt;record&gt;&lt;rec-number&gt;321&lt;/rec-number&gt;&lt;foreign-keys&gt;&lt;key app="EN" db-id="etwareaz8xpxz3et59b50d9vxrata9z2w2zt" timestamp="1466025699"&gt;321&lt;/key&gt;&lt;/foreign-keys&gt;&lt;ref-type name="Book"&gt;6&lt;/ref-type&gt;&lt;contributors&gt;&lt;authors&gt;&lt;author&gt;Kevin K. Kumashiro&lt;/author&gt;&lt;/authors&gt;&lt;/contributors&gt;&lt;titles&gt;&lt;title&gt;Bad Teacher! How Blaming Teachers Distorts the Bigger Picture&lt;/title&gt;&lt;/titles&gt;&lt;dates&gt;&lt;year&gt;2012&lt;/year&gt;&lt;/dates&gt;&lt;pub-location&gt;New York, New York&lt;/pub-location&gt;&lt;publisher&gt;Teachers College Press&lt;/publisher&gt;&lt;urls&gt;&lt;/urls&gt;&lt;/record&gt;&lt;/Cite&gt;&lt;/EndNote&gt;</w:instrText>
      </w:r>
      <w:r w:rsidRPr="005D3F76">
        <w:rPr>
          <w:rFonts w:cs="Times New Roman"/>
        </w:rPr>
        <w:fldChar w:fldCharType="separate"/>
      </w:r>
      <w:r w:rsidRPr="005D3F76">
        <w:rPr>
          <w:rFonts w:cs="Times New Roman"/>
          <w:noProof/>
        </w:rPr>
        <w:t>(Kumashiro, 2012)</w:t>
      </w:r>
      <w:r w:rsidRPr="005D3F76">
        <w:rPr>
          <w:rFonts w:cs="Times New Roman"/>
        </w:rPr>
        <w:fldChar w:fldCharType="end"/>
      </w:r>
      <w:r w:rsidRPr="005D3F76">
        <w:rPr>
          <w:rFonts w:cs="Times New Roman"/>
        </w:rPr>
        <w:t xml:space="preserve"> In an article by the </w:t>
      </w:r>
      <w:r w:rsidRPr="005D3F76">
        <w:rPr>
          <w:rFonts w:cs="Times New Roman"/>
          <w:i/>
        </w:rPr>
        <w:t>WSJ</w:t>
      </w:r>
      <w:r w:rsidRPr="005D3F76">
        <w:rPr>
          <w:rFonts w:cs="Times New Roman"/>
        </w:rPr>
        <w:t xml:space="preserve">, </w:t>
      </w:r>
      <w:r w:rsidRPr="005D3F76">
        <w:rPr>
          <w:rFonts w:cs="Times New Roman"/>
          <w:i/>
        </w:rPr>
        <w:t>Best Teachers Shouldn’t Even Need Protections</w:t>
      </w:r>
      <w:r w:rsidRPr="005D3F76">
        <w:rPr>
          <w:rFonts w:cs="Times New Roman"/>
        </w:rPr>
        <w:t xml:space="preserve">, which the title alone implies that the author, Chris Rickert, has a bias that is unfavorable to teachers to begin with, writes that </w:t>
      </w:r>
    </w:p>
    <w:p w14:paraId="0CD73378" w14:textId="6B7D9DF3" w:rsidR="00B03557" w:rsidRPr="005D3F76" w:rsidRDefault="00B03557" w:rsidP="001D5801">
      <w:pPr>
        <w:ind w:left="1440" w:hanging="720"/>
        <w:rPr>
          <w:rFonts w:cs="Times New Roman"/>
        </w:rPr>
      </w:pPr>
      <w:r w:rsidRPr="005D3F76">
        <w:rPr>
          <w:rFonts w:cs="Times New Roman"/>
        </w:rPr>
        <w:t xml:space="preserve">…one would think good teachers </w:t>
      </w:r>
      <w:r w:rsidRPr="005D3F76">
        <w:rPr>
          <w:rFonts w:cs="Times New Roman"/>
          <w:u w:val="single"/>
        </w:rPr>
        <w:t>should</w:t>
      </w:r>
      <w:r w:rsidRPr="005D3F76">
        <w:rPr>
          <w:rFonts w:cs="Times New Roman"/>
        </w:rPr>
        <w:t xml:space="preserve"> have secure employment, dibs on choice positions and regular raises by virtue of being, </w:t>
      </w:r>
      <w:r w:rsidRPr="005D3F76">
        <w:rPr>
          <w:rFonts w:cs="Times New Roman"/>
          <w:u w:val="dash"/>
        </w:rPr>
        <w:t>well</w:t>
      </w:r>
      <w:r w:rsidRPr="005D3F76">
        <w:rPr>
          <w:rFonts w:cs="Times New Roman"/>
        </w:rPr>
        <w:t xml:space="preserve">, good teachers. </w:t>
      </w:r>
      <w:r w:rsidRPr="005D3F76">
        <w:rPr>
          <w:rFonts w:cs="Times New Roman"/>
        </w:rPr>
        <w:fldChar w:fldCharType="begin"/>
      </w:r>
      <w:r w:rsidRPr="005D3F76">
        <w:rPr>
          <w:rFonts w:cs="Times New Roman"/>
        </w:rPr>
        <w:instrText xml:space="preserve"> ADDIN EN.CITE &lt;EndNote&gt;&lt;Cite&gt;&lt;Author&gt;Rickert&lt;/Author&gt;&lt;Year&gt;2013&lt;/Year&gt;&lt;RecNum&gt;114&lt;/RecNum&gt;&lt;Pages&gt;3&lt;/Pages&gt;&lt;DisplayText&gt;(Rickert, 2013a, p. 3)&lt;/DisplayText&gt;&lt;record&gt;&lt;rec-number&gt;114&lt;/rec-number&gt;&lt;foreign-keys&gt;&lt;key app="EN" db-id="etwareaz8xpxz3et59b50d9vxrata9z2w2zt" timestamp="1455578658"&gt;114&lt;/key&gt;&lt;/foreign-keys&gt;&lt;ref-type name="Newspaper Article"&gt;23&lt;/ref-type&gt;&lt;contributors&gt;&lt;authors&gt;&lt;author&gt;Chris Rickert&lt;/author&gt;&lt;/authors&gt;&lt;/contributors&gt;&lt;titles&gt;&lt;title&gt;Best Teachers Shouldn&amp;apos;t Even Need Protections&lt;/title&gt;&lt;secondary-title&gt;Wisconsin State Journal&lt;/secondary-title&gt;&lt;/titles&gt;&lt;pages&gt;C1&lt;/pages&gt;&lt;section&gt;Local&lt;/section&gt;&lt;dates&gt;&lt;year&gt;2013&lt;/year&gt;&lt;pub-dates&gt;&lt;date&gt;Feburary 24&lt;/date&gt;&lt;/pub-dates&gt;&lt;/dates&gt;&lt;pub-location&gt;Madison, Wisconsin&lt;/pub-location&gt;&lt;publisher&gt;Madison Newspapers&lt;/publisher&gt;&lt;urls&gt;&lt;/urls&gt;&lt;/record&gt;&lt;/Cite&gt;&lt;/EndNote&gt;</w:instrText>
      </w:r>
      <w:r w:rsidRPr="005D3F76">
        <w:rPr>
          <w:rFonts w:cs="Times New Roman"/>
        </w:rPr>
        <w:fldChar w:fldCharType="separate"/>
      </w:r>
      <w:r w:rsidRPr="005D3F76">
        <w:rPr>
          <w:rFonts w:cs="Times New Roman"/>
          <w:noProof/>
        </w:rPr>
        <w:t>(Rickert, 2013a, p. 3)</w:t>
      </w:r>
      <w:r w:rsidRPr="005D3F76">
        <w:rPr>
          <w:rFonts w:cs="Times New Roman"/>
        </w:rPr>
        <w:fldChar w:fldCharType="end"/>
      </w:r>
    </w:p>
    <w:p w14:paraId="36DE34A6" w14:textId="77777777" w:rsidR="00B03557" w:rsidRPr="005D3F76" w:rsidRDefault="00B03557" w:rsidP="00103B6F">
      <w:pPr>
        <w:rPr>
          <w:rFonts w:cs="Times New Roman"/>
        </w:rPr>
      </w:pPr>
      <w:r w:rsidRPr="005D3F76">
        <w:rPr>
          <w:rFonts w:cs="Times New Roman"/>
        </w:rPr>
        <w:t xml:space="preserve">This asserts the fact through the use of a modality (should) that teachers who have rights of seniority and tenure are more likely to be of poor quality. These claims made within the </w:t>
      </w:r>
      <w:r w:rsidRPr="005D3F76">
        <w:rPr>
          <w:rFonts w:cs="Times New Roman"/>
          <w:i/>
        </w:rPr>
        <w:t>WSJ</w:t>
      </w:r>
      <w:r w:rsidRPr="005D3F76">
        <w:rPr>
          <w:rFonts w:cs="Times New Roman"/>
        </w:rPr>
        <w:t xml:space="preserve"> about the preponderance of ‘bad teachers’ are what CDA research would contend as evidentiary, meaning that they are assumptions on the part of the author of the discourse. This can also be evidenced by Rickert’s choice of the word ‘well,’ by using it as an interjection. In fact, teachers with tenure and seniority rights, according to research, tend to have stronger performance and abilities, be less intimidated, and more knowledgeable than do non-tenured teachers </w:t>
      </w:r>
      <w:r w:rsidRPr="005D3F76">
        <w:rPr>
          <w:rFonts w:cs="Times New Roman"/>
        </w:rPr>
        <w:fldChar w:fldCharType="begin"/>
      </w:r>
      <w:r w:rsidRPr="005D3F76">
        <w:rPr>
          <w:rFonts w:cs="Times New Roman"/>
        </w:rPr>
        <w:instrText xml:space="preserve"> ADDIN EN.CITE &lt;EndNote&gt;&lt;Cite&gt;&lt;Author&gt;Furman&lt;/Author&gt;&lt;Year&gt;2008&lt;/Year&gt;&lt;RecNum&gt;323&lt;/RecNum&gt;&lt;DisplayText&gt;(Furman &amp;amp; Bordoff, 2008)&lt;/DisplayText&gt;&lt;record&gt;&lt;rec-number&gt;323&lt;/rec-number&gt;&lt;foreign-keys&gt;&lt;key app="EN" db-id="etwareaz8xpxz3et59b50d9vxrata9z2w2zt" timestamp="1466036087"&gt;323&lt;/key&gt;&lt;/foreign-keys&gt;&lt;ref-type name="Edited Book"&gt;28&lt;/ref-type&gt;&lt;contributors&gt;&lt;authors&gt;&lt;author&gt;Jason Furman&lt;/author&gt;&lt;author&gt;Jason Bordoff&lt;/author&gt;&lt;/authors&gt;&lt;/contributors&gt;&lt;titles&gt;&lt;title&gt;Path to Prosperity: Hamilton Project Ideas on Income Security, Education, and Taxes&lt;/title&gt;&lt;/titles&gt;&lt;dates&gt;&lt;year&gt;2008&lt;/year&gt;&lt;/dates&gt;&lt;pub-location&gt;Washington D.C.&lt;/pub-location&gt;&lt;publisher&gt;Brookings Institution Press&lt;/publisher&gt;&lt;urls&gt;&lt;/urls&gt;&lt;/record&gt;&lt;/Cite&gt;&lt;/EndNote&gt;</w:instrText>
      </w:r>
      <w:r w:rsidRPr="005D3F76">
        <w:rPr>
          <w:rFonts w:cs="Times New Roman"/>
        </w:rPr>
        <w:fldChar w:fldCharType="separate"/>
      </w:r>
      <w:r w:rsidRPr="005D3F76">
        <w:rPr>
          <w:rFonts w:cs="Times New Roman"/>
          <w:noProof/>
        </w:rPr>
        <w:t>(Furman &amp; Bordoff, 2008)</w:t>
      </w:r>
      <w:r w:rsidRPr="005D3F76">
        <w:rPr>
          <w:rFonts w:cs="Times New Roman"/>
        </w:rPr>
        <w:fldChar w:fldCharType="end"/>
      </w:r>
      <w:r w:rsidRPr="005D3F76">
        <w:rPr>
          <w:rFonts w:cs="Times New Roman"/>
        </w:rPr>
        <w:t xml:space="preserve">. Nonetheless, the theme of ‘bad teachers’ in this sense, was a very prominent vein within the </w:t>
      </w:r>
      <w:r w:rsidRPr="005D3F76">
        <w:rPr>
          <w:rFonts w:cs="Times New Roman"/>
          <w:i/>
        </w:rPr>
        <w:t>WSJ</w:t>
      </w:r>
      <w:r w:rsidRPr="005D3F76">
        <w:rPr>
          <w:rFonts w:cs="Times New Roman"/>
        </w:rPr>
        <w:t xml:space="preserve">’s articles.  </w:t>
      </w:r>
    </w:p>
    <w:p w14:paraId="059684AC" w14:textId="77777777" w:rsidR="00B03557" w:rsidRPr="005D3F76" w:rsidRDefault="00B03557" w:rsidP="00103B6F">
      <w:pPr>
        <w:rPr>
          <w:rFonts w:cs="Times New Roman"/>
        </w:rPr>
      </w:pPr>
      <w:r w:rsidRPr="005D3F76">
        <w:rPr>
          <w:rFonts w:cs="Times New Roman"/>
        </w:rPr>
        <w:tab/>
        <w:t xml:space="preserve">The </w:t>
      </w:r>
      <w:r w:rsidRPr="005D3F76">
        <w:rPr>
          <w:rFonts w:cs="Times New Roman"/>
          <w:i/>
        </w:rPr>
        <w:t xml:space="preserve">Cap Times </w:t>
      </w:r>
      <w:r w:rsidRPr="005D3F76">
        <w:rPr>
          <w:rFonts w:cs="Times New Roman"/>
        </w:rPr>
        <w:t>and</w:t>
      </w:r>
      <w:r w:rsidRPr="005D3F76">
        <w:rPr>
          <w:rFonts w:cs="Times New Roman"/>
          <w:i/>
        </w:rPr>
        <w:t xml:space="preserve"> Times</w:t>
      </w:r>
      <w:r w:rsidRPr="005D3F76">
        <w:rPr>
          <w:rFonts w:cs="Times New Roman"/>
        </w:rPr>
        <w:t xml:space="preserve"> on the other hand, were more evenly handed with teachers within their discourse in regards to how they treated the abilities of teachers. In this way, these two papers contradicted themselves when dealing with the teachers, versus how they treated the unions on the whole, within the discourse. This seems understandable, especially of the local </w:t>
      </w:r>
      <w:r w:rsidRPr="005D3F76">
        <w:rPr>
          <w:rFonts w:cs="Times New Roman"/>
        </w:rPr>
        <w:lastRenderedPageBreak/>
        <w:t xml:space="preserve">newspaper, the </w:t>
      </w:r>
      <w:r w:rsidRPr="005D3F76">
        <w:rPr>
          <w:rFonts w:cs="Times New Roman"/>
          <w:i/>
        </w:rPr>
        <w:t>Cap Times</w:t>
      </w:r>
      <w:r w:rsidRPr="005D3F76">
        <w:rPr>
          <w:rFonts w:cs="Times New Roman"/>
        </w:rPr>
        <w:t xml:space="preserve">, due to research showing that often times, even when issues are viewed negatively within a state or national debate, the local level will show a variation of ideas and opinions, often times resulting in more favorable outlooks than their bigger counterparts in regards to street level bureaucracy </w:t>
      </w:r>
      <w:r w:rsidRPr="005D3F76">
        <w:rPr>
          <w:rFonts w:cs="Times New Roman"/>
        </w:rPr>
        <w:fldChar w:fldCharType="begin"/>
      </w:r>
      <w:r w:rsidRPr="005D3F76">
        <w:rPr>
          <w:rFonts w:cs="Times New Roman"/>
        </w:rPr>
        <w:instrText xml:space="preserve"> ADDIN EN.CITE &lt;EndNote&gt;&lt;Cite&gt;&lt;Author&gt;Bohte&lt;/Author&gt;&lt;Year&gt;2002&lt;/Year&gt;&lt;RecNum&gt;322&lt;/RecNum&gt;&lt;DisplayText&gt;(Bohte, 2002)&lt;/DisplayText&gt;&lt;record&gt;&lt;rec-number&gt;322&lt;/rec-number&gt;&lt;foreign-keys&gt;&lt;key app="EN" db-id="etwareaz8xpxz3et59b50d9vxrata9z2w2zt" timestamp="1466026346"&gt;322&lt;/key&gt;&lt;/foreign-keys&gt;&lt;ref-type name="Journal Article"&gt;17&lt;/ref-type&gt;&lt;contributors&gt;&lt;authors&gt;&lt;author&gt;John Bohte&lt;/author&gt;&lt;/authors&gt;&lt;/contributors&gt;&lt;titles&gt;&lt;title&gt;School Bureaucracy and Student Performance at the Local Level&lt;/title&gt;&lt;secondary-title&gt;Public Administration Review&lt;/secondary-title&gt;&lt;/titles&gt;&lt;periodical&gt;&lt;full-title&gt;Public Administration Review&lt;/full-title&gt;&lt;/periodical&gt;&lt;pages&gt;92-99&lt;/pages&gt;&lt;volume&gt;61&lt;/volume&gt;&lt;number&gt;1&lt;/number&gt;&lt;dates&gt;&lt;year&gt;2002&lt;/year&gt;&lt;/dates&gt;&lt;urls&gt;&lt;/urls&gt;&lt;/record&gt;&lt;/Cite&gt;&lt;/EndNote&gt;</w:instrText>
      </w:r>
      <w:r w:rsidRPr="005D3F76">
        <w:rPr>
          <w:rFonts w:cs="Times New Roman"/>
        </w:rPr>
        <w:fldChar w:fldCharType="separate"/>
      </w:r>
      <w:r w:rsidRPr="005D3F76">
        <w:rPr>
          <w:rFonts w:cs="Times New Roman"/>
          <w:noProof/>
        </w:rPr>
        <w:t>(Bohte, 2002)</w:t>
      </w:r>
      <w:r w:rsidRPr="005D3F76">
        <w:rPr>
          <w:rFonts w:cs="Times New Roman"/>
        </w:rPr>
        <w:fldChar w:fldCharType="end"/>
      </w:r>
      <w:r w:rsidRPr="005D3F76">
        <w:rPr>
          <w:rFonts w:cs="Times New Roman"/>
        </w:rPr>
        <w:t xml:space="preserve">. In many instances, these two papers had discourse that denoted a partiality, showing that the teachers were in fact trying to make not only their jobs better, but the outcomes for their students better too. For example, in the </w:t>
      </w:r>
      <w:r w:rsidRPr="005D3F76">
        <w:rPr>
          <w:rFonts w:cs="Times New Roman"/>
          <w:i/>
        </w:rPr>
        <w:t>Cap Times</w:t>
      </w:r>
      <w:r w:rsidRPr="005D3F76">
        <w:rPr>
          <w:rFonts w:cs="Times New Roman"/>
        </w:rPr>
        <w:t xml:space="preserve"> the following was written:</w:t>
      </w:r>
    </w:p>
    <w:p w14:paraId="7A6C6F15" w14:textId="6AC21CE0" w:rsidR="00B03557" w:rsidRPr="005D3F76" w:rsidRDefault="00B03557" w:rsidP="001D5801">
      <w:pPr>
        <w:ind w:left="1440" w:hanging="720"/>
        <w:rPr>
          <w:rFonts w:cs="Times New Roman"/>
        </w:rPr>
      </w:pPr>
      <w:r w:rsidRPr="005D3F76">
        <w:rPr>
          <w:rFonts w:cs="Times New Roman"/>
        </w:rPr>
        <w:t xml:space="preserve">While most work under “handbook” rules instead of a contract, </w:t>
      </w:r>
      <w:r w:rsidRPr="005D3F76">
        <w:rPr>
          <w:rFonts w:cs="Times New Roman"/>
          <w:u w:val="single"/>
        </w:rPr>
        <w:t>teachers</w:t>
      </w:r>
      <w:r w:rsidRPr="005D3F76">
        <w:rPr>
          <w:rFonts w:cs="Times New Roman"/>
        </w:rPr>
        <w:t xml:space="preserve"> who have stayed with </w:t>
      </w:r>
      <w:r w:rsidRPr="005D3F76">
        <w:rPr>
          <w:rFonts w:cs="Times New Roman"/>
          <w:u w:val="double"/>
        </w:rPr>
        <w:t>their unions</w:t>
      </w:r>
      <w:r w:rsidRPr="005D3F76">
        <w:rPr>
          <w:rFonts w:cs="Times New Roman"/>
        </w:rPr>
        <w:t xml:space="preserve"> have been active in </w:t>
      </w:r>
      <w:r w:rsidRPr="005D3F76">
        <w:rPr>
          <w:rFonts w:cs="Times New Roman"/>
          <w:u w:val="thick"/>
        </w:rPr>
        <w:t>supporting “pro-education</w:t>
      </w:r>
      <w:r w:rsidRPr="005D3F76">
        <w:rPr>
          <w:rFonts w:cs="Times New Roman"/>
        </w:rPr>
        <w:t xml:space="preserve">” school board candidates, lobbying against further </w:t>
      </w:r>
      <w:r w:rsidRPr="005D3F76">
        <w:rPr>
          <w:rFonts w:cs="Times New Roman"/>
          <w:u w:val="dotted"/>
        </w:rPr>
        <w:t xml:space="preserve">attacks on public schools </w:t>
      </w:r>
      <w:r w:rsidRPr="005D3F76">
        <w:rPr>
          <w:rFonts w:cs="Times New Roman"/>
        </w:rPr>
        <w:t xml:space="preserve">like expanded voucher programs, and advocating for better pay for starting teachers so that quality young people are still attracted to the profession. </w:t>
      </w:r>
      <w:r w:rsidRPr="005D3F76">
        <w:rPr>
          <w:rFonts w:cs="Times New Roman"/>
        </w:rPr>
        <w:fldChar w:fldCharType="begin"/>
      </w:r>
      <w:r w:rsidRPr="005D3F76">
        <w:rPr>
          <w:rFonts w:cs="Times New Roman"/>
        </w:rPr>
        <w:instrText xml:space="preserve"> ADDIN EN.CITE &lt;EndNote&gt;&lt;Cite&gt;&lt;Author&gt;Zweifel&lt;/Author&gt;&lt;Year&gt;2015&lt;/Year&gt;&lt;RecNum&gt;131&lt;/RecNum&gt;&lt;DisplayText&gt;(D. Zweifel, 2015)&lt;/DisplayText&gt;&lt;record&gt;&lt;rec-number&gt;131&lt;/rec-number&gt;&lt;foreign-keys&gt;&lt;key app="EN" db-id="etwareaz8xpxz3et59b50d9vxrata9z2w2zt" timestamp="1455740479"&gt;131&lt;/key&gt;&lt;/foreign-keys&gt;&lt;ref-type name="Newspaper Article"&gt;23&lt;/ref-type&gt;&lt;contributors&gt;&lt;authors&gt;&lt;author&gt;Dave Zweifel&lt;/author&gt;&lt;/authors&gt;&lt;/contributors&gt;&lt;titles&gt;&lt;title&gt;Rumors of Teachers Unions&amp;apos; Death Greatly Exaggerated: Plain Talk&lt;/title&gt;&lt;secondary-title&gt;The Capital Times&lt;/secondary-title&gt;&lt;/titles&gt;&lt;pages&gt;4D&lt;/pages&gt;&lt;section&gt;Plain Talk&lt;/section&gt;&lt;dates&gt;&lt;year&gt;2015&lt;/year&gt;&lt;pub-dates&gt;&lt;date&gt;July 1&lt;/date&gt;&lt;/pub-dates&gt;&lt;/dates&gt;&lt;pub-location&gt;Madison, Wisconsin&lt;/pub-location&gt;&lt;publisher&gt;Madison Newspapers&lt;/publisher&gt;&lt;urls&gt;&lt;/urls&gt;&lt;/record&gt;&lt;/Cite&gt;&lt;/EndNote&gt;</w:instrText>
      </w:r>
      <w:r w:rsidRPr="005D3F76">
        <w:rPr>
          <w:rFonts w:cs="Times New Roman"/>
        </w:rPr>
        <w:fldChar w:fldCharType="separate"/>
      </w:r>
      <w:r w:rsidRPr="005D3F76">
        <w:rPr>
          <w:rFonts w:cs="Times New Roman"/>
          <w:noProof/>
        </w:rPr>
        <w:t>(D. Zweifel, 2015)</w:t>
      </w:r>
      <w:r w:rsidRPr="005D3F76">
        <w:rPr>
          <w:rFonts w:cs="Times New Roman"/>
        </w:rPr>
        <w:fldChar w:fldCharType="end"/>
      </w:r>
      <w:r w:rsidRPr="005D3F76">
        <w:rPr>
          <w:rFonts w:cs="Times New Roman"/>
        </w:rPr>
        <w:t xml:space="preserve"> </w:t>
      </w:r>
    </w:p>
    <w:p w14:paraId="2CEE661A" w14:textId="77777777" w:rsidR="00B03557" w:rsidRPr="005D3F76" w:rsidRDefault="00B03557" w:rsidP="00103B6F">
      <w:pPr>
        <w:rPr>
          <w:rFonts w:cs="Times New Roman"/>
        </w:rPr>
      </w:pPr>
      <w:r w:rsidRPr="005D3F76">
        <w:rPr>
          <w:rFonts w:cs="Times New Roman"/>
        </w:rPr>
        <w:t xml:space="preserve">This example above is complex. As can be seen, the unions are still discussed, but it is the teachers that are part of the union that really shine within this passage. The teachers as part of the union, which is represented by the bolded underlined, are essentially advocating for concepts that they see as ‘pro-education,’ and deeming the entities they find are harmful—voucher programs, low pay, etc. The use of battle language can be found once again, as though they are fighting for their very lives. However, this very well may be the case, and accurately reflects the way many teachers felt after the passage of ACT 10 in Wisconsin. </w:t>
      </w:r>
    </w:p>
    <w:p w14:paraId="50CFB575" w14:textId="77777777" w:rsidR="00B03557" w:rsidRPr="005D3F76" w:rsidRDefault="00B03557" w:rsidP="00103B6F">
      <w:pPr>
        <w:ind w:firstLine="720"/>
        <w:rPr>
          <w:rFonts w:cs="Times New Roman"/>
        </w:rPr>
      </w:pPr>
      <w:r w:rsidRPr="005D3F76">
        <w:rPr>
          <w:rFonts w:cs="Times New Roman"/>
        </w:rPr>
        <w:t xml:space="preserve">The example above is fairly typical of the discourse that can be found within the </w:t>
      </w:r>
      <w:r w:rsidRPr="005D3F76">
        <w:rPr>
          <w:rFonts w:cs="Times New Roman"/>
          <w:i/>
        </w:rPr>
        <w:t>Cap Times</w:t>
      </w:r>
      <w:r w:rsidRPr="005D3F76">
        <w:rPr>
          <w:rFonts w:cs="Times New Roman"/>
        </w:rPr>
        <w:t xml:space="preserve"> and </w:t>
      </w:r>
      <w:r w:rsidRPr="005D3F76">
        <w:rPr>
          <w:rFonts w:cs="Times New Roman"/>
          <w:i/>
        </w:rPr>
        <w:t>Times</w:t>
      </w:r>
      <w:r w:rsidRPr="005D3F76">
        <w:rPr>
          <w:rFonts w:cs="Times New Roman"/>
        </w:rPr>
        <w:t xml:space="preserve"> in regards to the attitudes concerning teachers. These two newspapers do not necessarily focus on the quality of the teacher within the classroom, but focus more on the overall education system of which they are an intricate part. Again, I underlined the words ‘pro-</w:t>
      </w:r>
      <w:r w:rsidRPr="005D3F76">
        <w:rPr>
          <w:rFonts w:cs="Times New Roman"/>
        </w:rPr>
        <w:lastRenderedPageBreak/>
        <w:t xml:space="preserve">education’ in above example because this phrase denotes several concepts. One, it harkens to the ideas that the teachers are the ones on the side of improving education, even if the government and the unions as a whole, are seen as generally not. And second, it reiterates the point that the ideas that are being put on teachers are part of the neoliberal ideology that goes against many of the ideas concerning the ‘good of the public.’ </w:t>
      </w:r>
      <w:r w:rsidRPr="005D3F76">
        <w:rPr>
          <w:rFonts w:cs="Times New Roman"/>
        </w:rPr>
        <w:tab/>
        <w:t xml:space="preserve"> </w:t>
      </w:r>
    </w:p>
    <w:p w14:paraId="4B712451" w14:textId="77777777" w:rsidR="00B03557" w:rsidRPr="005D3F76" w:rsidRDefault="00B03557" w:rsidP="00103B6F">
      <w:pPr>
        <w:ind w:firstLine="720"/>
        <w:rPr>
          <w:rFonts w:cs="Times New Roman"/>
        </w:rPr>
      </w:pPr>
      <w:r w:rsidRPr="005D3F76">
        <w:rPr>
          <w:rFonts w:cs="Times New Roman"/>
        </w:rPr>
        <w:t>As time went on within the period from 2011-2015, the discourse itself became less about the teachers and their inadequacies, but still kept the sense that teachers were somehow to blame as agents of the teacher unions and the education system. The ACT 10 legislation codifies the crisis message that reverberates throughout discourses about the educational systems within the U.S., namely that they are lacking or falling behind the rest of the world in some form or fashion. This message places the emphasis of educational reform upon the teachers by claiming that a lack of supervision has allowed the teachers to engage in practices that are detrimental to the education of their students. This failure of oversight has led to U.S. children not being adequately prepared for the competitive world workforce. The media is clearly blaming the teachers, as part of their unions for the issues that have led to the implementation of ACT 10; whether they are victims or villains, it is their fault in one fashion or another. The media is perpetuating the stereotypical ‘lazy, no good teacher,’ in essence, taking their power away one word at a time. This strand exemplifies the need for extreme care when dealing with the complexities of teacher unions issues.</w:t>
      </w:r>
    </w:p>
    <w:p w14:paraId="4E8B16F5" w14:textId="77777777" w:rsidR="00B03557" w:rsidRPr="005D3F76" w:rsidRDefault="00B03557" w:rsidP="00103B6F">
      <w:pPr>
        <w:pStyle w:val="Heading2"/>
        <w:rPr>
          <w:rFonts w:cs="Times New Roman"/>
        </w:rPr>
      </w:pPr>
      <w:bookmarkStart w:id="23" w:name="_Toc462843643"/>
      <w:r w:rsidRPr="005D3F76">
        <w:rPr>
          <w:rFonts w:cs="Times New Roman"/>
        </w:rPr>
        <w:t>One Final Note</w:t>
      </w:r>
      <w:bookmarkEnd w:id="23"/>
    </w:p>
    <w:p w14:paraId="48FCA58C" w14:textId="5EE8CB77" w:rsidR="00B03557" w:rsidRPr="005D3F76" w:rsidRDefault="00B03557" w:rsidP="00103B6F">
      <w:pPr>
        <w:rPr>
          <w:rFonts w:cs="Times New Roman"/>
        </w:rPr>
      </w:pPr>
      <w:r w:rsidRPr="005D3F76">
        <w:rPr>
          <w:rFonts w:cs="Times New Roman"/>
        </w:rPr>
        <w:tab/>
        <w:t xml:space="preserve">Policy, and in this case educational policy like the ACT 10 legislation put into law in the state of Wisconsin, engages society across all social contexts, including teachers, the unions, taxpayers, voters, students, parents, and those who consume the media </w:t>
      </w:r>
      <w:r w:rsidRPr="005D3F76">
        <w:rPr>
          <w:rFonts w:cs="Times New Roman"/>
        </w:rPr>
        <w:fldChar w:fldCharType="begin"/>
      </w:r>
      <w:r w:rsidRPr="005D3F76">
        <w:rPr>
          <w:rFonts w:cs="Times New Roman"/>
        </w:rPr>
        <w:instrText xml:space="preserve"> ADDIN EN.CITE &lt;EndNote&gt;&lt;Cite&gt;&lt;Author&gt;Cohen&lt;/Author&gt;&lt;Year&gt;2010&lt;/Year&gt;&lt;RecNum&gt;324&lt;/RecNum&gt;&lt;DisplayText&gt;(Cohen, 2010)&lt;/DisplayText&gt;&lt;record&gt;&lt;rec-number&gt;324&lt;/rec-number&gt;&lt;foreign-keys&gt;&lt;key app="EN" db-id="etwareaz8xpxz3et59b50d9vxrata9z2w2zt" timestamp="1466105478"&gt;324&lt;/key&gt;&lt;/foreign-keys&gt;&lt;ref-type name="Journal Article"&gt;17&lt;/ref-type&gt;&lt;contributors&gt;&lt;authors&gt;&lt;author&gt;Jennifer L Cohen&lt;/author&gt;&lt;/authors&gt;&lt;/contributors&gt;&lt;titles&gt;&lt;title&gt;Teachers in the News: A Criticcal Analysis of one US Newspapers Discourse on Education, 2006-2007&lt;/title&gt;&lt;secondary-title&gt;Discourse Studies in the Cultural Politics of Education&lt;/secondary-title&gt;&lt;/titles&gt;&lt;periodical&gt;&lt;full-title&gt;Discourse Studies in the Cultural Politics of Education&lt;/full-title&gt;&lt;/periodical&gt;&lt;pages&gt;105-119&lt;/pages&gt;&lt;volume&gt;31&lt;/volume&gt;&lt;number&gt;1&lt;/number&gt;&lt;dates&gt;&lt;year&gt;2010&lt;/year&gt;&lt;/dates&gt;&lt;urls&gt;&lt;/urls&gt;&lt;/record&gt;&lt;/Cite&gt;&lt;/EndNote&gt;</w:instrText>
      </w:r>
      <w:r w:rsidRPr="005D3F76">
        <w:rPr>
          <w:rFonts w:cs="Times New Roman"/>
        </w:rPr>
        <w:fldChar w:fldCharType="separate"/>
      </w:r>
      <w:r w:rsidRPr="005D3F76">
        <w:rPr>
          <w:rFonts w:cs="Times New Roman"/>
          <w:noProof/>
        </w:rPr>
        <w:t>(Cohen, 2010)</w:t>
      </w:r>
      <w:r w:rsidRPr="005D3F76">
        <w:rPr>
          <w:rFonts w:cs="Times New Roman"/>
        </w:rPr>
        <w:fldChar w:fldCharType="end"/>
      </w:r>
      <w:r w:rsidRPr="005D3F76">
        <w:rPr>
          <w:rFonts w:cs="Times New Roman"/>
        </w:rPr>
        <w:t xml:space="preserve">. However, </w:t>
      </w:r>
      <w:r w:rsidRPr="005D3F76">
        <w:rPr>
          <w:rFonts w:cs="Times New Roman"/>
        </w:rPr>
        <w:lastRenderedPageBreak/>
        <w:t>what was significantly missing in the above three strands of research concerning the teacher unions within Wisconsin was the voice of the parents and students. Their voices were largely neglected or dismissed within the discourses provided in the newspapers. Generally speaking, their presence was not really considered a part of the discussion concerning public sector unions or the legislation that was introduced and eventually passed.</w:t>
      </w:r>
    </w:p>
    <w:p w14:paraId="1F67BEF5" w14:textId="77777777" w:rsidR="00B03557" w:rsidRPr="005D3F76" w:rsidRDefault="00B03557" w:rsidP="00103B6F">
      <w:pPr>
        <w:rPr>
          <w:rFonts w:cs="Times New Roman"/>
        </w:rPr>
      </w:pPr>
      <w:r w:rsidRPr="005D3F76">
        <w:rPr>
          <w:rFonts w:cs="Times New Roman"/>
        </w:rPr>
        <w:tab/>
        <w:t>In all three newspapers, if parents were mentioned it was only in passing as a type of ‘reformer’ of the education system. They didn’t necessarily admit that the parents were overwhelming for or against the unions, nor did they peruse whether or not they thought the teachers in Wisconsin needed to be watched more closely and held more accountable for their actions within the classroom. Parents were mentioned most often in one of two ways. One, they were used as ‘fillers’ of seats, metaphorically, within the protests and sit-in’s in the capital of Madison in 2011. They essentially lent ‘community support.’ And two, they would be mentioned as part of surveys, that coincidentally never had them in favor of the public sector/teacher unions, nor did they contain what survey had been performed or any other factual information about the surveys within the articles. For instance, the following can be found in regards to one of only a few areas of discourse concerning parents within the articles:</w:t>
      </w:r>
    </w:p>
    <w:p w14:paraId="6A158156" w14:textId="2DAD815A" w:rsidR="00B03557" w:rsidRPr="005D3F76" w:rsidRDefault="00B03557" w:rsidP="001D5801">
      <w:pPr>
        <w:ind w:left="1440" w:hanging="720"/>
        <w:rPr>
          <w:rFonts w:cs="Times New Roman"/>
        </w:rPr>
      </w:pPr>
      <w:r w:rsidRPr="005D3F76">
        <w:rPr>
          <w:rFonts w:cs="Times New Roman"/>
        </w:rPr>
        <w:t xml:space="preserve">Parents are divided in their view of teacher unions. 41 percent say the unions put teachers’ interests above those of students and 37 percent say they fight for the greater good of public education according to a new poll reported by Politico. </w:t>
      </w:r>
      <w:r w:rsidRPr="005D3F76">
        <w:rPr>
          <w:rFonts w:cs="Times New Roman"/>
        </w:rPr>
        <w:fldChar w:fldCharType="begin"/>
      </w:r>
      <w:r w:rsidRPr="005D3F76">
        <w:rPr>
          <w:rFonts w:cs="Times New Roman"/>
        </w:rPr>
        <w:instrText xml:space="preserve"> ADDIN EN.CITE &lt;EndNote&gt;&lt;Cite&gt;&lt;Author&gt;Schneider&lt;/Author&gt;&lt;Year&gt;2014&lt;/Year&gt;&lt;RecNum&gt;136&lt;/RecNum&gt;&lt;DisplayText&gt;(P. Schneider, 2014)&lt;/DisplayText&gt;&lt;record&gt;&lt;rec-number&gt;136&lt;/rec-number&gt;&lt;foreign-keys&gt;&lt;key app="EN" db-id="etwareaz8xpxz3et59b50d9vxrata9z2w2zt" timestamp="1455741031"&gt;136&lt;/key&gt;&lt;/foreign-keys&gt;&lt;ref-type name="Newspaper Article"&gt;23&lt;/ref-type&gt;&lt;contributors&gt;&lt;authors&gt;&lt;author&gt;Pat Schneider&lt;/author&gt;&lt;/authors&gt;&lt;/contributors&gt;&lt;titles&gt;&lt;title&gt;New Poll Shows Parents Divded on Teachers Unions: Schools&lt;/title&gt;&lt;secondary-title&gt;The Capital Times&lt;/secondary-title&gt;&lt;/titles&gt;&lt;pages&gt;10&lt;/pages&gt;&lt;section&gt;Schools&lt;/section&gt;&lt;dates&gt;&lt;year&gt;2014&lt;/year&gt;&lt;pub-dates&gt;&lt;date&gt;October 15&lt;/date&gt;&lt;/pub-dates&gt;&lt;/dates&gt;&lt;pub-location&gt;Madison, Wisconsin&lt;/pub-location&gt;&lt;publisher&gt;Madison Newspapers&lt;/publisher&gt;&lt;urls&gt;&lt;/urls&gt;&lt;/record&gt;&lt;/Cite&gt;&lt;/EndNote&gt;</w:instrText>
      </w:r>
      <w:r w:rsidRPr="005D3F76">
        <w:rPr>
          <w:rFonts w:cs="Times New Roman"/>
        </w:rPr>
        <w:fldChar w:fldCharType="separate"/>
      </w:r>
      <w:r w:rsidRPr="005D3F76">
        <w:rPr>
          <w:rFonts w:cs="Times New Roman"/>
          <w:noProof/>
        </w:rPr>
        <w:t>(P. Schneider, 2014)</w:t>
      </w:r>
      <w:r w:rsidRPr="005D3F76">
        <w:rPr>
          <w:rFonts w:cs="Times New Roman"/>
        </w:rPr>
        <w:fldChar w:fldCharType="end"/>
      </w:r>
      <w:r w:rsidRPr="005D3F76">
        <w:rPr>
          <w:rFonts w:cs="Times New Roman"/>
        </w:rPr>
        <w:t xml:space="preserve"> </w:t>
      </w:r>
    </w:p>
    <w:p w14:paraId="560FB342" w14:textId="77777777" w:rsidR="00B03557" w:rsidRPr="005D3F76" w:rsidRDefault="00B03557" w:rsidP="00103B6F">
      <w:pPr>
        <w:rPr>
          <w:rFonts w:cs="Times New Roman"/>
        </w:rPr>
      </w:pPr>
      <w:r w:rsidRPr="005D3F76">
        <w:rPr>
          <w:rFonts w:cs="Times New Roman"/>
        </w:rPr>
        <w:t xml:space="preserve">As you can see from above, although in this particular example who provided the survey is given—Politico—no other information or citations were given in regards to the survey. Survey results from parents were given and stated as a matter-of-fact when it is not apparent that the </w:t>
      </w:r>
      <w:r w:rsidRPr="005D3F76">
        <w:rPr>
          <w:rFonts w:cs="Times New Roman"/>
        </w:rPr>
        <w:lastRenderedPageBreak/>
        <w:t>survey results are accurate. A little further down in the same article, the discourse changes to the questioning of a reporter from the Washington Post who commented that opinions from parents about policies like ACT 10 “should be based on facts, not fear” (p.1). Yet, the voices and opinions of the parents in regards to education, the teachers, and the unions in the state of Wisconsin is rarely, if ever heard, factual or otherwise. It makes it difficult to analyze discourse within newspapers when there was really nowhere within any of the discourse that was presented, the parents beliefs and attitudes about unions and the education system.</w:t>
      </w:r>
    </w:p>
    <w:p w14:paraId="335CBDD9" w14:textId="77777777" w:rsidR="00B03557" w:rsidRPr="005D3F76" w:rsidRDefault="00B03557" w:rsidP="00103B6F">
      <w:pPr>
        <w:rPr>
          <w:rFonts w:cs="Times New Roman"/>
        </w:rPr>
      </w:pPr>
      <w:r w:rsidRPr="005D3F76">
        <w:rPr>
          <w:rFonts w:cs="Times New Roman"/>
        </w:rPr>
        <w:tab/>
        <w:t xml:space="preserve">Another part of the education policy equation that was largely ignored was that of the students. Much like their parents, the students’ opinions and information about what is happening to them and those whom they interact with on a daily basis—the teachers--was also largely missing or relegated to a position where ‘education rhetoric’ was thrown at or about them, but not able to be reciprocally answered. In fact, the students had less of a voice than did the parents. Most articles, in regards to students, wrote about “student achievement” </w:t>
      </w:r>
      <w:r w:rsidRPr="005D3F76">
        <w:rPr>
          <w:rFonts w:cs="Times New Roman"/>
        </w:rPr>
        <w:fldChar w:fldCharType="begin"/>
      </w:r>
      <w:r w:rsidRPr="005D3F76">
        <w:rPr>
          <w:rFonts w:cs="Times New Roman"/>
        </w:rPr>
        <w:instrText xml:space="preserve"> ADDIN EN.CITE &lt;EndNote&gt;&lt;Cite&gt;&lt;Author&gt;Rickert&lt;/Author&gt;&lt;Year&gt;2011&lt;/Year&gt;&lt;RecNum&gt;127&lt;/RecNum&gt;&lt;DisplayText&gt;(Rickert, 2011a)&lt;/DisplayText&gt;&lt;record&gt;&lt;rec-number&gt;127&lt;/rec-number&gt;&lt;foreign-keys&gt;&lt;key app="EN" db-id="etwareaz8xpxz3et59b50d9vxrata9z2w2zt" timestamp="1455584661"&gt;127&lt;/key&gt;&lt;/foreign-keys&gt;&lt;ref-type name="Newspaper Article"&gt;23&lt;/ref-type&gt;&lt;contributors&gt;&lt;authors&gt;&lt;author&gt;Chris Rickert&lt;/author&gt;&lt;/authors&gt;&lt;/contributors&gt;&lt;titles&gt;&lt;title&gt;Education Solutions Will Have to Wait&lt;/title&gt;&lt;secondary-title&gt;Wisconsin State Journal&lt;/secondary-title&gt;&lt;/titles&gt;&lt;pages&gt;A2&lt;/pages&gt;&lt;section&gt;Local&lt;/section&gt;&lt;dates&gt;&lt;year&gt;2011&lt;/year&gt;&lt;pub-dates&gt;&lt;date&gt;March 19&lt;/date&gt;&lt;/pub-dates&gt;&lt;/dates&gt;&lt;pub-location&gt;Madison, Wisconsin&lt;/pub-location&gt;&lt;publisher&gt;Madison Newspapers&lt;/publisher&gt;&lt;urls&gt;&lt;/urls&gt;&lt;/record&gt;&lt;/Cite&gt;&lt;/EndNote&gt;</w:instrText>
      </w:r>
      <w:r w:rsidRPr="005D3F76">
        <w:rPr>
          <w:rFonts w:cs="Times New Roman"/>
        </w:rPr>
        <w:fldChar w:fldCharType="separate"/>
      </w:r>
      <w:r w:rsidRPr="005D3F76">
        <w:rPr>
          <w:rFonts w:cs="Times New Roman"/>
          <w:noProof/>
        </w:rPr>
        <w:t>(Rickert, 2011a)</w:t>
      </w:r>
      <w:r w:rsidRPr="005D3F76">
        <w:rPr>
          <w:rFonts w:cs="Times New Roman"/>
        </w:rPr>
        <w:fldChar w:fldCharType="end"/>
      </w:r>
      <w:r w:rsidRPr="005D3F76">
        <w:rPr>
          <w:rFonts w:cs="Times New Roman"/>
        </w:rPr>
        <w:t xml:space="preserve">, “student testing” </w:t>
      </w:r>
      <w:r w:rsidRPr="005D3F76">
        <w:rPr>
          <w:rFonts w:cs="Times New Roman"/>
        </w:rPr>
        <w:fldChar w:fldCharType="begin"/>
      </w:r>
      <w:r w:rsidRPr="005D3F76">
        <w:rPr>
          <w:rFonts w:cs="Times New Roman"/>
        </w:rPr>
        <w:instrText xml:space="preserve"> ADDIN EN.CITE &lt;EndNote&gt;&lt;Cite&gt;&lt;Author&gt;Greenhouse&lt;/Author&gt;&lt;Year&gt;2012&lt;/Year&gt;&lt;RecNum&gt;92&lt;/RecNum&gt;&lt;DisplayText&gt;(Greenhouse, 2012)&lt;/DisplayText&gt;&lt;record&gt;&lt;rec-number&gt;92&lt;/rec-number&gt;&lt;foreign-keys&gt;&lt;key app="EN" db-id="etwareaz8xpxz3et59b50d9vxrata9z2w2zt" timestamp="1455565255"&gt;92&lt;/key&gt;&lt;/foreign-keys&gt;&lt;ref-type name="Newspaper Article"&gt;23&lt;/ref-type&gt;&lt;contributors&gt;&lt;authors&gt;&lt;author&gt;Steven Greenhouse&lt;/author&gt;&lt;/authors&gt;&lt;/contributors&gt;&lt;titles&gt;&lt;title&gt;In Standoff, Latest Sign of Unions Under Siege&lt;/title&gt;&lt;secondary-title&gt;The New York Times&lt;/secondary-title&gt;&lt;/titles&gt;&lt;pages&gt;1&lt;/pages&gt;&lt;section&gt;National Desk&lt;/section&gt;&lt;dates&gt;&lt;year&gt;2012&lt;/year&gt;&lt;pub-dates&gt;&lt;date&gt;September 11&lt;/date&gt;&lt;/pub-dates&gt;&lt;/dates&gt;&lt;pub-location&gt;New York&lt;/pub-location&gt;&lt;urls&gt;&lt;/urls&gt;&lt;/record&gt;&lt;/Cite&gt;&lt;/EndNote&gt;</w:instrText>
      </w:r>
      <w:r w:rsidRPr="005D3F76">
        <w:rPr>
          <w:rFonts w:cs="Times New Roman"/>
        </w:rPr>
        <w:fldChar w:fldCharType="separate"/>
      </w:r>
      <w:r w:rsidRPr="005D3F76">
        <w:rPr>
          <w:rFonts w:cs="Times New Roman"/>
          <w:noProof/>
        </w:rPr>
        <w:t>(Greenhouse, 2012)</w:t>
      </w:r>
      <w:r w:rsidRPr="005D3F76">
        <w:rPr>
          <w:rFonts w:cs="Times New Roman"/>
        </w:rPr>
        <w:fldChar w:fldCharType="end"/>
      </w:r>
      <w:r w:rsidRPr="005D3F76">
        <w:rPr>
          <w:rFonts w:cs="Times New Roman"/>
        </w:rPr>
        <w:t xml:space="preserve">, and “student well-being” </w:t>
      </w:r>
      <w:r w:rsidRPr="005D3F76">
        <w:rPr>
          <w:rFonts w:cs="Times New Roman"/>
        </w:rPr>
        <w:fldChar w:fldCharType="begin"/>
      </w:r>
      <w:r w:rsidRPr="005D3F76">
        <w:rPr>
          <w:rFonts w:cs="Times New Roman"/>
        </w:rPr>
        <w:instrText xml:space="preserve"> ADDIN EN.CITE &lt;EndNote&gt;&lt;Cite&gt;&lt;Author&gt;Craver&lt;/Author&gt;&lt;Year&gt;2012&lt;/Year&gt;&lt;RecNum&gt;142&lt;/RecNum&gt;&lt;DisplayText&gt;(Craver, 2012)&lt;/DisplayText&gt;&lt;record&gt;&lt;rec-number&gt;142&lt;/rec-number&gt;&lt;foreign-keys&gt;&lt;key app="EN" db-id="etwareaz8xpxz3et59b50d9vxrata9z2w2zt" timestamp="1455741580"&gt;142&lt;/key&gt;&lt;/foreign-keys&gt;&lt;ref-type name="Newspaper Article"&gt;23&lt;/ref-type&gt;&lt;contributors&gt;&lt;authors&gt;&lt;author&gt;Jack Craver&lt;/author&gt;&lt;/authors&gt;&lt;/contributors&gt;&lt;titles&gt;&lt;title&gt;Teachers Union Chief Explains New Reality For Labor: Q &amp;amp; A Mary Bell&lt;/title&gt;&lt;secondary-title&gt;The Capital Times&lt;/secondary-title&gt;&lt;/titles&gt;&lt;pages&gt;8&lt;/pages&gt;&lt;section&gt;All Edition&lt;/section&gt;&lt;dates&gt;&lt;year&gt;2012&lt;/year&gt;&lt;pub-dates&gt;&lt;date&gt;December 5&lt;/date&gt;&lt;/pub-dates&gt;&lt;/dates&gt;&lt;pub-location&gt;Madison, Wisconsin&lt;/pub-location&gt;&lt;publisher&gt;Madison Newspapers&lt;/publisher&gt;&lt;urls&gt;&lt;/urls&gt;&lt;/record&gt;&lt;/Cite&gt;&lt;/EndNote&gt;</w:instrText>
      </w:r>
      <w:r w:rsidRPr="005D3F76">
        <w:rPr>
          <w:rFonts w:cs="Times New Roman"/>
        </w:rPr>
        <w:fldChar w:fldCharType="separate"/>
      </w:r>
      <w:r w:rsidRPr="005D3F76">
        <w:rPr>
          <w:rFonts w:cs="Times New Roman"/>
          <w:noProof/>
        </w:rPr>
        <w:t>(Craver, 2012)</w:t>
      </w:r>
      <w:r w:rsidRPr="005D3F76">
        <w:rPr>
          <w:rFonts w:cs="Times New Roman"/>
        </w:rPr>
        <w:fldChar w:fldCharType="end"/>
      </w:r>
      <w:r w:rsidRPr="005D3F76">
        <w:rPr>
          <w:rFonts w:cs="Times New Roman"/>
        </w:rPr>
        <w:t xml:space="preserve">, all without citing the students. As a matter of fact, nowhere, in any of the newspaper articles, was there statistical data concerning student achievement or testing results within the state of Wisconsin. Authorizing student perspectives, according to some scholars, would help fix many of the issues within the education systems we have within the U.S. </w:t>
      </w:r>
      <w:r w:rsidRPr="005D3F76">
        <w:rPr>
          <w:rFonts w:cs="Times New Roman"/>
        </w:rPr>
        <w:fldChar w:fldCharType="begin"/>
      </w:r>
      <w:r w:rsidRPr="005D3F76">
        <w:rPr>
          <w:rFonts w:cs="Times New Roman"/>
        </w:rPr>
        <w:instrText xml:space="preserve"> ADDIN EN.CITE &lt;EndNote&gt;&lt;Cite&gt;&lt;Author&gt;Cook-Sather&lt;/Author&gt;&lt;Year&gt;2002&lt;/Year&gt;&lt;RecNum&gt;326&lt;/RecNum&gt;&lt;DisplayText&gt;(Cook-Sather, 2002)&lt;/DisplayText&gt;&lt;record&gt;&lt;rec-number&gt;326&lt;/rec-number&gt;&lt;foreign-keys&gt;&lt;key app="EN" db-id="etwareaz8xpxz3et59b50d9vxrata9z2w2zt" timestamp="1466109682"&gt;326&lt;/key&gt;&lt;/foreign-keys&gt;&lt;ref-type name="Journal Article"&gt;17&lt;/ref-type&gt;&lt;contributors&gt;&lt;authors&gt;&lt;author&gt;Cook-Sather, Alison&lt;/author&gt;&lt;/authors&gt;&lt;/contributors&gt;&lt;titles&gt;&lt;title&gt;Authorizing Students&amp;apos; Perspectives: Toward Trust, Dialogue, and Change in Education&lt;/title&gt;&lt;secondary-title&gt;Educational Researcher&lt;/secondary-title&gt;&lt;/titles&gt;&lt;periodical&gt;&lt;full-title&gt;Educational Researcher&lt;/full-title&gt;&lt;/periodical&gt;&lt;pages&gt;3-14&lt;/pages&gt;&lt;volume&gt;31&lt;/volume&gt;&lt;number&gt;4&lt;/number&gt;&lt;dates&gt;&lt;year&gt;2002&lt;/year&gt;&lt;/dates&gt;&lt;urls&gt;&lt;/urls&gt;&lt;/record&gt;&lt;/Cite&gt;&lt;/EndNote&gt;</w:instrText>
      </w:r>
      <w:r w:rsidRPr="005D3F76">
        <w:rPr>
          <w:rFonts w:cs="Times New Roman"/>
        </w:rPr>
        <w:fldChar w:fldCharType="separate"/>
      </w:r>
      <w:r w:rsidRPr="005D3F76">
        <w:rPr>
          <w:rFonts w:cs="Times New Roman"/>
          <w:noProof/>
        </w:rPr>
        <w:t>(Cook-Sather, 2002)</w:t>
      </w:r>
      <w:r w:rsidRPr="005D3F76">
        <w:rPr>
          <w:rFonts w:cs="Times New Roman"/>
        </w:rPr>
        <w:fldChar w:fldCharType="end"/>
      </w:r>
      <w:r w:rsidRPr="005D3F76">
        <w:rPr>
          <w:rFonts w:cs="Times New Roman"/>
        </w:rPr>
        <w:t xml:space="preserve">, by letting those speak who “have been silenced all their lives” </w:t>
      </w:r>
      <w:r w:rsidRPr="005D3F76">
        <w:rPr>
          <w:rFonts w:cs="Times New Roman"/>
        </w:rPr>
        <w:fldChar w:fldCharType="begin"/>
      </w:r>
      <w:r w:rsidRPr="005D3F76">
        <w:rPr>
          <w:rFonts w:cs="Times New Roman"/>
        </w:rPr>
        <w:instrText xml:space="preserve"> ADDIN EN.CITE &lt;EndNote&gt;&lt;Cite&gt;&lt;Author&gt;Giroux&lt;/Author&gt;&lt;Year&gt;1992&lt;/Year&gt;&lt;RecNum&gt;327&lt;/RecNum&gt;&lt;Pages&gt;58&lt;/Pages&gt;&lt;DisplayText&gt;(Giroux, 1992, p. 58)&lt;/DisplayText&gt;&lt;record&gt;&lt;rec-number&gt;327&lt;/rec-number&gt;&lt;foreign-keys&gt;&lt;key app="EN" db-id="etwareaz8xpxz3et59b50d9vxrata9z2w2zt" timestamp="1466109869"&gt;327&lt;/key&gt;&lt;/foreign-keys&gt;&lt;ref-type name="Book"&gt;6&lt;/ref-type&gt;&lt;contributors&gt;&lt;authors&gt;&lt;author&gt;Henry Giroux&lt;/author&gt;&lt;/authors&gt;&lt;/contributors&gt;&lt;titles&gt;&lt;title&gt;Border Crossings: Cultural Workers and the Politics of Education&lt;/title&gt;&lt;/titles&gt;&lt;dates&gt;&lt;year&gt;1992&lt;/year&gt;&lt;/dates&gt;&lt;pub-location&gt;New York&lt;/pub-location&gt;&lt;publisher&gt;Routledge&lt;/publisher&gt;&lt;urls&gt;&lt;/urls&gt;&lt;/record&gt;&lt;/Cite&gt;&lt;/EndNote&gt;</w:instrText>
      </w:r>
      <w:r w:rsidRPr="005D3F76">
        <w:rPr>
          <w:rFonts w:cs="Times New Roman"/>
        </w:rPr>
        <w:fldChar w:fldCharType="separate"/>
      </w:r>
      <w:r w:rsidRPr="005D3F76">
        <w:rPr>
          <w:rFonts w:cs="Times New Roman"/>
          <w:noProof/>
        </w:rPr>
        <w:t>(Giroux, 1992, p. 58)</w:t>
      </w:r>
      <w:r w:rsidRPr="005D3F76">
        <w:rPr>
          <w:rFonts w:cs="Times New Roman"/>
        </w:rPr>
        <w:fldChar w:fldCharType="end"/>
      </w:r>
      <w:r w:rsidRPr="005D3F76">
        <w:rPr>
          <w:rFonts w:cs="Times New Roman"/>
        </w:rPr>
        <w:t>. As long as their voices are excluded from the conversation, including the discourses within the media, the efforts to do any type of reforms will be based on an incomplete picture.</w:t>
      </w:r>
    </w:p>
    <w:p w14:paraId="07EC03A1" w14:textId="28EBD9AC" w:rsidR="00B03557" w:rsidRPr="005D3F76" w:rsidRDefault="00B03557" w:rsidP="00103B6F">
      <w:pPr>
        <w:ind w:firstLine="720"/>
        <w:rPr>
          <w:rFonts w:cs="Times New Roman"/>
        </w:rPr>
      </w:pPr>
      <w:r w:rsidRPr="005D3F76">
        <w:rPr>
          <w:rFonts w:cs="Times New Roman"/>
        </w:rPr>
        <w:t xml:space="preserve">A “real” conversation about education and the laws that are being put into place concerning public sector/teacher unions and education was a one-way conversation within the </w:t>
      </w:r>
      <w:r w:rsidRPr="005D3F76">
        <w:rPr>
          <w:rFonts w:cs="Times New Roman"/>
        </w:rPr>
        <w:lastRenderedPageBreak/>
        <w:t>newspapers</w:t>
      </w:r>
      <w:r w:rsidR="007C62D0" w:rsidRPr="005D3F76">
        <w:rPr>
          <w:rFonts w:cs="Times New Roman"/>
        </w:rPr>
        <w:t>. This conversation</w:t>
      </w:r>
      <w:r w:rsidRPr="005D3F76">
        <w:rPr>
          <w:rFonts w:cs="Times New Roman"/>
        </w:rPr>
        <w:t xml:space="preserve"> largely was encompassed by governmental entities, those in the law, and the unions</w:t>
      </w:r>
      <w:r w:rsidR="007C62D0" w:rsidRPr="005D3F76">
        <w:rPr>
          <w:rFonts w:cs="Times New Roman"/>
        </w:rPr>
        <w:t xml:space="preserve"> to an extent, but left many others out of the loop</w:t>
      </w:r>
      <w:r w:rsidRPr="005D3F76">
        <w:rPr>
          <w:rFonts w:cs="Times New Roman"/>
        </w:rPr>
        <w:t xml:space="preserve">. </w:t>
      </w:r>
    </w:p>
    <w:p w14:paraId="0453EA25" w14:textId="77777777" w:rsidR="00B03557" w:rsidRPr="005D3F76" w:rsidRDefault="00B03557" w:rsidP="00103B6F">
      <w:pPr>
        <w:pStyle w:val="Heading2"/>
        <w:rPr>
          <w:rFonts w:cs="Times New Roman"/>
        </w:rPr>
      </w:pPr>
      <w:bookmarkStart w:id="24" w:name="_Toc462843644"/>
      <w:r w:rsidRPr="005D3F76">
        <w:rPr>
          <w:rFonts w:cs="Times New Roman"/>
        </w:rPr>
        <w:t>In Conclusion</w:t>
      </w:r>
      <w:bookmarkEnd w:id="24"/>
    </w:p>
    <w:p w14:paraId="224A38D4" w14:textId="77777777" w:rsidR="00B03557" w:rsidRPr="005D3F76" w:rsidRDefault="00B03557" w:rsidP="00103B6F">
      <w:pPr>
        <w:ind w:firstLine="720"/>
        <w:rPr>
          <w:rFonts w:cs="Times New Roman"/>
        </w:rPr>
      </w:pPr>
      <w:r w:rsidRPr="005D3F76">
        <w:rPr>
          <w:rFonts w:cs="Times New Roman"/>
        </w:rPr>
        <w:t xml:space="preserve">The description above provides discourse analysis on ways that the media portrayed public sector/teacher unions within the state of Wisconsin between 2011-2015 in the </w:t>
      </w:r>
      <w:r w:rsidRPr="005D3F76">
        <w:rPr>
          <w:rFonts w:cs="Times New Roman"/>
          <w:i/>
        </w:rPr>
        <w:t>Times</w:t>
      </w:r>
      <w:r w:rsidRPr="005D3F76">
        <w:rPr>
          <w:rFonts w:cs="Times New Roman"/>
        </w:rPr>
        <w:t xml:space="preserve">, </w:t>
      </w:r>
      <w:r w:rsidRPr="005D3F76">
        <w:rPr>
          <w:rFonts w:cs="Times New Roman"/>
          <w:i/>
        </w:rPr>
        <w:t>WSJ</w:t>
      </w:r>
      <w:r w:rsidRPr="005D3F76">
        <w:rPr>
          <w:rFonts w:cs="Times New Roman"/>
        </w:rPr>
        <w:t xml:space="preserve">, and the </w:t>
      </w:r>
      <w:r w:rsidRPr="005D3F76">
        <w:rPr>
          <w:rFonts w:cs="Times New Roman"/>
          <w:i/>
        </w:rPr>
        <w:t>Cap Times</w:t>
      </w:r>
      <w:r w:rsidRPr="005D3F76">
        <w:rPr>
          <w:rFonts w:cs="Times New Roman"/>
        </w:rPr>
        <w:t xml:space="preserve">, and the ways in which they both have added to and detracted from a conversation with the larger society. The analysis shows that the media largely vilified public-sector/teacher unions and the teachers within them by instituting a winner take all mentality, as was shown in the strand concerning battle language. In conjunction with the neoliberal discourse that the media promulgates within their reporting, the question of whether or not they add to the overall disapproval of public sector unions comes one step closer. </w:t>
      </w:r>
    </w:p>
    <w:p w14:paraId="1472D703" w14:textId="77777777" w:rsidR="00B03557" w:rsidRPr="005D3F76" w:rsidRDefault="00B03557" w:rsidP="00103B6F">
      <w:pPr>
        <w:ind w:firstLine="720"/>
        <w:rPr>
          <w:rFonts w:cs="Times New Roman"/>
        </w:rPr>
      </w:pPr>
      <w:r w:rsidRPr="005D3F76">
        <w:rPr>
          <w:rFonts w:cs="Times New Roman"/>
        </w:rPr>
        <w:t xml:space="preserve">The U.S. public’s views of public sector unions have been seemingly eroded and undermined by the discourse framed in the media’s reporting to the public at large. This is a huge contention when, as we saw above, parents and students are completely left out of the discursive picture. By doing so, the media has ignored half of the groups involved in the educational process. Whether or not this is intention, it plays to a larger issue that harkens back to both the battle strand and the neoliberal strand presented above. Ignoring parents and students leaves the discourse involving teacher unions and the government isolated in a bubble without allowing for influence by parents and/or students. As a nation, how can we improve education when the discourses are not complete or are too isolated from everyone involved? </w:t>
      </w:r>
    </w:p>
    <w:p w14:paraId="14AF5832" w14:textId="77777777" w:rsidR="00B03557" w:rsidRPr="005D3F76" w:rsidRDefault="00B03557" w:rsidP="00103B6F">
      <w:pPr>
        <w:ind w:firstLine="720"/>
        <w:rPr>
          <w:rFonts w:cs="Times New Roman"/>
        </w:rPr>
      </w:pPr>
      <w:r w:rsidRPr="005D3F76">
        <w:rPr>
          <w:rFonts w:cs="Times New Roman"/>
        </w:rPr>
        <w:t xml:space="preserve">Issues of social justice created by the media within this analysis represent a problematic tendency for the future of our education system. As presented above, the ideas of the media using its hegemonic abilities to frame certain issues pertaining to education, including, tenure, seniority </w:t>
      </w:r>
      <w:r w:rsidRPr="005D3F76">
        <w:rPr>
          <w:rFonts w:cs="Times New Roman"/>
        </w:rPr>
        <w:lastRenderedPageBreak/>
        <w:t>rights, vacation time, poor versus good quality teachers, etc. is egregious when one considers the amount of time and energy it took for unions to secure equity within the educational system for teachers. Also, the media has, for the most part, essentially advocated for teachers to be stripped of their rights to collectively bargain their contracts against a large, systematic and sophisticated employer—the government. The right to form contracts is considered a fundamental right throughout our society from a large segment of the population, and ACT 10 strips teachers in Wisconsin of a fundamental right.</w:t>
      </w:r>
    </w:p>
    <w:p w14:paraId="25D7424B" w14:textId="77777777" w:rsidR="00B03557" w:rsidRPr="005D3F76" w:rsidRDefault="00B03557" w:rsidP="00103B6F">
      <w:pPr>
        <w:ind w:firstLine="720"/>
        <w:rPr>
          <w:rFonts w:cs="Times New Roman"/>
          <w:szCs w:val="24"/>
        </w:rPr>
        <w:sectPr w:rsidR="00B03557" w:rsidRPr="005D3F76" w:rsidSect="00103B6F">
          <w:endnotePr>
            <w:numRestart w:val="eachSect"/>
          </w:endnotePr>
          <w:pgSz w:w="12240" w:h="15840"/>
          <w:pgMar w:top="1440" w:right="1440" w:bottom="1440" w:left="1440" w:header="720" w:footer="720" w:gutter="0"/>
          <w:cols w:space="720"/>
          <w:docGrid w:linePitch="360"/>
        </w:sectPr>
      </w:pPr>
      <w:r w:rsidRPr="005D3F76">
        <w:rPr>
          <w:rFonts w:cs="Times New Roman"/>
        </w:rPr>
        <w:t>What will follow in chapter five will include the implications and recommendations of this research based on what has been provided through the CDA analysis above. I will begin by answering my research questions and analyzing the results.  Then, I will address certain arguments that may be made against the findings of this work. The following questions will be discussed within chapter five as well: w</w:t>
      </w:r>
      <w:r w:rsidRPr="005D3F76">
        <w:rPr>
          <w:rFonts w:cs="Times New Roman"/>
          <w:szCs w:val="24"/>
        </w:rPr>
        <w:t xml:space="preserve">hat are the implications if in fact the media is perpetuating the negative and detrimental stereotypes concerning teacher unions; what should be done to mitigate or change the perceptions being instigated by the media if they are perpetuating a negative connotation of public sector and teacher unions; and will new anti-labor union policy continue to be expanded throughout the U.S.?  I will end by considering the limitations of this study as well as </w:t>
      </w:r>
      <w:r w:rsidRPr="005D3F76">
        <w:rPr>
          <w:rFonts w:cs="Times New Roman"/>
        </w:rPr>
        <w:t>discuss what research may be needed in the future.</w:t>
      </w:r>
      <w:r w:rsidRPr="005D3F76">
        <w:rPr>
          <w:rFonts w:cs="Times New Roman"/>
          <w:szCs w:val="24"/>
        </w:rPr>
        <w:t xml:space="preserve"> Simply put, a continuation of a much needed conversation will be made in chapter five.</w:t>
      </w:r>
    </w:p>
    <w:p w14:paraId="613A47C9" w14:textId="7EB2E01A" w:rsidR="00C379DD" w:rsidRPr="005D3F76" w:rsidRDefault="00A3521D" w:rsidP="006F28A3">
      <w:pPr>
        <w:pStyle w:val="Heading1"/>
        <w:rPr>
          <w:rFonts w:cs="Times New Roman"/>
        </w:rPr>
      </w:pPr>
      <w:bookmarkStart w:id="25" w:name="_Toc462843645"/>
      <w:r w:rsidRPr="005D3F76">
        <w:rPr>
          <w:rFonts w:cs="Times New Roman"/>
        </w:rPr>
        <w:lastRenderedPageBreak/>
        <w:t>CHAPTER FIVE:</w:t>
      </w:r>
      <w:r w:rsidRPr="005D3F76">
        <w:rPr>
          <w:rFonts w:cs="Times New Roman"/>
        </w:rPr>
        <w:br/>
        <w:t>CONCLUSION</w:t>
      </w:r>
      <w:bookmarkEnd w:id="25"/>
    </w:p>
    <w:p w14:paraId="31B535DC" w14:textId="77777777" w:rsidR="00C379DD" w:rsidRPr="005D3F76" w:rsidRDefault="00C379DD" w:rsidP="001B1E2A">
      <w:pPr>
        <w:spacing w:before="480" w:after="480" w:line="240" w:lineRule="auto"/>
        <w:ind w:left="720"/>
        <w:rPr>
          <w:rFonts w:cs="Times New Roman"/>
          <w:b/>
          <w:szCs w:val="24"/>
        </w:rPr>
      </w:pPr>
      <w:r w:rsidRPr="005D3F76">
        <w:rPr>
          <w:rFonts w:cs="Times New Roman"/>
          <w:b/>
          <w:szCs w:val="24"/>
        </w:rPr>
        <w:t>Unity is strength. . . When there is teamwork and collaboration wonderful things can be achieved. . . Knowledge becomes the power to begin that journey to achievement. ~ Unknown Author</w:t>
      </w:r>
    </w:p>
    <w:p w14:paraId="22A6EFBB" w14:textId="1C9C17DC" w:rsidR="00C379DD" w:rsidRPr="005D3F76" w:rsidRDefault="007C62D0" w:rsidP="001B1E2A">
      <w:pPr>
        <w:shd w:val="clear" w:color="auto" w:fill="FFFFFF"/>
        <w:ind w:firstLine="720"/>
        <w:rPr>
          <w:rFonts w:cs="Times New Roman"/>
          <w:szCs w:val="24"/>
        </w:rPr>
      </w:pPr>
      <w:r w:rsidRPr="005D3F76">
        <w:rPr>
          <w:rFonts w:cs="Times New Roman"/>
          <w:szCs w:val="24"/>
        </w:rPr>
        <w:t xml:space="preserve">My purpose in this </w:t>
      </w:r>
      <w:r w:rsidR="00C379DD" w:rsidRPr="005D3F76">
        <w:rPr>
          <w:rFonts w:cs="Times New Roman"/>
          <w:szCs w:val="24"/>
        </w:rPr>
        <w:t>research was to ascertain whether or not by virtue of political and neoliberal agendas, the framing of public sector/teacher unions in the United States is unfavorable, which in turn, is creating issues of social justice through the policies and laws being enacted concerning the unions. The answer to this study and my central claim is yes, the discourses that the media have chosen to present to society</w:t>
      </w:r>
      <w:r w:rsidRPr="005D3F76">
        <w:rPr>
          <w:rFonts w:cs="Times New Roman"/>
          <w:szCs w:val="24"/>
        </w:rPr>
        <w:t>,</w:t>
      </w:r>
      <w:r w:rsidR="00C379DD" w:rsidRPr="005D3F76">
        <w:rPr>
          <w:rFonts w:cs="Times New Roman"/>
          <w:szCs w:val="24"/>
        </w:rPr>
        <w:t xml:space="preserve"> favor the anti-union movement. In this manner, if we use Foucault’s (1980) understanding of control through social institutions, such as the media, then it makes sense that we see what we did through the strands within the analysis: control through the discourse that is presented to U.S. society especially in regards to naturalized understandings of neoliberalism. Essentially, the hidden discourses within the text that were examined</w:t>
      </w:r>
      <w:r w:rsidRPr="005D3F76">
        <w:rPr>
          <w:rFonts w:cs="Times New Roman"/>
          <w:szCs w:val="24"/>
        </w:rPr>
        <w:t>,</w:t>
      </w:r>
      <w:r w:rsidR="00C379DD" w:rsidRPr="005D3F76">
        <w:rPr>
          <w:rFonts w:cs="Times New Roman"/>
          <w:szCs w:val="24"/>
        </w:rPr>
        <w:t xml:space="preserve"> help to create and recreate an ideological hegemony about the negative characteristics of unions</w:t>
      </w:r>
      <w:r w:rsidRPr="005D3F76">
        <w:rPr>
          <w:rFonts w:cs="Times New Roman"/>
          <w:szCs w:val="24"/>
        </w:rPr>
        <w:t>,</w:t>
      </w:r>
      <w:r w:rsidR="00C379DD" w:rsidRPr="005D3F76">
        <w:rPr>
          <w:rFonts w:cs="Times New Roman"/>
          <w:szCs w:val="24"/>
        </w:rPr>
        <w:t xml:space="preserve"> and the detrimental policies they helped to create </w:t>
      </w:r>
      <w:r w:rsidR="00C379DD" w:rsidRPr="005D3F76">
        <w:rPr>
          <w:rFonts w:cs="Times New Roman"/>
          <w:szCs w:val="24"/>
        </w:rPr>
        <w:fldChar w:fldCharType="begin"/>
      </w:r>
      <w:r w:rsidR="00C379DD" w:rsidRPr="005D3F76">
        <w:rPr>
          <w:rFonts w:cs="Times New Roman"/>
          <w:szCs w:val="24"/>
        </w:rPr>
        <w:instrText xml:space="preserve"> ADDIN EN.CITE &lt;EndNote&gt;&lt;Cite&gt;&lt;Author&gt;van Dijk&lt;/Author&gt;&lt;Year&gt;2009&lt;/Year&gt;&lt;RecNum&gt;182&lt;/RecNum&gt;&lt;DisplayText&gt;(Apple, 1995; Gramsci, 1971; van Dijk, 2009)&lt;/DisplayText&gt;&lt;record&gt;&lt;rec-number&gt;182&lt;/rec-number&gt;&lt;foreign-keys&gt;&lt;key app="EN" db-id="etwareaz8xpxz3et59b50d9vxrata9z2w2zt" timestamp="1457460385"&gt;182&lt;/key&gt;&lt;/foreign-keys&gt;&lt;ref-type name="Book"&gt;6&lt;/ref-type&gt;&lt;contributors&gt;&lt;authors&gt;&lt;author&gt;van Dijk, Teun&lt;/author&gt;&lt;/authors&gt;&lt;/contributors&gt;&lt;titles&gt;&lt;title&gt;Society and Discourse: How Social Contexts Influence Talk and Text&lt;/title&gt;&lt;/titles&gt;&lt;dates&gt;&lt;year&gt;2009&lt;/year&gt;&lt;/dates&gt;&lt;pub-location&gt;Leiden&lt;/pub-location&gt;&lt;publisher&gt;Cambridge University Press&lt;/publisher&gt;&lt;urls&gt;&lt;/urls&gt;&lt;/record&gt;&lt;/Cite&gt;&lt;Cite&gt;&lt;Author&gt;Apple&lt;/Author&gt;&lt;Year&gt;1995&lt;/Year&gt;&lt;RecNum&gt;4&lt;/RecNum&gt;&lt;record&gt;&lt;rec-number&gt;4&lt;/rec-number&gt;&lt;foreign-keys&gt;&lt;key app="EN" db-id="etwareaz8xpxz3et59b50d9vxrata9z2w2zt" timestamp="1444522980"&gt;4&lt;/key&gt;&lt;/foreign-keys&gt;&lt;ref-type name="Book"&gt;6&lt;/ref-type&gt;&lt;contributors&gt;&lt;authors&gt;&lt;author&gt;Michael Apple&lt;/author&gt;&lt;/authors&gt;&lt;/contributors&gt;&lt;titles&gt;&lt;title&gt;Education and Power&lt;/title&gt;&lt;/titles&gt;&lt;dates&gt;&lt;year&gt;1995&lt;/year&gt;&lt;/dates&gt;&lt;pub-location&gt;New York and London&lt;/pub-location&gt;&lt;publisher&gt;Routledge&lt;/publisher&gt;&lt;urls&gt;&lt;/urls&gt;&lt;/record&gt;&lt;/Cite&gt;&lt;Cite&gt;&lt;Author&gt;Gramsci&lt;/Author&gt;&lt;Year&gt;1971&lt;/Year&gt;&lt;RecNum&gt;3&lt;/RecNum&gt;&lt;record&gt;&lt;rec-number&gt;3&lt;/rec-number&gt;&lt;foreign-keys&gt;&lt;key app="EN" db-id="etwareaz8xpxz3et59b50d9vxrata9z2w2zt" timestamp="1444522353"&gt;3&lt;/key&gt;&lt;/foreign-keys&gt;&lt;ref-type name="Book"&gt;6&lt;/ref-type&gt;&lt;contributors&gt;&lt;authors&gt;&lt;author&gt;Antonio Gramsci&lt;/author&gt;&lt;/authors&gt;&lt;/contributors&gt;&lt;titles&gt;&lt;title&gt;Selections from the Prison Notebooks&lt;/title&gt;&lt;/titles&gt;&lt;dates&gt;&lt;year&gt;1971&lt;/year&gt;&lt;/dates&gt;&lt;pub-location&gt;London&lt;/pub-location&gt;&lt;publisher&gt;Lawrence and Wishart&lt;/publisher&gt;&lt;urls&gt;&lt;/urls&gt;&lt;/record&gt;&lt;/Cite&gt;&lt;/EndNote&gt;</w:instrText>
      </w:r>
      <w:r w:rsidR="00C379DD" w:rsidRPr="005D3F76">
        <w:rPr>
          <w:rFonts w:cs="Times New Roman"/>
          <w:szCs w:val="24"/>
        </w:rPr>
        <w:fldChar w:fldCharType="separate"/>
      </w:r>
      <w:r w:rsidR="00C379DD" w:rsidRPr="005D3F76">
        <w:rPr>
          <w:rFonts w:cs="Times New Roman"/>
          <w:noProof/>
          <w:szCs w:val="24"/>
        </w:rPr>
        <w:t>(Apple, 1995; Gramsci, 1971; van Dijk, 2009)</w:t>
      </w:r>
      <w:r w:rsidR="00C379DD" w:rsidRPr="005D3F76">
        <w:rPr>
          <w:rFonts w:cs="Times New Roman"/>
          <w:szCs w:val="24"/>
        </w:rPr>
        <w:fldChar w:fldCharType="end"/>
      </w:r>
      <w:r w:rsidR="00C379DD" w:rsidRPr="005D3F76">
        <w:rPr>
          <w:rFonts w:cs="Times New Roman"/>
          <w:szCs w:val="24"/>
        </w:rPr>
        <w:t>. These negative connotations presented by the media are problematic.</w:t>
      </w:r>
    </w:p>
    <w:p w14:paraId="79478CEE" w14:textId="77777777" w:rsidR="00C379DD" w:rsidRPr="005D3F76" w:rsidRDefault="00C379DD" w:rsidP="001B1E2A">
      <w:pPr>
        <w:shd w:val="clear" w:color="auto" w:fill="FFFFFF"/>
        <w:rPr>
          <w:rFonts w:cs="Times New Roman"/>
          <w:szCs w:val="24"/>
        </w:rPr>
      </w:pPr>
      <w:r w:rsidRPr="005D3F76">
        <w:rPr>
          <w:rFonts w:cs="Times New Roman"/>
          <w:szCs w:val="24"/>
        </w:rPr>
        <w:tab/>
        <w:t xml:space="preserve">It is important to understand that teacher unions are not perfect, for instance, some in U.S. society claim that unions have seriously derailed public spending on education by protecting inept or mediocre teachers, raising salary and benefits that outpace inflation, and by reducing workloads by hiring lower than necessary student to teacher ratios </w:t>
      </w:r>
      <w:r w:rsidRPr="005D3F76">
        <w:rPr>
          <w:rFonts w:cs="Times New Roman"/>
          <w:szCs w:val="24"/>
        </w:rPr>
        <w:fldChar w:fldCharType="begin"/>
      </w:r>
      <w:r w:rsidRPr="005D3F76">
        <w:rPr>
          <w:rFonts w:cs="Times New Roman"/>
          <w:szCs w:val="24"/>
        </w:rPr>
        <w:instrText xml:space="preserve"> ADDIN EN.CITE &lt;EndNote&gt;&lt;Cite&gt;&lt;Author&gt;Coulson&lt;/Author&gt;&lt;Year&gt;2014&lt;/Year&gt;&lt;RecNum&gt;357&lt;/RecNum&gt;&lt;DisplayText&gt;(Coulson, 2014)&lt;/DisplayText&gt;&lt;record&gt;&lt;rec-number&gt;357&lt;/rec-number&gt;&lt;foreign-keys&gt;&lt;key app="EN" db-id="etwareaz8xpxz3et59b50d9vxrata9z2w2zt" timestamp="1471280047"&gt;357&lt;/key&gt;&lt;/foreign-keys&gt;&lt;ref-type name="Web Page"&gt;12&lt;/ref-type&gt;&lt;contributors&gt;&lt;authors&gt;&lt;author&gt;Andrew J. Coulson&lt;/author&gt;&lt;/authors&gt;&lt;secondary-authors&gt;&lt;author&gt;CATO Institute&lt;/author&gt;&lt;/secondary-authors&gt;&lt;/contributors&gt;&lt;titles&gt;&lt;title&gt;A Less perfect Union&lt;/title&gt;&lt;/titles&gt;&lt;volume&gt;2016&lt;/volume&gt;&lt;number&gt;August&lt;/number&gt;&lt;dates&gt;&lt;year&gt;2014&lt;/year&gt;&lt;/dates&gt;&lt;pub-location&gt;Washington DC&lt;/pub-location&gt;&lt;publisher&gt;CATO Institute&lt;/publisher&gt;&lt;urls&gt;&lt;related-urls&gt;&lt;url&gt;http://www.cato.org/publications/commentary/less-perfect-union&lt;/url&gt;&lt;/related-urls&gt;&lt;/urls&gt;&lt;/record&gt;&lt;/Cite&gt;&lt;/EndNote&gt;</w:instrText>
      </w:r>
      <w:r w:rsidRPr="005D3F76">
        <w:rPr>
          <w:rFonts w:cs="Times New Roman"/>
          <w:szCs w:val="24"/>
        </w:rPr>
        <w:fldChar w:fldCharType="separate"/>
      </w:r>
      <w:r w:rsidRPr="005D3F76">
        <w:rPr>
          <w:rFonts w:cs="Times New Roman"/>
          <w:noProof/>
          <w:szCs w:val="24"/>
        </w:rPr>
        <w:t>(Coulson, 2014)</w:t>
      </w:r>
      <w:r w:rsidRPr="005D3F76">
        <w:rPr>
          <w:rFonts w:cs="Times New Roman"/>
          <w:szCs w:val="24"/>
        </w:rPr>
        <w:fldChar w:fldCharType="end"/>
      </w:r>
      <w:r w:rsidRPr="005D3F76">
        <w:rPr>
          <w:rFonts w:cs="Times New Roman"/>
          <w:szCs w:val="24"/>
        </w:rPr>
        <w:t xml:space="preserve">. Although these are valid opinions in some instances, for the overwhelming majority of teacher unions they are a force working for and within public education in hopes of substantiating </w:t>
      </w:r>
      <w:r w:rsidRPr="005D3F76">
        <w:rPr>
          <w:rFonts w:cs="Times New Roman"/>
          <w:szCs w:val="24"/>
        </w:rPr>
        <w:lastRenderedPageBreak/>
        <w:t xml:space="preserve">change that is beneficial to students and teachers alike. For example, teacher unions are one of the only organizations in the field of education that fights for equity in education, like equal access to funding for every public school, not just those in wealthier areas </w:t>
      </w:r>
      <w:r w:rsidRPr="005D3F76">
        <w:rPr>
          <w:rFonts w:cs="Times New Roman"/>
          <w:szCs w:val="24"/>
        </w:rPr>
        <w:fldChar w:fldCharType="begin"/>
      </w:r>
      <w:r w:rsidRPr="005D3F76">
        <w:rPr>
          <w:rFonts w:cs="Times New Roman"/>
          <w:szCs w:val="24"/>
        </w:rPr>
        <w:instrText xml:space="preserve"> ADDIN EN.CITE &lt;EndNote&gt;&lt;Cite&gt;&lt;Author&gt;Husted&lt;/Author&gt;&lt;Year&gt;2000&lt;/Year&gt;&lt;RecNum&gt;358&lt;/RecNum&gt;&lt;DisplayText&gt;(Husted &amp;amp; Kenny, 2000)&lt;/DisplayText&gt;&lt;record&gt;&lt;rec-number&gt;358&lt;/rec-number&gt;&lt;foreign-keys&gt;&lt;key app="EN" db-id="etwareaz8xpxz3et59b50d9vxrata9z2w2zt" timestamp="1471284410"&gt;358&lt;/key&gt;&lt;/foreign-keys&gt;&lt;ref-type name="Journal Article"&gt;17&lt;/ref-type&gt;&lt;contributors&gt;&lt;authors&gt;&lt;author&gt;Thomas A Husted&lt;/author&gt;&lt;author&gt;Lawrence W Kenny&lt;/author&gt;&lt;/authors&gt;&lt;/contributors&gt;&lt;titles&gt;&lt;title&gt;Evidence on the Impact of State Government on Primary and Secondary Education and the Equity-Efficiency Trade-Off&lt;/title&gt;&lt;secondary-title&gt;The Journal of Law &amp;amp; Economics&lt;/secondary-title&gt;&lt;/titles&gt;&lt;periodical&gt;&lt;full-title&gt;The Journal of Law &amp;amp; Economics&lt;/full-title&gt;&lt;/periodical&gt;&lt;pages&gt;285-308&lt;/pages&gt;&lt;volume&gt;43&lt;/volume&gt;&lt;number&gt;1&lt;/number&gt;&lt;dates&gt;&lt;year&gt;2000&lt;/year&gt;&lt;/dates&gt;&lt;urls&gt;&lt;/urls&gt;&lt;/record&gt;&lt;/Cite&gt;&lt;/EndNote&gt;</w:instrText>
      </w:r>
      <w:r w:rsidRPr="005D3F76">
        <w:rPr>
          <w:rFonts w:cs="Times New Roman"/>
          <w:szCs w:val="24"/>
        </w:rPr>
        <w:fldChar w:fldCharType="separate"/>
      </w:r>
      <w:r w:rsidRPr="005D3F76">
        <w:rPr>
          <w:rFonts w:cs="Times New Roman"/>
          <w:noProof/>
          <w:szCs w:val="24"/>
        </w:rPr>
        <w:t>(Husted &amp; Kenny, 2000)</w:t>
      </w:r>
      <w:r w:rsidRPr="005D3F76">
        <w:rPr>
          <w:rFonts w:cs="Times New Roman"/>
          <w:szCs w:val="24"/>
        </w:rPr>
        <w:fldChar w:fldCharType="end"/>
      </w:r>
      <w:r w:rsidRPr="005D3F76">
        <w:rPr>
          <w:rFonts w:cs="Times New Roman"/>
          <w:szCs w:val="24"/>
        </w:rPr>
        <w:t xml:space="preserve">. They also protect teachers’ First Amendment rights by allowing them to advocate for students without fear of retaliation, and they help teacher and student safety by requiring proof of good sanitation and cleanliness in the schools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&lt;EndNote&gt;&lt;Cite&gt;&lt;Author&gt;Moe&lt;/Author&gt;&lt;Year&gt;2011&lt;/Year&gt;&lt;RecNum&gt;74&lt;/RecNum&gt;&lt;DisplayText&gt;(Moe, 2011)&lt;/DisplayText&gt;&lt;record&gt;&lt;rec-number&gt;74&lt;/rec-number&gt;&lt;foreign-keys&gt;&lt;key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Press&lt;/publisher&gt;&lt;urls&gt;&lt;/urls&gt;&lt;/record&gt;&lt;/Cite&gt;&lt;/EndNote&gt;</w:instrText>
      </w:r>
      <w:r w:rsidRPr="005D3F76">
        <w:rPr>
          <w:rFonts w:cs="Times New Roman"/>
          <w:szCs w:val="24"/>
        </w:rPr>
        <w:fldChar w:fldCharType="separate"/>
      </w:r>
      <w:r w:rsidRPr="005D3F76">
        <w:rPr>
          <w:rFonts w:cs="Times New Roman"/>
          <w:noProof/>
          <w:szCs w:val="24"/>
        </w:rPr>
        <w:t>(Moe, 2011)</w:t>
      </w:r>
      <w:r w:rsidRPr="005D3F76">
        <w:rPr>
          <w:rFonts w:cs="Times New Roman"/>
          <w:szCs w:val="24"/>
        </w:rPr>
        <w:fldChar w:fldCharType="end"/>
      </w:r>
      <w:r w:rsidRPr="005D3F76">
        <w:rPr>
          <w:rFonts w:cs="Times New Roman"/>
          <w:szCs w:val="24"/>
        </w:rPr>
        <w:t xml:space="preserve">. Further, teacher unions are shown in research to be overwhelming good for the achievement of both academics and occupational outcomes for students </w:t>
      </w:r>
      <w:r w:rsidRPr="005D3F76">
        <w:rPr>
          <w:rFonts w:cs="Times New Roman"/>
          <w:szCs w:val="24"/>
        </w:rPr>
        <w:fldChar w:fldCharType="begin"/>
      </w:r>
      <w:r w:rsidRPr="005D3F76">
        <w:rPr>
          <w:rFonts w:cs="Times New Roman"/>
          <w:szCs w:val="24"/>
        </w:rPr>
        <w:instrText xml:space="preserve"> ADDIN EN.CITE &lt;EndNote&gt;&lt;Cite&gt;&lt;Author&gt;Moe&lt;/Author&gt;&lt;Year&gt;2011&lt;/Year&gt;&lt;RecNum&gt;74&lt;/RecNum&gt;&lt;DisplayText&gt;(Moe, 2011; Nelson &amp;amp; Gould, 1988)&lt;/DisplayText&gt;&lt;record&gt;&lt;rec-number&gt;74&lt;/rec-number&gt;&lt;foreign-keys&gt;&lt;key app="EN" db-id="etwareaz8xpxz3et59b50d9vxrata9z2w2zt" timestamp="1453824749"&gt;74&lt;/key&gt;&lt;/foreign-keys&gt;&lt;ref-type name="Book Section"&gt;5&lt;/ref-type&gt;&lt;contributors&gt;&lt;authors&gt;&lt;author&gt;Terry M. Moe&lt;/author&gt;&lt;/authors&gt;&lt;/contributors&gt;&lt;titles&gt;&lt;title&gt;Teachers Unions and the Public Schools&lt;/title&gt;&lt;secondary-title&gt;Special interest: Teachers, Unions and Aerica&amp;apos;s Public Schools&lt;/secondary-title&gt;&lt;/titles&gt;&lt;dates&gt;&lt;year&gt;2011&lt;/year&gt;&lt;/dates&gt;&lt;pub-location&gt;Washington D.C.&lt;/pub-location&gt;&lt;publisher&gt;Brookings Institute Press&lt;/publisher&gt;&lt;urls&gt;&lt;/urls&gt;&lt;/record&gt;&lt;/Cite&gt;&lt;Cite&gt;&lt;Author&gt;Nelson&lt;/Author&gt;&lt;Year&gt;1988&lt;/Year&gt;&lt;RecNum&gt;360&lt;/RecNum&gt;&lt;record&gt;&lt;rec-number&gt;360&lt;/rec-number&gt;&lt;foreign-keys&gt;&lt;key app="EN" db-id="etwareaz8xpxz3et59b50d9vxrata9z2w2zt" timestamp="1471286965"&gt;360&lt;/key&gt;&lt;/foreign-keys&gt;&lt;ref-type name="Journal Article"&gt;17&lt;/ref-type&gt;&lt;contributors&gt;&lt;authors&gt;&lt;author&gt;F. Howard Nelson&lt;/author&gt;&lt;author&gt;Jewell C. Gould&lt;/author&gt;&lt;/authors&gt;&lt;/contributors&gt;&lt;titles&gt;&lt;title&gt;Teachers&amp;apos; unions and excellence in education: Comment&lt;/title&gt;&lt;secondary-title&gt;Journal of Labor Research&lt;/secondary-title&gt;&lt;/titles&gt;&lt;periodical&gt;&lt;full-title&gt;Journal of Labor Research&lt;/full-title&gt;&lt;/periodical&gt;&lt;pages&gt;379-387&lt;/pages&gt;&lt;volume&gt;9&lt;/volume&gt;&lt;number&gt;4&lt;/number&gt;&lt;dates&gt;&lt;year&gt;1988&lt;/year&gt;&lt;/dates&gt;&lt;urls&gt;&lt;/urls&gt;&lt;/record&gt;&lt;/Cite&gt;&lt;/EndNote&gt;</w:instrText>
      </w:r>
      <w:r w:rsidRPr="005D3F76">
        <w:rPr>
          <w:rFonts w:cs="Times New Roman"/>
          <w:szCs w:val="24"/>
        </w:rPr>
        <w:fldChar w:fldCharType="separate"/>
      </w:r>
      <w:r w:rsidRPr="005D3F76">
        <w:rPr>
          <w:rFonts w:cs="Times New Roman"/>
          <w:noProof/>
          <w:szCs w:val="24"/>
        </w:rPr>
        <w:t>(Moe, 2011; Nelson &amp; Gould, 1988)</w:t>
      </w:r>
      <w:r w:rsidRPr="005D3F76">
        <w:rPr>
          <w:rFonts w:cs="Times New Roman"/>
          <w:szCs w:val="24"/>
        </w:rPr>
        <w:fldChar w:fldCharType="end"/>
      </w:r>
      <w:r w:rsidRPr="005D3F76">
        <w:rPr>
          <w:rFonts w:cs="Times New Roman"/>
          <w:szCs w:val="24"/>
        </w:rPr>
        <w:t xml:space="preserve">. These are just a few of the many benefits that the unions contribute to the educational system. However, the big lie, as Katy Swalwell </w:t>
      </w:r>
      <w:r w:rsidRPr="005D3F76">
        <w:rPr>
          <w:rFonts w:cs="Times New Roman"/>
          <w:szCs w:val="24"/>
        </w:rPr>
        <w:fldChar w:fldCharType="begin"/>
      </w:r>
      <w:r w:rsidRPr="005D3F76">
        <w:rPr>
          <w:rFonts w:cs="Times New Roman"/>
          <w:szCs w:val="24"/>
        </w:rPr>
        <w:instrText xml:space="preserve"> ADDIN EN.CITE &lt;EndNote&gt;&lt;Cite ExcludeAuth="1"&gt;&lt;Author&gt;Swalwell&lt;/Author&gt;&lt;Year&gt;2014&lt;/Year&gt;&lt;RecNum&gt;341&lt;/RecNum&gt;&lt;DisplayText&gt;(2014)&lt;/DisplayText&gt;&lt;record&gt;&lt;rec-number&gt;341&lt;/rec-number&gt;&lt;foreign-keys&gt;&lt;key app="EN" db-id="etwareaz8xpxz3et59b50d9vxrata9z2w2zt" timestamp="1469459024"&gt;341&lt;/key&gt;&lt;/foreign-keys&gt;&lt;ref-type name="Book Section"&gt;5&lt;/ref-type&gt;&lt;contributors&gt;&lt;authors&gt;&lt;author&gt;Katy Swalwell&lt;/author&gt;&lt;/authors&gt;&lt;secondary-authors&gt;&lt;author&gt;P. C. Gorski&lt;/author&gt;&lt;author&gt;K. Zenkov&lt;/author&gt;&lt;/secondary-authors&gt;&lt;/contributors&gt;&lt;titles&gt;&lt;title&gt;Teachers&amp;apos; Unions are Not Bad for Kids&lt;/title&gt;&lt;secondary-title&gt;Big Lies of School Reform: Finding Better Solutions for the Future of Public Education&lt;/secondary-title&gt;&lt;/titles&gt;&lt;dates&gt;&lt;year&gt;2014&lt;/year&gt;&lt;/dates&gt;&lt;pub-location&gt;New York, NY&lt;/pub-location&gt;&lt;publisher&gt;Routledge&lt;/publisher&gt;&lt;urls&gt;&lt;/urls&gt;&lt;/record&gt;&lt;/Cite&gt;&lt;/EndNote&gt;</w:instrText>
      </w:r>
      <w:r w:rsidRPr="005D3F76">
        <w:rPr>
          <w:rFonts w:cs="Times New Roman"/>
          <w:szCs w:val="24"/>
        </w:rPr>
        <w:fldChar w:fldCharType="separate"/>
      </w:r>
      <w:r w:rsidRPr="005D3F76">
        <w:rPr>
          <w:rFonts w:cs="Times New Roman"/>
          <w:noProof/>
          <w:szCs w:val="24"/>
        </w:rPr>
        <w:t>(2014)</w:t>
      </w:r>
      <w:r w:rsidRPr="005D3F76">
        <w:rPr>
          <w:rFonts w:cs="Times New Roman"/>
          <w:szCs w:val="24"/>
        </w:rPr>
        <w:fldChar w:fldCharType="end"/>
      </w:r>
      <w:r w:rsidRPr="005D3F76">
        <w:rPr>
          <w:rFonts w:cs="Times New Roman"/>
          <w:szCs w:val="24"/>
        </w:rPr>
        <w:t xml:space="preserve"> puts it, is that unions are “not doing what’s right for kids” (p. 93). She claims that this idea of ‘not doing what is right for kids,’ some of which we saw concerning the claim that teacher unions are stuck in the past, not wanting real education reform that will improve the outcomes for students, assumes that there are two groups fighting against one another—one that wants what’s best for the kids and the other, what is best for the adults. To union opponents, it can be assumed that what is best for the adults is the idea that schools continue doing what they have always done for student’s generation after generation, while steadily increasing the cost for teacher’s salaries, supplies, and training. Husted and Kenny (2000) call this the equity-efficiency trade off. This simply means that government organizations, including schools, are supposed to be run efficiently, meaning with as few people and as cheaply as possible. However, efficiency is not always the best way to create equality and equity. Schools have to have both, and teacher unions help to add this value to schools.</w:t>
      </w:r>
    </w:p>
    <w:p w14:paraId="48F688E9" w14:textId="77777777" w:rsidR="00C379DD" w:rsidRPr="005D3F76" w:rsidRDefault="00C379DD" w:rsidP="001B1E2A">
      <w:pPr>
        <w:shd w:val="clear" w:color="auto" w:fill="FFFFFF"/>
        <w:ind w:firstLine="720"/>
        <w:rPr>
          <w:rFonts w:cs="Times New Roman"/>
          <w:szCs w:val="24"/>
        </w:rPr>
      </w:pPr>
      <w:r w:rsidRPr="005D3F76">
        <w:rPr>
          <w:rFonts w:cs="Times New Roman"/>
          <w:szCs w:val="24"/>
        </w:rPr>
        <w:t xml:space="preserve">This dualism created in the discourse demonstrated a strong affirmation toward pitting teachers and unions against all others like the government and others; this could be seen in the </w:t>
      </w:r>
      <w:r w:rsidRPr="005D3F76">
        <w:rPr>
          <w:rFonts w:cs="Times New Roman"/>
          <w:szCs w:val="24"/>
        </w:rPr>
        <w:lastRenderedPageBreak/>
        <w:t>discussion in chapter four concerning battle language.  This two-sided argument paints one side, generally the reformers or the governmental entities, as the hero’s, making the other the villains.  It is within this dualistic logic that teacher unions hinder needed or desired changes. Many contend that the new laws and policies like ACT-10 are necessary to combat the apparent corruption of the unions, forcing them to benefit others by stripping them of undeserved advantages</w:t>
      </w:r>
      <w:r w:rsidRPr="005D3F76" w:rsidDel="00BC0D8C">
        <w:rPr>
          <w:rFonts w:cs="Times New Roman"/>
          <w:szCs w:val="24"/>
        </w:rPr>
        <w:t xml:space="preserve"> </w:t>
      </w:r>
      <w:r w:rsidRPr="005D3F76">
        <w:rPr>
          <w:rFonts w:cs="Times New Roman"/>
          <w:szCs w:val="24"/>
        </w:rPr>
        <w:t>and making them ‘accountable’ to the larger public for the first time.</w:t>
      </w:r>
    </w:p>
    <w:p w14:paraId="34EF35A0" w14:textId="77777777" w:rsidR="00C379DD" w:rsidRPr="005D3F76" w:rsidRDefault="00C379DD" w:rsidP="001B1E2A">
      <w:pPr>
        <w:shd w:val="clear" w:color="auto" w:fill="FFFFFF"/>
        <w:rPr>
          <w:rFonts w:cs="Times New Roman"/>
          <w:szCs w:val="24"/>
        </w:rPr>
      </w:pPr>
      <w:r w:rsidRPr="005D3F76">
        <w:rPr>
          <w:rFonts w:cs="Times New Roman"/>
          <w:szCs w:val="24"/>
        </w:rPr>
        <w:tab/>
        <w:t>This logic enables the media to pin education anti-union advocates against the backdrop of the greedy, stodgy</w:t>
      </w:r>
      <w:r w:rsidRPr="005D3F76">
        <w:rPr>
          <w:rStyle w:val="EndnoteReference"/>
          <w:rFonts w:cs="Times New Roman"/>
          <w:szCs w:val="24"/>
        </w:rPr>
        <w:endnoteReference w:id="32"/>
      </w:r>
      <w:r w:rsidRPr="005D3F76">
        <w:rPr>
          <w:rFonts w:cs="Times New Roman"/>
          <w:szCs w:val="24"/>
        </w:rPr>
        <w:t xml:space="preserve"> teacher unions within the discourses. It is clear from my analysis that the media is taking a stand and contends that the reformers and the government are the ones who care about the students, and in turn, they embrace the new policies set forth by laws concerning standardized testing, voucher programs, merit pay, and the like. In essence, how the media frames public sector/teacher unions helps to shape and mold beliefs to the ideologies of the elite </w:t>
      </w:r>
      <w:r w:rsidRPr="005D3F76">
        <w:rPr>
          <w:rFonts w:cs="Times New Roman"/>
          <w:szCs w:val="24"/>
        </w:rPr>
        <w:fldChar w:fldCharType="begin"/>
      </w:r>
      <w:r w:rsidRPr="005D3F76">
        <w:rPr>
          <w:rFonts w:cs="Times New Roman"/>
          <w:szCs w:val="24"/>
        </w:rPr>
        <w:instrText xml:space="preserve"> ADDIN EN.CITE &lt;EndNote&gt;&lt;Cite&gt;&lt;Author&gt;Gramsci&lt;/Author&gt;&lt;Year&gt;1971&lt;/Year&gt;&lt;RecNum&gt;3&lt;/RecNum&gt;&lt;DisplayText&gt;(Gramsci, 1971)&lt;/DisplayText&gt;&lt;record&gt;&lt;rec-number&gt;3&lt;/rec-number&gt;&lt;foreign-keys&gt;&lt;key app="EN" db-id="etwareaz8xpxz3et59b50d9vxrata9z2w2zt" timestamp="1444522353"&gt;3&lt;/key&gt;&lt;/foreign-keys&gt;&lt;ref-type name="Book"&gt;6&lt;/ref-type&gt;&lt;contributors&gt;&lt;authors&gt;&lt;author&gt;Antonio Gramsci&lt;/author&gt;&lt;/authors&gt;&lt;/contributors&gt;&lt;titles&gt;&lt;title&gt;Selections from the Prison Notebooks&lt;/title&gt;&lt;/titles&gt;&lt;dates&gt;&lt;year&gt;1971&lt;/year&gt;&lt;/dates&gt;&lt;pub-location&gt;London&lt;/pub-location&gt;&lt;publisher&gt;Lawrence and Wishart&lt;/publisher&gt;&lt;urls&gt;&lt;/urls&gt;&lt;/record&gt;&lt;/Cite&gt;&lt;/EndNote&gt;</w:instrText>
      </w:r>
      <w:r w:rsidRPr="005D3F76">
        <w:rPr>
          <w:rFonts w:cs="Times New Roman"/>
          <w:szCs w:val="24"/>
        </w:rPr>
        <w:fldChar w:fldCharType="separate"/>
      </w:r>
      <w:r w:rsidRPr="005D3F76">
        <w:rPr>
          <w:rFonts w:cs="Times New Roman"/>
          <w:noProof/>
          <w:szCs w:val="24"/>
        </w:rPr>
        <w:t>(Gramsci, 1971)</w:t>
      </w:r>
      <w:r w:rsidRPr="005D3F76">
        <w:rPr>
          <w:rFonts w:cs="Times New Roman"/>
          <w:szCs w:val="24"/>
        </w:rPr>
        <w:fldChar w:fldCharType="end"/>
      </w:r>
      <w:r w:rsidRPr="005D3F76">
        <w:rPr>
          <w:rFonts w:cs="Times New Roman"/>
          <w:szCs w:val="24"/>
        </w:rPr>
        <w:t>.</w:t>
      </w:r>
    </w:p>
    <w:p w14:paraId="0E579962" w14:textId="77777777" w:rsidR="001B1E2A" w:rsidRPr="005D3F76" w:rsidRDefault="00C379DD" w:rsidP="001B1E2A">
      <w:pPr>
        <w:shd w:val="clear" w:color="auto" w:fill="FFFFFF"/>
        <w:ind w:firstLine="720"/>
        <w:rPr>
          <w:rFonts w:cs="Times New Roman"/>
          <w:szCs w:val="24"/>
        </w:rPr>
      </w:pPr>
      <w:r w:rsidRPr="005D3F76">
        <w:rPr>
          <w:rFonts w:cs="Times New Roman"/>
          <w:szCs w:val="24"/>
        </w:rPr>
        <w:t xml:space="preserve">Although the research in this dissertation brings to light several questioning aspects of the media’s role of the promulgation of anti-union legislation, unfortunately this study does not explain all the different factors that could be in play regarding the anti-union movement. I will discuss the implications of this study at length regarding how the discourse used by the media has impacted public sector/teacher unions. I will also provide my recommendations regarding the media, unions, and policy at large. Finally, I will conclude by writing in regards to the limitations of this study, as well as, areas of further available research. </w:t>
      </w:r>
    </w:p>
    <w:p w14:paraId="23887CE5" w14:textId="51A40497" w:rsidR="00C379DD" w:rsidRPr="005D3F76" w:rsidRDefault="00C379DD" w:rsidP="001B1E2A">
      <w:pPr>
        <w:pStyle w:val="Heading2"/>
        <w:rPr>
          <w:rFonts w:cs="Times New Roman"/>
          <w:szCs w:val="24"/>
        </w:rPr>
      </w:pPr>
      <w:bookmarkStart w:id="26" w:name="_Toc462843646"/>
      <w:r w:rsidRPr="005D3F76">
        <w:rPr>
          <w:rFonts w:cs="Times New Roman"/>
        </w:rPr>
        <w:t>Implications</w:t>
      </w:r>
      <w:bookmarkEnd w:id="26"/>
    </w:p>
    <w:p w14:paraId="462C32C2" w14:textId="77777777" w:rsidR="00C379DD" w:rsidRPr="005D3F76" w:rsidRDefault="00C379DD" w:rsidP="001B1E2A">
      <w:pPr>
        <w:shd w:val="clear" w:color="auto" w:fill="FFFFFF"/>
        <w:ind w:firstLine="720"/>
        <w:rPr>
          <w:rFonts w:cs="Times New Roman"/>
        </w:rPr>
      </w:pPr>
      <w:r w:rsidRPr="005D3F76">
        <w:rPr>
          <w:rFonts w:cs="Times New Roman"/>
        </w:rPr>
        <w:t xml:space="preserve">In the United States, the most numerous of all government bureaucrats are teachers. They operate the most collective and numerous of all governmental agencies—the public schools. </w:t>
      </w:r>
      <w:r w:rsidRPr="005D3F76">
        <w:rPr>
          <w:rFonts w:cs="Times New Roman"/>
        </w:rPr>
        <w:lastRenderedPageBreak/>
        <w:t xml:space="preserve">There are over three million teachers in the U.S., at over 90,000 schools </w:t>
      </w:r>
      <w:r w:rsidRPr="005D3F76">
        <w:rPr>
          <w:rFonts w:cs="Times New Roman"/>
        </w:rPr>
        <w:fldChar w:fldCharType="begin"/>
      </w:r>
      <w:r w:rsidRPr="005D3F76">
        <w:rPr>
          <w:rFonts w:cs="Times New Roman"/>
        </w:rPr>
        <w:instrText xml:space="preserve"> ADDIN EN.CITE &lt;EndNote&gt;&lt;Cite&gt;&lt;Author&gt;Moe&lt;/Author&gt;&lt;Year&gt;2006&lt;/Year&gt;&lt;RecNum&gt;72&lt;/RecNum&gt;&lt;DisplayText&gt;(Moe, 2006)&lt;/DisplayText&gt;&lt;record&gt;&lt;rec-number&gt;72&lt;/rec-number&gt;&lt;foreign-keys&gt;&lt;key app="EN" db-id="etwareaz8xpxz3et59b50d9vxrata9z2w2zt" timestamp="1453824553"&gt;72&lt;/key&gt;&lt;/foreign-keys&gt;&lt;ref-type name="Journal Article"&gt;17&lt;/ref-type&gt;&lt;contributors&gt;&lt;authors&gt;&lt;author&gt;Terry M. Moe&lt;/author&gt;&lt;/authors&gt;&lt;/contributors&gt;&lt;titles&gt;&lt;title&gt;Political Control and the Power of the Agent&lt;/title&gt;&lt;secondary-title&gt;Journal of Law, Economics, &amp;amp; Organization&lt;/secondary-title&gt;&lt;/titles&gt;&lt;periodical&gt;&lt;full-title&gt;Journal of Law, Economics, &amp;amp; Organization&lt;/full-title&gt;&lt;/periodical&gt;&lt;pages&gt;1-29&lt;/pages&gt;&lt;volume&gt;22&lt;/volume&gt;&lt;number&gt;1&lt;/number&gt;&lt;dates&gt;&lt;year&gt;2006&lt;/year&gt;&lt;/dates&gt;&lt;urls&gt;&lt;/urls&gt;&lt;/record&gt;&lt;/Cite&gt;&lt;/EndNote&gt;</w:instrText>
      </w:r>
      <w:r w:rsidRPr="005D3F76">
        <w:rPr>
          <w:rFonts w:cs="Times New Roman"/>
        </w:rPr>
        <w:fldChar w:fldCharType="separate"/>
      </w:r>
      <w:r w:rsidRPr="005D3F76">
        <w:rPr>
          <w:rFonts w:cs="Times New Roman"/>
          <w:noProof/>
        </w:rPr>
        <w:t>(Moe, 2006)</w:t>
      </w:r>
      <w:r w:rsidRPr="005D3F76">
        <w:rPr>
          <w:rFonts w:cs="Times New Roman"/>
        </w:rPr>
        <w:fldChar w:fldCharType="end"/>
      </w:r>
      <w:r w:rsidRPr="005D3F76">
        <w:rPr>
          <w:rFonts w:cs="Times New Roman"/>
        </w:rPr>
        <w:t xml:space="preserve">. And around 45% of all teachers in the U.S. belong to a union </w:t>
      </w:r>
      <w:r w:rsidRPr="005D3F76">
        <w:rPr>
          <w:rFonts w:cs="Times New Roman"/>
        </w:rPr>
        <w:fldChar w:fldCharType="begin"/>
      </w:r>
      <w:r w:rsidRPr="005D3F76">
        <w:rPr>
          <w:rFonts w:cs="Times New Roman"/>
        </w:rPr>
        <w:instrText xml:space="preserve"> ADDIN EN.CITE &lt;EndNote&gt;&lt;Cite&gt;&lt;Author&gt;Moe&lt;/Author&gt;&lt;Year&gt;2006&lt;/Year&gt;&lt;RecNum&gt;72&lt;/RecNum&gt;&lt;DisplayText&gt;(Moe, 2006; U.S. Department of Labor, 2016)&lt;/DisplayText&gt;&lt;record&gt;&lt;rec-number&gt;72&lt;/rec-number&gt;&lt;foreign-keys&gt;&lt;key app="EN" db-id="etwareaz8xpxz3et59b50d9vxrata9z2w2zt" timestamp="1453824553"&gt;72&lt;/key&gt;&lt;/foreign-keys&gt;&lt;ref-type name="Journal Article"&gt;17&lt;/ref-type&gt;&lt;contributors&gt;&lt;authors&gt;&lt;author&gt;Terry M. Moe&lt;/author&gt;&lt;/authors&gt;&lt;/contributors&gt;&lt;titles&gt;&lt;title&gt;Political Control and the Power of the Agent&lt;/title&gt;&lt;secondary-title&gt;Journal of Law, Economics, &amp;amp; Organization&lt;/secondary-title&gt;&lt;/titles&gt;&lt;periodical&gt;&lt;full-title&gt;Journal of Law, Economics, &amp;amp; Organization&lt;/full-title&gt;&lt;/periodical&gt;&lt;pages&gt;1-29&lt;/pages&gt;&lt;volume&gt;22&lt;/volume&gt;&lt;number&gt;1&lt;/number&gt;&lt;dates&gt;&lt;year&gt;2006&lt;/year&gt;&lt;/dates&gt;&lt;urls&gt;&lt;/urls&gt;&lt;/record&gt;&lt;/Cite&gt;&lt;Cite&gt;&lt;Author&gt;U.S. Department of Labor&lt;/Author&gt;&lt;Year&gt;2016&lt;/Year&gt;&lt;RecNum&gt;365&lt;/RecNum&gt;&lt;record&gt;&lt;rec-number&gt;365&lt;/rec-number&gt;&lt;foreign-keys&gt;&lt;key app="EN" db-id="etwareaz8xpxz3et59b50d9vxrata9z2w2zt" timestamp="1471739184"&gt;365&lt;/key&gt;&lt;/foreign-keys&gt;&lt;ref-type name="Report"&gt;27&lt;/ref-type&gt;&lt;contributors&gt;&lt;authors&gt;&lt;author&gt;U.S. Department of Labor,&lt;/author&gt;&lt;/authors&gt;&lt;secondary-authors&gt;&lt;author&gt;Bureau of Labor Statistics&lt;/author&gt;&lt;/secondary-authors&gt;&lt;subsidiary-authors&gt;&lt;author&gt;U.S. Department of Labor&lt;/author&gt;&lt;/subsidiary-authors&gt;&lt;/contributors&gt;&lt;titles&gt;&lt;title&gt;Union Members Summary&lt;/title&gt;&lt;secondary-title&gt;Economic News Release&lt;/secondary-title&gt;&lt;/titles&gt;&lt;number&gt;USDL-16-0158&lt;/number&gt;&lt;dates&gt;&lt;year&gt;2016&lt;/year&gt;&lt;/dates&gt;&lt;pub-location&gt;Washington D.C.&lt;/pub-location&gt;&lt;publisher&gt;U.S. Department of Labor&lt;/publisher&gt;&lt;urls&gt;&lt;/urls&gt;&lt;/record&gt;&lt;/Cite&gt;&lt;/EndNote&gt;</w:instrText>
      </w:r>
      <w:r w:rsidRPr="005D3F76">
        <w:rPr>
          <w:rFonts w:cs="Times New Roman"/>
        </w:rPr>
        <w:fldChar w:fldCharType="separate"/>
      </w:r>
      <w:r w:rsidRPr="005D3F76">
        <w:rPr>
          <w:rFonts w:cs="Times New Roman"/>
          <w:noProof/>
        </w:rPr>
        <w:t>(Moe, 2006; U.S. Department of Labor, 2016)</w:t>
      </w:r>
      <w:r w:rsidRPr="005D3F76">
        <w:rPr>
          <w:rFonts w:cs="Times New Roman"/>
        </w:rPr>
        <w:fldChar w:fldCharType="end"/>
      </w:r>
      <w:r w:rsidRPr="005D3F76">
        <w:rPr>
          <w:rFonts w:cs="Times New Roman"/>
        </w:rPr>
        <w:t xml:space="preserve">. These statistics help to demonstrate the vastness and seeming need that the unions play within the field of public education to help bring together a workforce that is similar, but at the same time, diverse. </w:t>
      </w:r>
    </w:p>
    <w:p w14:paraId="28A426F4" w14:textId="77777777" w:rsidR="00C379DD" w:rsidRPr="005D3F76" w:rsidRDefault="00C379DD" w:rsidP="001B1E2A">
      <w:pPr>
        <w:shd w:val="clear" w:color="auto" w:fill="FFFFFF"/>
        <w:ind w:firstLine="720"/>
        <w:rPr>
          <w:rFonts w:cs="Times New Roman"/>
        </w:rPr>
      </w:pPr>
      <w:r w:rsidRPr="005D3F76">
        <w:rPr>
          <w:rFonts w:cs="Times New Roman"/>
        </w:rPr>
        <w:t xml:space="preserve">Some political theorists, like Deborah Stone </w:t>
      </w:r>
      <w:r w:rsidRPr="005D3F76">
        <w:rPr>
          <w:rFonts w:cs="Times New Roman"/>
        </w:rPr>
        <w:fldChar w:fldCharType="begin"/>
      </w:r>
      <w:r w:rsidRPr="005D3F76">
        <w:rPr>
          <w:rFonts w:cs="Times New Roman"/>
        </w:rPr>
        <w:instrText xml:space="preserve"> ADDIN EN.CITE &lt;EndNote&gt;&lt;Cite ExcludeAuth="1"&gt;&lt;Author&gt;Stone&lt;/Author&gt;&lt;Year&gt;1989&lt;/Year&gt;&lt;RecNum&gt;343&lt;/RecNum&gt;&lt;DisplayText&gt;(1989)&lt;/DisplayText&gt;&lt;record&gt;&lt;rec-number&gt;343&lt;/rec-number&gt;&lt;foreign-keys&gt;&lt;key app="EN" db-id="etwareaz8xpxz3et59b50d9vxrata9z2w2zt" timestamp="1469466616"&gt;343&lt;/key&gt;&lt;/foreign-keys&gt;&lt;ref-type name="Journal Article"&gt;17&lt;/ref-type&gt;&lt;contributors&gt;&lt;authors&gt;&lt;author&gt;Deborah A. Stone&lt;/author&gt;&lt;/authors&gt;&lt;/contributors&gt;&lt;titles&gt;&lt;title&gt;Casual Stories and the Formation of Policy Agendas&lt;/title&gt;&lt;secondary-title&gt;Political Science Quarterly&lt;/secondary-title&gt;&lt;/titles&gt;&lt;periodical&gt;&lt;full-title&gt;Political Science Quarterly&lt;/full-title&gt;&lt;/periodical&gt;&lt;pages&gt;281-300&lt;/pages&gt;&lt;volume&gt;104&lt;/volume&gt;&lt;number&gt;2&lt;/number&gt;&lt;dates&gt;&lt;year&gt;1989&lt;/year&gt;&lt;/dates&gt;&lt;urls&gt;&lt;/urls&gt;&lt;/record&gt;&lt;/Cite&gt;&lt;/EndNote&gt;</w:instrText>
      </w:r>
      <w:r w:rsidRPr="005D3F76">
        <w:rPr>
          <w:rFonts w:cs="Times New Roman"/>
        </w:rPr>
        <w:fldChar w:fldCharType="separate"/>
      </w:r>
      <w:r w:rsidRPr="005D3F76">
        <w:rPr>
          <w:rFonts w:cs="Times New Roman"/>
          <w:noProof/>
        </w:rPr>
        <w:t>(1989)</w:t>
      </w:r>
      <w:r w:rsidRPr="005D3F76">
        <w:rPr>
          <w:rFonts w:cs="Times New Roman"/>
        </w:rPr>
        <w:fldChar w:fldCharType="end"/>
      </w:r>
      <w:r w:rsidRPr="005D3F76">
        <w:rPr>
          <w:rFonts w:cs="Times New Roman"/>
        </w:rPr>
        <w:t xml:space="preserve">, write that often times “people who are victimized by a problem do not seek political change because they do not see the problem as changeable, do not believe they could bring about change, and need the material resources for survival provided by the status quo” (p. 288).  In the case of public school teachers, the money they need for survival is provided by the state and federal governments. Although this may be the case in some instances, teachers, through the movements of their unions, have tried and succeeded in bringing about change within their respective areas. We have seen this throughout the history of the teacher unions as they have fought for and won issues, such as, collective bargaining and tenure rights, better working conditions, better pay and benefits, and the like. However, with the media using its discourse to frame public sector unions, especially teacher unions in particular, in ways that demonstrate a too politically powerful and savvy organization; </w:t>
      </w:r>
      <w:r w:rsidRPr="005D3F76">
        <w:rPr>
          <w:rFonts w:cs="Times New Roman"/>
          <w:strike/>
        </w:rPr>
        <w:t>the worse</w:t>
      </w:r>
      <w:r w:rsidRPr="005D3F76">
        <w:rPr>
          <w:rFonts w:cs="Times New Roman"/>
        </w:rPr>
        <w:t xml:space="preserve"> the teachers are looked down upon for being part of the union. We witnessed this degradation of teachers within the media, in the strand described in chapter four, </w:t>
      </w:r>
      <w:r w:rsidRPr="005D3F76">
        <w:rPr>
          <w:rFonts w:cs="Times New Roman"/>
          <w:i/>
        </w:rPr>
        <w:t>Teachers as Defunct Agents</w:t>
      </w:r>
      <w:r w:rsidRPr="005D3F76">
        <w:rPr>
          <w:rFonts w:cs="Times New Roman"/>
        </w:rPr>
        <w:t xml:space="preserve">. </w:t>
      </w:r>
    </w:p>
    <w:p w14:paraId="3C771663" w14:textId="77777777" w:rsidR="00C379DD" w:rsidRPr="005D3F76" w:rsidRDefault="00C379DD" w:rsidP="001B1E2A">
      <w:pPr>
        <w:ind w:firstLine="720"/>
        <w:rPr>
          <w:rFonts w:cs="Times New Roman"/>
        </w:rPr>
      </w:pPr>
      <w:r w:rsidRPr="005D3F76">
        <w:rPr>
          <w:rFonts w:cs="Times New Roman"/>
        </w:rPr>
        <w:t xml:space="preserve">The negative outlook through the discourse provided by the media of teachers within Wisconsin has huge implications for them and the future of teaching. Alan Singer </w:t>
      </w:r>
      <w:r w:rsidRPr="005D3F76">
        <w:rPr>
          <w:rFonts w:cs="Times New Roman"/>
        </w:rPr>
        <w:fldChar w:fldCharType="begin"/>
      </w:r>
      <w:r w:rsidRPr="005D3F76">
        <w:rPr>
          <w:rFonts w:cs="Times New Roman"/>
        </w:rPr>
        <w:instrText xml:space="preserve"> ADDIN EN.CITE &lt;EndNote&gt;&lt;Cite ExcludeAuth="1"&gt;&lt;Author&gt;Singer&lt;/Author&gt;&lt;Year&gt;2016&lt;/Year&gt;&lt;RecNum&gt;361&lt;/RecNum&gt;&lt;DisplayText&gt;(2016)&lt;/DisplayText&gt;&lt;record&gt;&lt;rec-number&gt;361&lt;/rec-number&gt;&lt;foreign-keys&gt;&lt;key app="EN" db-id="etwareaz8xpxz3et59b50d9vxrata9z2w2zt" timestamp="1471303459"&gt;361&lt;/key&gt;&lt;/foreign-keys&gt;&lt;ref-type name="Blog"&gt;56&lt;/ref-type&gt;&lt;contributors&gt;&lt;authors&gt;&lt;author&gt;Alan Singer&lt;/author&gt;&lt;/authors&gt;&lt;secondary-authors&gt;&lt;author&gt;The Huffington Post&lt;/author&gt;&lt;/secondary-authors&gt;&lt;/contributors&gt;&lt;titles&gt;&lt;title&gt;This is Bad! Attack on Teacher Unions is an Attack on Students, Workers and Democracy&lt;/title&gt;&lt;secondary-title&gt;Edition US&lt;/secondary-title&gt;&lt;/titles&gt;&lt;volume&gt;2016&lt;/volume&gt;&lt;number&gt;August&lt;/number&gt;&lt;dates&gt;&lt;year&gt;2016&lt;/year&gt;&lt;/dates&gt;&lt;publisher&gt;The Huffington Post&lt;/publisher&gt;&lt;urls&gt;&lt;related-urls&gt;&lt;url&gt;http://www.huffingtonpost.com/alan-singer/this-is-bad-attack-on-tea_b_8977606.html&lt;/url&gt;&lt;/related-urls&gt;&lt;/urls&gt;&lt;/record&gt;&lt;/Cite&gt;&lt;/EndNote&gt;</w:instrText>
      </w:r>
      <w:r w:rsidRPr="005D3F76">
        <w:rPr>
          <w:rFonts w:cs="Times New Roman"/>
        </w:rPr>
        <w:fldChar w:fldCharType="separate"/>
      </w:r>
      <w:r w:rsidRPr="005D3F76">
        <w:rPr>
          <w:rFonts w:cs="Times New Roman"/>
          <w:noProof/>
        </w:rPr>
        <w:t>(2016)</w:t>
      </w:r>
      <w:r w:rsidRPr="005D3F76">
        <w:rPr>
          <w:rFonts w:cs="Times New Roman"/>
        </w:rPr>
        <w:fldChar w:fldCharType="end"/>
      </w:r>
      <w:r w:rsidRPr="005D3F76">
        <w:rPr>
          <w:rFonts w:cs="Times New Roman"/>
        </w:rPr>
        <w:t xml:space="preserve"> explains well the implications that are arising from such discourse:</w:t>
      </w:r>
    </w:p>
    <w:p w14:paraId="3FA2B333" w14:textId="77777777" w:rsidR="00C379DD" w:rsidRPr="005D3F76" w:rsidRDefault="00C379DD" w:rsidP="001B1E2A">
      <w:pPr>
        <w:ind w:left="720"/>
        <w:rPr>
          <w:rFonts w:cs="Times New Roman"/>
        </w:rPr>
      </w:pPr>
      <w:r w:rsidRPr="005D3F76">
        <w:rPr>
          <w:rFonts w:cs="Times New Roman"/>
          <w:i/>
        </w:rPr>
        <w:lastRenderedPageBreak/>
        <w:t xml:space="preserve">We all benefit from a teachers union that fights for maintaining teaching as a profession rather than a temporary job. We also all benefit from public employees unions that oppose budget cuts and tax cuts for the wealthy, support active government involvement in regulating and promoting economic development, and fight for wages and benefits that support middle-class families. Teachers and public employee unions were an important part of the New Deal coalition of the 1930’s that fought for Social Security, were active in the Civil Rights movement of the 1950s and 1960s, and teacher unions were especially active in recent campaigns against the Common Core aligned high stakes testing of students that have forced the federal government to revise some of its mandates. </w:t>
      </w:r>
      <w:r w:rsidRPr="005D3F76">
        <w:rPr>
          <w:rFonts w:cs="Times New Roman"/>
        </w:rPr>
        <w:t>(para. 14)</w:t>
      </w:r>
    </w:p>
    <w:p w14:paraId="5FC18032" w14:textId="77777777" w:rsidR="00C379DD" w:rsidRPr="005D3F76" w:rsidRDefault="00C379DD" w:rsidP="001B1E2A">
      <w:pPr>
        <w:rPr>
          <w:rFonts w:cs="Times New Roman"/>
        </w:rPr>
      </w:pPr>
      <w:r w:rsidRPr="005D3F76">
        <w:rPr>
          <w:rFonts w:cs="Times New Roman"/>
        </w:rPr>
        <w:t xml:space="preserve">To this we can add the predictability that more new laws and policies will be enacted that are detrimental to the education systems (i.e. budget cuts, curriculum narrowing, etc.) in and outside of Wisconsin, as what happened there with ACT-10 sets a precedence for the rest of the U.S. to follow. </w:t>
      </w:r>
    </w:p>
    <w:p w14:paraId="1D5FE1BF" w14:textId="77777777" w:rsidR="00C379DD" w:rsidRPr="005D3F76" w:rsidRDefault="00C379DD" w:rsidP="001B1E2A">
      <w:pPr>
        <w:ind w:firstLine="720"/>
        <w:rPr>
          <w:rFonts w:cs="Times New Roman"/>
        </w:rPr>
      </w:pPr>
      <w:r w:rsidRPr="005D3F76">
        <w:rPr>
          <w:rFonts w:cs="Times New Roman"/>
        </w:rPr>
        <w:t xml:space="preserve">Some may ask how is this different from what has been previously written in regards to teachers throughout the U.S.? What is different is that the newspapers don’t just outright demonstrate or concentrate within their articles on the inadequacies of the teachers; rather, the articles hide the agenda of the need for tighter policy and new laws to ‘control’ the ‘lazy’ teachers within the discourse of ‘bad teachers’, so they can fire the teachers whom they feel are not performing to standards deemed appropriate under the new laws and policies. Further, by controlling and severely limiting collective bargaining rights through laws like ACT 10, the state again reinforces that the teachers are a low priority, and they are in fact the ones that are standing in the way of real educational reform. </w:t>
      </w:r>
    </w:p>
    <w:p w14:paraId="02641F3A" w14:textId="77777777" w:rsidR="00C379DD" w:rsidRPr="005D3F76" w:rsidRDefault="00C379DD" w:rsidP="001B1E2A">
      <w:pPr>
        <w:ind w:firstLine="720"/>
        <w:rPr>
          <w:rFonts w:cs="Times New Roman"/>
        </w:rPr>
      </w:pPr>
      <w:r w:rsidRPr="005D3F76">
        <w:rPr>
          <w:rFonts w:cs="Times New Roman"/>
        </w:rPr>
        <w:lastRenderedPageBreak/>
        <w:t xml:space="preserve">As it was pointed out in chapter three, Van Dijk </w:t>
      </w:r>
      <w:r w:rsidRPr="005D3F76">
        <w:rPr>
          <w:rFonts w:cs="Times New Roman"/>
        </w:rPr>
        <w:fldChar w:fldCharType="begin"/>
      </w:r>
      <w:r w:rsidRPr="005D3F76">
        <w:rPr>
          <w:rFonts w:cs="Times New Roman"/>
        </w:rPr>
        <w:instrText xml:space="preserve"> ADDIN EN.CITE &lt;EndNote&gt;&lt;Cite ExcludeAuth="1"&gt;&lt;Author&gt;van Dijk&lt;/Author&gt;&lt;Year&gt;2001&lt;/Year&gt;&lt;RecNum&gt;245&lt;/RecNum&gt;&lt;DisplayText&gt;(2001)&lt;/DisplayText&gt;&lt;record&gt;&lt;rec-number&gt;245&lt;/rec-number&gt;&lt;foreign-keys&gt;&lt;key app="EN" db-id="etwareaz8xpxz3et59b50d9vxrata9z2w2zt" timestamp="1464027677"&gt;245&lt;/key&gt;&lt;/foreign-keys&gt;&lt;ref-type name="Book Section"&gt;5&lt;/ref-type&gt;&lt;contributors&gt;&lt;authors&gt;&lt;author&gt;van Dijk, Teun&lt;/author&gt;&lt;/authors&gt;&lt;secondary-authors&gt;&lt;author&gt;M. Wetherwell&lt;/author&gt;&lt;/secondary-authors&gt;&lt;/contributors&gt;&lt;titles&gt;&lt;title&gt;Principles of critical discourse analysis&lt;/title&gt;&lt;secondary-title&gt;Discourse theory and practice&lt;/secondary-title&gt;&lt;/titles&gt;&lt;pages&gt;300-318&lt;/pages&gt;&lt;dates&gt;&lt;year&gt;2001&lt;/year&gt;&lt;/dates&gt;&lt;pub-location&gt;U.K.&lt;/pub-location&gt;&lt;publisher&gt;The Open university&lt;/publisher&gt;&lt;urls&gt;&lt;/urls&gt;&lt;/record&gt;&lt;/Cite&gt;&lt;/EndNote&gt;</w:instrText>
      </w:r>
      <w:r w:rsidRPr="005D3F76">
        <w:rPr>
          <w:rFonts w:cs="Times New Roman"/>
        </w:rPr>
        <w:fldChar w:fldCharType="separate"/>
      </w:r>
      <w:r w:rsidRPr="005D3F76">
        <w:rPr>
          <w:rFonts w:cs="Times New Roman"/>
          <w:noProof/>
        </w:rPr>
        <w:t>(2001)</w:t>
      </w:r>
      <w:r w:rsidRPr="005D3F76">
        <w:rPr>
          <w:rFonts w:cs="Times New Roman"/>
        </w:rPr>
        <w:fldChar w:fldCharType="end"/>
      </w:r>
      <w:r w:rsidRPr="005D3F76">
        <w:rPr>
          <w:rFonts w:cs="Times New Roman"/>
        </w:rPr>
        <w:t xml:space="preserve"> writes about how dangerous the hidden ideologies are within texts. Accordingly, these negative discourses that are subtly implied and tightly controlled within the articles that were researched, lead the general reader to assume that the reason that the new laws are being put into place is because bad teachers are being protected by the unions, whom are also a ‘bad’ influence within the education system. Some of the implications of this kind of discourse pertaining to the teachers themselves have already started to affect the education system within Wisconsin. In 2015, the Joint Committee on Finance of the state legislature in Wisconsin, brought the old adage…’anyone can teach’…to fruition when they proposed new laws that were slipped into the bill for the upcoming budget that would essentially eliminate teacher licensing standards for many public school teachers, along with oftentimes only requiring the individual to have graduated from high school with a regular diploma</w:t>
      </w:r>
      <w:r w:rsidRPr="005D3F76">
        <w:rPr>
          <w:rStyle w:val="EndnoteReference"/>
          <w:rFonts w:cs="Times New Roman"/>
        </w:rPr>
        <w:endnoteReference w:id="33"/>
      </w:r>
      <w:r w:rsidRPr="005D3F76">
        <w:rPr>
          <w:rFonts w:cs="Times New Roman"/>
        </w:rPr>
        <w:t xml:space="preserve"> </w:t>
      </w:r>
      <w:r w:rsidRPr="005D3F76">
        <w:rPr>
          <w:rFonts w:cs="Times New Roman"/>
        </w:rPr>
        <w:fldChar w:fldCharType="begin"/>
      </w:r>
      <w:r w:rsidRPr="005D3F76">
        <w:rPr>
          <w:rFonts w:cs="Times New Roman"/>
        </w:rPr>
        <w:instrText xml:space="preserve"> ADDIN EN.CITE &lt;EndNote&gt;&lt;Cite&gt;&lt;Author&gt;Strauss&lt;/Author&gt;&lt;Year&gt;2015&lt;/Year&gt;&lt;RecNum&gt;344&lt;/RecNum&gt;&lt;DisplayText&gt;(Strauss, 2015)&lt;/DisplayText&gt;&lt;record&gt;&lt;rec-number&gt;344&lt;/rec-number&gt;&lt;foreign-keys&gt;&lt;key app="EN" db-id="etwareaz8xpxz3et59b50d9vxrata9z2w2zt" timestamp="1469555063"&gt;344&lt;/key&gt;&lt;/foreign-keys&gt;&lt;ref-type name="Newspaper Article"&gt;23&lt;/ref-type&gt;&lt;contributors&gt;&lt;authors&gt;&lt;author&gt;Valerie Strauss&lt;/author&gt;&lt;/authors&gt;&lt;/contributors&gt;&lt;titles&gt;&lt;title&gt;What the Heck is Going on with Wisconsin Public Education?&lt;/title&gt;&lt;secondary-title&gt;The Washington Post&lt;/secondary-title&gt;&lt;/titles&gt;&lt;section&gt;Answer Sheet&lt;/section&gt;&lt;dates&gt;&lt;year&gt;2015&lt;/year&gt;&lt;/dates&gt;&lt;pub-location&gt;Washington D.C.&lt;/pub-location&gt;&lt;urls&gt;&lt;/urls&gt;&lt;/record&gt;&lt;/Cite&gt;&lt;/EndNote&gt;</w:instrText>
      </w:r>
      <w:r w:rsidRPr="005D3F76">
        <w:rPr>
          <w:rFonts w:cs="Times New Roman"/>
        </w:rPr>
        <w:fldChar w:fldCharType="separate"/>
      </w:r>
      <w:r w:rsidRPr="005D3F76">
        <w:rPr>
          <w:rFonts w:cs="Times New Roman"/>
          <w:noProof/>
        </w:rPr>
        <w:t>(Strauss, 2015)</w:t>
      </w:r>
      <w:r w:rsidRPr="005D3F76">
        <w:rPr>
          <w:rFonts w:cs="Times New Roman"/>
        </w:rPr>
        <w:fldChar w:fldCharType="end"/>
      </w:r>
      <w:r w:rsidRPr="005D3F76">
        <w:rPr>
          <w:rFonts w:cs="Times New Roman"/>
        </w:rPr>
        <w:t xml:space="preserve">. Taking this one step further, in non-core curriculum classes, such as art, music, and other electives, individuals would not even be required to have a high school diploma or GED, but rather they would be hired on the grounds of their ‘expertise’ in a particular field. </w:t>
      </w:r>
    </w:p>
    <w:p w14:paraId="560EA872" w14:textId="77777777" w:rsidR="00C379DD" w:rsidRPr="005D3F76" w:rsidRDefault="00C379DD" w:rsidP="001B1E2A">
      <w:pPr>
        <w:ind w:firstLine="720"/>
        <w:rPr>
          <w:rFonts w:cs="Times New Roman"/>
        </w:rPr>
      </w:pPr>
      <w:r w:rsidRPr="005D3F76">
        <w:rPr>
          <w:rFonts w:cs="Times New Roman"/>
        </w:rPr>
        <w:t xml:space="preserve">Although there is some research that claims that credentials for teaching do not necessarily necessitate a better teaching outcome, the overwhelming majority of research supports the need for, at the very least, programs, such as those found in teacher education colleges and universities throughout the country </w:t>
      </w:r>
      <w:r w:rsidRPr="005D3F76">
        <w:rPr>
          <w:rFonts w:cs="Times New Roman"/>
        </w:rPr>
        <w:fldChar w:fldCharType="begin"/>
      </w:r>
      <w:r w:rsidRPr="005D3F76">
        <w:rPr>
          <w:rFonts w:cs="Times New Roman"/>
        </w:rPr>
        <w:instrText xml:space="preserve"> ADDIN EN.CITE &lt;EndNote&gt;&lt;Cite&gt;&lt;Author&gt;Darling-Hammond&lt;/Author&gt;&lt;Year&gt;2000&lt;/Year&gt;&lt;RecNum&gt;362&lt;/RecNum&gt;&lt;DisplayText&gt;(Cochran-Smith, 2002; Darling-Hammond, 2000)&lt;/DisplayText&gt;&lt;record&gt;&lt;rec-number&gt;362&lt;/rec-number&gt;&lt;foreign-keys&gt;&lt;key app="EN" db-id="etwareaz8xpxz3et59b50d9vxrata9z2w2zt" timestamp="1471306853"&gt;362&lt;/key&gt;&lt;/foreign-keys&gt;&lt;ref-type name="Journal Article"&gt;17&lt;/ref-type&gt;&lt;contributors&gt;&lt;authors&gt;&lt;author&gt;Linda Darling-Hammond&lt;/author&gt;&lt;/authors&gt;&lt;/contributors&gt;&lt;titles&gt;&lt;title&gt;Teacher Quality and Student Achievement&lt;/title&gt;&lt;secondary-title&gt;Educational Policy Analysis Archives&lt;/secondary-title&gt;&lt;/titles&gt;&lt;periodical&gt;&lt;full-title&gt;Educational Policy Analysis Archives&lt;/full-title&gt;&lt;/periodical&gt;&lt;pages&gt;1-44&lt;/pages&gt;&lt;volume&gt;8&lt;/volume&gt;&lt;number&gt;1&lt;/number&gt;&lt;dates&gt;&lt;year&gt;2000&lt;/year&gt;&lt;/dates&gt;&lt;urls&gt;&lt;/urls&gt;&lt;/record&gt;&lt;/Cite&gt;&lt;Cite&gt;&lt;Author&gt;Cochran-Smith&lt;/Author&gt;&lt;Year&gt;2002&lt;/Year&gt;&lt;RecNum&gt;363&lt;/RecNum&gt;&lt;record&gt;&lt;rec-number&gt;363&lt;/rec-number&gt;&lt;foreign-keys&gt;&lt;key app="EN" db-id="etwareaz8xpxz3et59b50d9vxrata9z2w2zt" timestamp="1471307925"&gt;363&lt;/key&gt;&lt;/foreign-keys&gt;&lt;ref-type name="Journal Article"&gt;17&lt;/ref-type&gt;&lt;contributors&gt;&lt;authors&gt;&lt;author&gt;Marilyn Cochran-Smith&lt;/author&gt;&lt;/authors&gt;&lt;/contributors&gt;&lt;titles&gt;&lt;title&gt;What a Difference a Definition Makes; Highly Qualified Teachers, Scientific Research, and Teacher Educcation&lt;/title&gt;&lt;secondary-title&gt;Journal of Teacher Education&lt;/secondary-title&gt;&lt;/titles&gt;&lt;periodical&gt;&lt;full-title&gt;Journal of Teacher Education&lt;/full-title&gt;&lt;/periodical&gt;&lt;pages&gt;187-202&lt;/pages&gt;&lt;volume&gt;53&lt;/volume&gt;&lt;number&gt;3&lt;/number&gt;&lt;dates&gt;&lt;year&gt;2002&lt;/year&gt;&lt;/dates&gt;&lt;urls&gt;&lt;/urls&gt;&lt;/record&gt;&lt;/Cite&gt;&lt;/EndNote&gt;</w:instrText>
      </w:r>
      <w:r w:rsidRPr="005D3F76">
        <w:rPr>
          <w:rFonts w:cs="Times New Roman"/>
        </w:rPr>
        <w:fldChar w:fldCharType="separate"/>
      </w:r>
      <w:r w:rsidRPr="005D3F76">
        <w:rPr>
          <w:rFonts w:cs="Times New Roman"/>
          <w:noProof/>
        </w:rPr>
        <w:t>(Cochran-Smith, 2002; Darling-Hammond, 2000)</w:t>
      </w:r>
      <w:r w:rsidRPr="005D3F76">
        <w:rPr>
          <w:rFonts w:cs="Times New Roman"/>
        </w:rPr>
        <w:fldChar w:fldCharType="end"/>
      </w:r>
      <w:r w:rsidRPr="005D3F76">
        <w:rPr>
          <w:rFonts w:cs="Times New Roman"/>
        </w:rPr>
        <w:t xml:space="preserve">. These teacher programs teach individuals about the development of children, along with the techniques and application of the understanding of basic educational strategies in and outside the area of expertise for K-12 </w:t>
      </w:r>
      <w:r w:rsidRPr="005D3F76">
        <w:rPr>
          <w:rFonts w:cs="Times New Roman"/>
        </w:rPr>
        <w:fldChar w:fldCharType="begin"/>
      </w:r>
      <w:r w:rsidRPr="005D3F76">
        <w:rPr>
          <w:rFonts w:cs="Times New Roman"/>
        </w:rPr>
        <w:instrText xml:space="preserve"> ADDIN EN.CITE &lt;EndNote&gt;&lt;Cite&gt;&lt;Author&gt;Darling-Hammond&lt;/Author&gt;&lt;Year&gt;2000&lt;/Year&gt;&lt;RecNum&gt;362&lt;/RecNum&gt;&lt;DisplayText&gt;(Darling-Hammond, 2000)&lt;/DisplayText&gt;&lt;record&gt;&lt;rec-number&gt;362&lt;/rec-number&gt;&lt;foreign-keys&gt;&lt;key app="EN" db-id="etwareaz8xpxz3et59b50d9vxrata9z2w2zt" timestamp="1471306853"&gt;362&lt;/key&gt;&lt;/foreign-keys&gt;&lt;ref-type name="Journal Article"&gt;17&lt;/ref-type&gt;&lt;contributors&gt;&lt;authors&gt;&lt;author&gt;Linda Darling-Hammond&lt;/author&gt;&lt;/authors&gt;&lt;/contributors&gt;&lt;titles&gt;&lt;title&gt;Teacher Quality and Student Achievement&lt;/title&gt;&lt;secondary-title&gt;Educational Policy Analysis Archives&lt;/secondary-title&gt;&lt;/titles&gt;&lt;periodical&gt;&lt;full-title&gt;Educational Policy Analysis Archives&lt;/full-title&gt;&lt;/periodical&gt;&lt;pages&gt;1-44&lt;/pages&gt;&lt;volume&gt;8&lt;/volume&gt;&lt;number&gt;1&lt;/number&gt;&lt;dates&gt;&lt;year&gt;2000&lt;/year&gt;&lt;/dates&gt;&lt;urls&gt;&lt;/urls&gt;&lt;/record&gt;&lt;/Cite&gt;&lt;/EndNote&gt;</w:instrText>
      </w:r>
      <w:r w:rsidRPr="005D3F76">
        <w:rPr>
          <w:rFonts w:cs="Times New Roman"/>
        </w:rPr>
        <w:fldChar w:fldCharType="separate"/>
      </w:r>
      <w:r w:rsidRPr="005D3F76">
        <w:rPr>
          <w:rFonts w:cs="Times New Roman"/>
          <w:noProof/>
        </w:rPr>
        <w:t>(Darling-Hammond, 2000)</w:t>
      </w:r>
      <w:r w:rsidRPr="005D3F76">
        <w:rPr>
          <w:rFonts w:cs="Times New Roman"/>
        </w:rPr>
        <w:fldChar w:fldCharType="end"/>
      </w:r>
      <w:r w:rsidRPr="005D3F76">
        <w:rPr>
          <w:rFonts w:cs="Times New Roman"/>
        </w:rPr>
        <w:t xml:space="preserve">  Many of these teacher preparation programs have seen drastic cuts in their funding over the last 10-15 years, leaving many classes </w:t>
      </w:r>
      <w:r w:rsidRPr="005D3F76">
        <w:rPr>
          <w:rFonts w:cs="Times New Roman"/>
        </w:rPr>
        <w:lastRenderedPageBreak/>
        <w:t xml:space="preserve">that politicians feel unnecessary (the philosophy of teaching, the history of teaching, the sociology of teaching, etc.) to be slashed from teacher preparation programs </w:t>
      </w:r>
      <w:r w:rsidRPr="005D3F76">
        <w:rPr>
          <w:rFonts w:cs="Times New Roman"/>
        </w:rPr>
        <w:fldChar w:fldCharType="begin"/>
      </w:r>
      <w:r w:rsidRPr="005D3F76">
        <w:rPr>
          <w:rFonts w:cs="Times New Roman"/>
        </w:rPr>
        <w:instrText xml:space="preserve"> ADDIN EN.CITE &lt;EndNote&gt;&lt;Cite&gt;&lt;Author&gt;Zeichner&lt;/Author&gt;&lt;Year&gt;2006&lt;/Year&gt;&lt;RecNum&gt;364&lt;/RecNum&gt;&lt;DisplayText&gt;(Zeichner, 2006)&lt;/DisplayText&gt;&lt;record&gt;&lt;rec-number&gt;364&lt;/rec-number&gt;&lt;foreign-keys&gt;&lt;key app="EN" db-id="etwareaz8xpxz3et59b50d9vxrata9z2w2zt" timestamp="1471308329"&gt;364&lt;/key&gt;&lt;/foreign-keys&gt;&lt;ref-type name="Journal Article"&gt;17&lt;/ref-type&gt;&lt;contributors&gt;&lt;authors&gt;&lt;author&gt;Ken Zeichner&lt;/author&gt;&lt;/authors&gt;&lt;/contributors&gt;&lt;titles&gt;&lt;title&gt;Reflections of a University-Based Teacher Educator on the Future of College-and-University-Based Teacher Education&lt;/title&gt;&lt;secondary-title&gt;Journal of Teacher Education&lt;/secondary-title&gt;&lt;/titles&gt;&lt;periodical&gt;&lt;full-title&gt;Journal of Teacher Education&lt;/full-title&gt;&lt;/periodical&gt;&lt;pages&gt;326-340&lt;/pages&gt;&lt;volume&gt;57&lt;/volume&gt;&lt;number&gt;3&lt;/number&gt;&lt;dates&gt;&lt;year&gt;2006&lt;/year&gt;&lt;/dates&gt;&lt;urls&gt;&lt;/urls&gt;&lt;/record&gt;&lt;/Cite&gt;&lt;/EndNote&gt;</w:instrText>
      </w:r>
      <w:r w:rsidRPr="005D3F76">
        <w:rPr>
          <w:rFonts w:cs="Times New Roman"/>
        </w:rPr>
        <w:fldChar w:fldCharType="separate"/>
      </w:r>
      <w:r w:rsidRPr="005D3F76">
        <w:rPr>
          <w:rFonts w:cs="Times New Roman"/>
          <w:noProof/>
        </w:rPr>
        <w:t>(Zeichner, 2006)</w:t>
      </w:r>
      <w:r w:rsidRPr="005D3F76">
        <w:rPr>
          <w:rFonts w:cs="Times New Roman"/>
        </w:rPr>
        <w:fldChar w:fldCharType="end"/>
      </w:r>
      <w:r w:rsidRPr="005D3F76">
        <w:rPr>
          <w:rFonts w:cs="Times New Roman"/>
        </w:rPr>
        <w:t xml:space="preserve">. But it is these classes, along with all the others that teachers take in and outside their programs that make good teachers </w:t>
      </w:r>
      <w:r w:rsidRPr="005D3F76">
        <w:rPr>
          <w:rFonts w:cs="Times New Roman"/>
        </w:rPr>
        <w:fldChar w:fldCharType="begin"/>
      </w:r>
      <w:r w:rsidRPr="005D3F76">
        <w:rPr>
          <w:rFonts w:cs="Times New Roman"/>
        </w:rPr>
        <w:instrText xml:space="preserve"> ADDIN EN.CITE &lt;EndNote&gt;&lt;Cite&gt;&lt;Author&gt;Darling-Hammond&lt;/Author&gt;&lt;Year&gt;2000&lt;/Year&gt;&lt;RecNum&gt;362&lt;/RecNum&gt;&lt;DisplayText&gt;(Darling-Hammond, 2000)&lt;/DisplayText&gt;&lt;record&gt;&lt;rec-number&gt;362&lt;/rec-number&gt;&lt;foreign-keys&gt;&lt;key app="EN" db-id="etwareaz8xpxz3et59b50d9vxrata9z2w2zt" timestamp="1471306853"&gt;362&lt;/key&gt;&lt;/foreign-keys&gt;&lt;ref-type name="Journal Article"&gt;17&lt;/ref-type&gt;&lt;contributors&gt;&lt;authors&gt;&lt;author&gt;Linda Darling-Hammond&lt;/author&gt;&lt;/authors&gt;&lt;/contributors&gt;&lt;titles&gt;&lt;title&gt;Teacher Quality and Student Achievement&lt;/title&gt;&lt;secondary-title&gt;Educational Policy Analysis Archives&lt;/secondary-title&gt;&lt;/titles&gt;&lt;periodical&gt;&lt;full-title&gt;Educational Policy Analysis Archives&lt;/full-title&gt;&lt;/periodical&gt;&lt;pages&gt;1-44&lt;/pages&gt;&lt;volume&gt;8&lt;/volume&gt;&lt;number&gt;1&lt;/number&gt;&lt;dates&gt;&lt;year&gt;2000&lt;/year&gt;&lt;/dates&gt;&lt;urls&gt;&lt;/urls&gt;&lt;/record&gt;&lt;/Cite&gt;&lt;/EndNote&gt;</w:instrText>
      </w:r>
      <w:r w:rsidRPr="005D3F76">
        <w:rPr>
          <w:rFonts w:cs="Times New Roman"/>
        </w:rPr>
        <w:fldChar w:fldCharType="separate"/>
      </w:r>
      <w:r w:rsidRPr="005D3F76">
        <w:rPr>
          <w:rFonts w:cs="Times New Roman"/>
          <w:noProof/>
        </w:rPr>
        <w:t>(Darling-Hammond, 2000)</w:t>
      </w:r>
      <w:r w:rsidRPr="005D3F76">
        <w:rPr>
          <w:rFonts w:cs="Times New Roman"/>
        </w:rPr>
        <w:fldChar w:fldCharType="end"/>
      </w:r>
      <w:r w:rsidRPr="005D3F76">
        <w:rPr>
          <w:rFonts w:cs="Times New Roman"/>
        </w:rPr>
        <w:t xml:space="preserve">. Simply put, these lax teacher standards that we are seeing in and outside of Wisconsin help to signify and reinforce the ideologies behind the very message that undergirds the media’s discourse about the need to have tighter control over the individuals teaching because they essentially cannot be trusted to do their job effectively and efficiently as they should be doing it—a harkening back to both governmentality and the managerial style of the neoliberalistic ideology. So, making teachers more equipped to teach their particular subject matters in their respective grade is not necessarily what some individuals are asking for, but rather they want those that will blindly follow directions and ‘perform the script’ they are given with little or no complaining about the process or end results. They in fact, do not want critical thinkers. They do not necessarily care about equality or equity. In this case, education and training are not the end desired result, but more efficiency, with less money and less man power </w:t>
      </w:r>
      <w:r w:rsidRPr="005D3F76">
        <w:rPr>
          <w:rFonts w:cs="Times New Roman"/>
        </w:rPr>
        <w:fldChar w:fldCharType="begin"/>
      </w:r>
      <w:r w:rsidRPr="005D3F76">
        <w:rPr>
          <w:rFonts w:cs="Times New Roman"/>
        </w:rPr>
        <w:instrText xml:space="preserve"> ADDIN EN.CITE &lt;EndNote&gt;&lt;Cite&gt;&lt;Author&gt;Husted&lt;/Author&gt;&lt;Year&gt;2000&lt;/Year&gt;&lt;RecNum&gt;358&lt;/RecNum&gt;&lt;DisplayText&gt;(Husted &amp;amp; Kenny, 2000)&lt;/DisplayText&gt;&lt;record&gt;&lt;rec-number&gt;358&lt;/rec-number&gt;&lt;foreign-keys&gt;&lt;key app="EN" db-id="etwareaz8xpxz3et59b50d9vxrata9z2w2zt" timestamp="1471284410"&gt;358&lt;/key&gt;&lt;/foreign-keys&gt;&lt;ref-type name="Journal Article"&gt;17&lt;/ref-type&gt;&lt;contributors&gt;&lt;authors&gt;&lt;author&gt;Thomas A Husted&lt;/author&gt;&lt;author&gt;Lawrence W Kenny&lt;/author&gt;&lt;/authors&gt;&lt;/contributors&gt;&lt;titles&gt;&lt;title&gt;Evidence on the Impact of State Government on Primary and Secondary Education and the Equity-Efficiency Trade-Off&lt;/title&gt;&lt;secondary-title&gt;The Journal of Law &amp;amp; Economics&lt;/secondary-title&gt;&lt;/titles&gt;&lt;periodical&gt;&lt;full-title&gt;The Journal of Law &amp;amp; Economics&lt;/full-title&gt;&lt;/periodical&gt;&lt;pages&gt;285-308&lt;/pages&gt;&lt;volume&gt;43&lt;/volume&gt;&lt;number&gt;1&lt;/number&gt;&lt;dates&gt;&lt;year&gt;2000&lt;/year&gt;&lt;/dates&gt;&lt;urls&gt;&lt;/urls&gt;&lt;/record&gt;&lt;/Cite&gt;&lt;/EndNote&gt;</w:instrText>
      </w:r>
      <w:r w:rsidRPr="005D3F76">
        <w:rPr>
          <w:rFonts w:cs="Times New Roman"/>
        </w:rPr>
        <w:fldChar w:fldCharType="separate"/>
      </w:r>
      <w:r w:rsidRPr="005D3F76">
        <w:rPr>
          <w:rFonts w:cs="Times New Roman"/>
          <w:noProof/>
        </w:rPr>
        <w:t>(Husted &amp; Kenny, 2000)</w:t>
      </w:r>
      <w:r w:rsidRPr="005D3F76">
        <w:rPr>
          <w:rFonts w:cs="Times New Roman"/>
        </w:rPr>
        <w:fldChar w:fldCharType="end"/>
      </w:r>
      <w:r w:rsidRPr="005D3F76">
        <w:rPr>
          <w:rFonts w:cs="Times New Roman"/>
        </w:rPr>
        <w:t xml:space="preserve">. </w:t>
      </w:r>
    </w:p>
    <w:p w14:paraId="0B60F5FC" w14:textId="77777777" w:rsidR="00C379DD" w:rsidRPr="005D3F76" w:rsidRDefault="00C379DD" w:rsidP="001B1E2A">
      <w:pPr>
        <w:rPr>
          <w:rFonts w:cs="Times New Roman"/>
        </w:rPr>
      </w:pPr>
      <w:r w:rsidRPr="005D3F76">
        <w:rPr>
          <w:rFonts w:cs="Times New Roman"/>
        </w:rPr>
        <w:tab/>
        <w:t xml:space="preserve">Further, the villianization of the unions, and essentially the teachers that are a part of them, are only constrained by the imaginations of the public at large that are introduced and become engrossed with the presentation of material by the media. According to Stone (1989), research suggests that the public’s beliefs are ‘sensitive’ to the way that the media portrays the problems that are being introduced to them (p. 293). In the case of the research provided within this body of work, articles were written as though they were based upon only facts, as was the analysis of the material. Much of the time, these articles went against the public sector/teacher unions. It was a type of propaganda. They asserted a naturalized, unassuming conversation about </w:t>
      </w:r>
      <w:r w:rsidRPr="005D3F76">
        <w:rPr>
          <w:rFonts w:cs="Times New Roman"/>
        </w:rPr>
        <w:lastRenderedPageBreak/>
        <w:t xml:space="preserve">the problems of the unions—the unwillingness for reform, the stodginess of the unions, the archaic means that the unions are holding on to outdated practices for their members, the money hungry teachers, and the power hungry nature of the unions as a whole. According to researchers, such as, Rotherdam </w:t>
      </w:r>
      <w:r w:rsidRPr="005D3F76">
        <w:rPr>
          <w:rFonts w:cs="Times New Roman"/>
        </w:rPr>
        <w:fldChar w:fldCharType="begin"/>
      </w:r>
      <w:r w:rsidRPr="005D3F76">
        <w:rPr>
          <w:rFonts w:cs="Times New Roman"/>
        </w:rPr>
        <w:instrText xml:space="preserve"> ADDIN EN.CITE &lt;EndNote&gt;&lt;Cite ExcludeAuth="1"&gt;&lt;Author&gt;Rotherman&lt;/Author&gt;&lt;Year&gt;2008&lt;/Year&gt;&lt;RecNum&gt;304&lt;/RecNum&gt;&lt;DisplayText&gt;(2008)&lt;/DisplayText&gt;&lt;record&gt;&lt;rec-number&gt;304&lt;/rec-number&gt;&lt;foreign-keys&gt;&lt;key app="EN" db-id="etwareaz8xpxz3et59b50d9vxrata9z2w2zt" timestamp="1465700265"&gt;304&lt;/key&gt;&lt;/foreign-keys&gt;&lt;ref-type name="Journal Article"&gt;17&lt;/ref-type&gt;&lt;contributors&gt;&lt;authors&gt;&lt;author&gt;Andrew Rotherman&lt;/author&gt;&lt;/authors&gt;&lt;/contributors&gt;&lt;titles&gt;&lt;title&gt;The Translators: The Media and School Choice Research&lt;/title&gt;&lt;secondary-title&gt;Phi Delta Kappan&lt;/secondary-title&gt;&lt;/titles&gt;&lt;periodical&gt;&lt;full-title&gt;Phi Delta Kappan&lt;/full-title&gt;&lt;/periodical&gt;&lt;pages&gt;376-379&lt;/pages&gt;&lt;volume&gt;89&lt;/volume&gt;&lt;dates&gt;&lt;year&gt;2008&lt;/year&gt;&lt;/dates&gt;&lt;urls&gt;&lt;/urls&gt;&lt;/record&gt;&lt;/Cite&gt;&lt;/EndNote&gt;</w:instrText>
      </w:r>
      <w:r w:rsidRPr="005D3F76">
        <w:rPr>
          <w:rFonts w:cs="Times New Roman"/>
        </w:rPr>
        <w:fldChar w:fldCharType="separate"/>
      </w:r>
      <w:r w:rsidRPr="005D3F76">
        <w:rPr>
          <w:rFonts w:cs="Times New Roman"/>
          <w:noProof/>
        </w:rPr>
        <w:t>(2008)</w:t>
      </w:r>
      <w:r w:rsidRPr="005D3F76">
        <w:rPr>
          <w:rFonts w:cs="Times New Roman"/>
        </w:rPr>
        <w:fldChar w:fldCharType="end"/>
      </w:r>
      <w:r w:rsidRPr="005D3F76">
        <w:rPr>
          <w:rFonts w:cs="Times New Roman"/>
        </w:rPr>
        <w:t>, the presentation of “objective facts” as naturalized understandings have huge implications for issues concerning equity within society, as we have witnessed within the state of Wisconsin, the implementation of ACT 10, and the views and opinions expressed concerning the unions and the teachers within them. Even for myself, as researcher, with the first read of the articles that I performed, which was a more casual read, it was difficult to ascertain fact from opinion. For someone who reads the article one time, pulling the underlying message, or ascertaining the ideological presences within, would seem to be all but impossible. This can lead to a misinformed or beguiled society concerning what is in the best interest for labor and the people working within society.</w:t>
      </w:r>
    </w:p>
    <w:p w14:paraId="21C9837D" w14:textId="77777777" w:rsidR="00C379DD" w:rsidRPr="005D3F76" w:rsidRDefault="00C379DD" w:rsidP="001B1E2A">
      <w:pPr>
        <w:rPr>
          <w:rFonts w:cs="Times New Roman"/>
        </w:rPr>
      </w:pPr>
      <w:r w:rsidRPr="005D3F76">
        <w:rPr>
          <w:rFonts w:cs="Times New Roman"/>
        </w:rPr>
        <w:tab/>
        <w:t>These casual assumptions (the unwillingness for reform, the stodginess, etc.) that were written about within the articles are hugely problematic for the future of the public sector/teacher unions, not only in Wisconsin, but within the entire U.S. These casual</w:t>
      </w:r>
      <w:r w:rsidRPr="005D3F76">
        <w:rPr>
          <w:rFonts w:cs="Times New Roman"/>
          <w:strike/>
        </w:rPr>
        <w:t xml:space="preserve"> </w:t>
      </w:r>
      <w:r w:rsidRPr="005D3F76">
        <w:rPr>
          <w:rFonts w:cs="Times New Roman"/>
        </w:rPr>
        <w:t xml:space="preserve">assumptions within what the media presents to the public become entrenched and create a successful new perception that the unions are believed to be behaving in a certain unfavorable way. These new dominant beliefs and assumptions guide policy makers then to create and implement new laws and policies that can be detrimental to those that are under them; doing much more harm than good. For instance, in Wisconsin when ACT 10 was introduced, many of the writers within the newspapers that were researched wrote about the union’s unwillingness to reform, but did not explain why they didn’t want certain reforms, what was in the reforms, or the alternatives that were presented to the call for action in education. The casual belief presented to the public through the discourse provided </w:t>
      </w:r>
      <w:r w:rsidRPr="005D3F76">
        <w:rPr>
          <w:rFonts w:cs="Times New Roman"/>
        </w:rPr>
        <w:lastRenderedPageBreak/>
        <w:t xml:space="preserve">about the unwillingness of the teacher unions for reform in education in Wisconsin, only lent fuel to the fire that was already brooding within Governor Walker’s more conservative political base—a dominant force within the political realm during 2011-2015. In essence, these casual understandings presented to the public through the media concerning public sector/teacher unions, are a form of instrument of “social control to maintain existing patterns of dominance” </w:t>
      </w:r>
      <w:r w:rsidRPr="005D3F76">
        <w:rPr>
          <w:rFonts w:cs="Times New Roman"/>
        </w:rPr>
        <w:fldChar w:fldCharType="begin"/>
      </w:r>
      <w:r w:rsidRPr="005D3F76">
        <w:rPr>
          <w:rFonts w:cs="Times New Roman"/>
        </w:rPr>
        <w:instrText xml:space="preserve"> ADDIN EN.CITE &lt;EndNote&gt;&lt;Cite&gt;&lt;Author&gt;Stone&lt;/Author&gt;&lt;Year&gt;1989&lt;/Year&gt;&lt;RecNum&gt;343&lt;/RecNum&gt;&lt;Pages&gt;296&lt;/Pages&gt;&lt;DisplayText&gt;(Gramsci, 1971; Stone, 1989, p. 296)&lt;/DisplayText&gt;&lt;record&gt;&lt;rec-number&gt;343&lt;/rec-number&gt;&lt;foreign-keys&gt;&lt;key app="EN" db-id="etwareaz8xpxz3et59b50d9vxrata9z2w2zt" timestamp="1469466616"&gt;343&lt;/key&gt;&lt;/foreign-keys&gt;&lt;ref-type name="Journal Article"&gt;17&lt;/ref-type&gt;&lt;contributors&gt;&lt;authors&gt;&lt;author&gt;Deborah A. Stone&lt;/author&gt;&lt;/authors&gt;&lt;/contributors&gt;&lt;titles&gt;&lt;title&gt;Casual Stories and the Formation of Policy Agendas&lt;/title&gt;&lt;secondary-title&gt;Political Science Quarterly&lt;/secondary-title&gt;&lt;/titles&gt;&lt;periodical&gt;&lt;full-title&gt;Political Science Quarterly&lt;/full-title&gt;&lt;/periodical&gt;&lt;pages&gt;281-300&lt;/pages&gt;&lt;volume&gt;104&lt;/volume&gt;&lt;number&gt;2&lt;/number&gt;&lt;dates&gt;&lt;year&gt;1989&lt;/year&gt;&lt;/dates&gt;&lt;urls&gt;&lt;/urls&gt;&lt;/record&gt;&lt;/Cite&gt;&lt;Cite&gt;&lt;Author&gt;Gramsci&lt;/Author&gt;&lt;Year&gt;1971&lt;/Year&gt;&lt;RecNum&gt;3&lt;/RecNum&gt;&lt;record&gt;&lt;rec-number&gt;3&lt;/rec-number&gt;&lt;foreign-keys&gt;&lt;key app="EN" db-id="etwareaz8xpxz3et59b50d9vxrata9z2w2zt" timestamp="1444522353"&gt;3&lt;/key&gt;&lt;/foreign-keys&gt;&lt;ref-type name="Book"&gt;6&lt;/ref-type&gt;&lt;contributors&gt;&lt;authors&gt;&lt;author&gt;Antonio Gramsci&lt;/author&gt;&lt;/authors&gt;&lt;/contributors&gt;&lt;titles&gt;&lt;title&gt;Selections from the Prison Notebooks&lt;/title&gt;&lt;/titles&gt;&lt;dates&gt;&lt;year&gt;1971&lt;/year&gt;&lt;/dates&gt;&lt;pub-location&gt;London&lt;/pub-location&gt;&lt;publisher&gt;Lawrence and Wishart&lt;/publisher&gt;&lt;urls&gt;&lt;/urls&gt;&lt;/record&gt;&lt;/Cite&gt;&lt;/EndNote&gt;</w:instrText>
      </w:r>
      <w:r w:rsidRPr="005D3F76">
        <w:rPr>
          <w:rFonts w:cs="Times New Roman"/>
        </w:rPr>
        <w:fldChar w:fldCharType="separate"/>
      </w:r>
      <w:r w:rsidRPr="005D3F76">
        <w:rPr>
          <w:rFonts w:cs="Times New Roman"/>
          <w:noProof/>
        </w:rPr>
        <w:t>(Gramsci, 1971; Stone, 1989, p. 296)</w:t>
      </w:r>
      <w:r w:rsidRPr="005D3F76">
        <w:rPr>
          <w:rFonts w:cs="Times New Roman"/>
        </w:rPr>
        <w:fldChar w:fldCharType="end"/>
      </w:r>
      <w:r w:rsidRPr="005D3F76">
        <w:rPr>
          <w:rFonts w:cs="Times New Roman"/>
        </w:rPr>
        <w:t>.</w:t>
      </w:r>
    </w:p>
    <w:p w14:paraId="4AC61C10" w14:textId="77777777" w:rsidR="00C379DD" w:rsidRPr="005D3F76" w:rsidRDefault="00C379DD" w:rsidP="001B1E2A">
      <w:pPr>
        <w:ind w:firstLine="720"/>
        <w:rPr>
          <w:rFonts w:cs="Times New Roman"/>
        </w:rPr>
      </w:pPr>
      <w:r w:rsidRPr="005D3F76">
        <w:rPr>
          <w:rFonts w:cs="Times New Roman"/>
        </w:rPr>
        <w:t xml:space="preserve">Thus, we see in many instances in the articles that underneath the surface of the discourse is an underlying push toward the more neoliberal inclination within education. For instance, again in the same Joint Committee on Finance in the state legislature in Wisconsin, the state budget that was proposed by Governor Walker and state conservatives was one that included a voucher program for students with special needs </w:t>
      </w:r>
      <w:r w:rsidRPr="005D3F76">
        <w:rPr>
          <w:rFonts w:cs="Times New Roman"/>
        </w:rPr>
        <w:fldChar w:fldCharType="begin"/>
      </w:r>
      <w:r w:rsidRPr="005D3F76">
        <w:rPr>
          <w:rFonts w:cs="Times New Roman"/>
        </w:rPr>
        <w:instrText xml:space="preserve"> ADDIN EN.CITE &lt;EndNote&gt;&lt;Cite&gt;&lt;Author&gt;Strauss&lt;/Author&gt;&lt;Year&gt;2015&lt;/Year&gt;&lt;RecNum&gt;344&lt;/RecNum&gt;&lt;DisplayText&gt;(Strauss, 2015)&lt;/DisplayText&gt;&lt;record&gt;&lt;rec-number&gt;344&lt;/rec-number&gt;&lt;foreign-keys&gt;&lt;key app="EN" db-id="etwareaz8xpxz3et59b50d9vxrata9z2w2zt" timestamp="1469555063"&gt;344&lt;/key&gt;&lt;/foreign-keys&gt;&lt;ref-type name="Newspaper Article"&gt;23&lt;/ref-type&gt;&lt;contributors&gt;&lt;authors&gt;&lt;author&gt;Valerie Strauss&lt;/author&gt;&lt;/authors&gt;&lt;/contributors&gt;&lt;titles&gt;&lt;title&gt;What the Heck is Going on with Wisconsin Public Education?&lt;/title&gt;&lt;secondary-title&gt;The Washington Post&lt;/secondary-title&gt;&lt;/titles&gt;&lt;section&gt;Answer Sheet&lt;/section&gt;&lt;dates&gt;&lt;year&gt;2015&lt;/year&gt;&lt;/dates&gt;&lt;pub-location&gt;Washington D.C.&lt;/pub-location&gt;&lt;urls&gt;&lt;/urls&gt;&lt;/record&gt;&lt;/Cite&gt;&lt;/EndNote&gt;</w:instrText>
      </w:r>
      <w:r w:rsidRPr="005D3F76">
        <w:rPr>
          <w:rFonts w:cs="Times New Roman"/>
        </w:rPr>
        <w:fldChar w:fldCharType="separate"/>
      </w:r>
      <w:r w:rsidRPr="005D3F76">
        <w:rPr>
          <w:rFonts w:cs="Times New Roman"/>
          <w:noProof/>
        </w:rPr>
        <w:t>(Strauss, 2015)</w:t>
      </w:r>
      <w:r w:rsidRPr="005D3F76">
        <w:rPr>
          <w:rFonts w:cs="Times New Roman"/>
        </w:rPr>
        <w:fldChar w:fldCharType="end"/>
      </w:r>
      <w:r w:rsidRPr="005D3F76">
        <w:rPr>
          <w:rFonts w:cs="Times New Roman"/>
        </w:rPr>
        <w:t xml:space="preserve">. This, at first, would appear to be something that seems fair, creating more equity and equality within the education system; overall it appears to help students with special needs. Essentially the voucher program is supposed to allow students to choose where they want to go school, respectively enabling children to attend schools that ‘out-perform’ the lower performing schools that a child may be zoned for. The voucher system was supposed to be the answer to creating equity within the school systems in the U.S. However, opponents of voucher programs contend that they do not work, and in fact “any gains [to] overall student achievement from a large scale voucher program are at best small [and] undoubtedly harm[s] large numbers of disadvantaged students, [as well as] do[es] little to improve education for low performing schools” </w:t>
      </w:r>
      <w:r w:rsidRPr="005D3F76">
        <w:rPr>
          <w:rFonts w:cs="Times New Roman"/>
        </w:rPr>
        <w:fldChar w:fldCharType="begin"/>
      </w:r>
      <w:r w:rsidRPr="005D3F76">
        <w:rPr>
          <w:rFonts w:cs="Times New Roman"/>
        </w:rPr>
        <w:instrText xml:space="preserve"> ADDIN EN.CITE &lt;EndNote&gt;&lt;Cite&gt;&lt;Author&gt;Ladd&lt;/Author&gt;&lt;Year&gt;2002&lt;/Year&gt;&lt;RecNum&gt;345&lt;/RecNum&gt;&lt;Pages&gt;3&lt;/Pages&gt;&lt;DisplayText&gt;(Ladd, 2002, p. 3)&lt;/DisplayText&gt;&lt;record&gt;&lt;rec-number&gt;345&lt;/rec-number&gt;&lt;foreign-keys&gt;&lt;key app="EN" db-id="etwareaz8xpxz3et59b50d9vxrata9z2w2zt" timestamp="1469558589"&gt;345&lt;/key&gt;&lt;/foreign-keys&gt;&lt;ref-type name="Journal Article"&gt;17&lt;/ref-type&gt;&lt;contributors&gt;&lt;authors&gt;&lt;author&gt;Helen F. Ladd&lt;/author&gt;&lt;/authors&gt;&lt;/contributors&gt;&lt;titles&gt;&lt;title&gt;School Vouchers: A Critical View&lt;/title&gt;&lt;secondary-title&gt;The Journal of Economic Perspectives&lt;/secondary-title&gt;&lt;/titles&gt;&lt;periodical&gt;&lt;full-title&gt;The Journal of Economic Perspectives&lt;/full-title&gt;&lt;/periodical&gt;&lt;pages&gt;3-24&lt;/pages&gt;&lt;volume&gt;16&lt;/volume&gt;&lt;number&gt;4&lt;/number&gt;&lt;dates&gt;&lt;year&gt;2002&lt;/year&gt;&lt;/dates&gt;&lt;urls&gt;&lt;/urls&gt;&lt;/record&gt;&lt;/Cite&gt;&lt;/EndNote&gt;</w:instrText>
      </w:r>
      <w:r w:rsidRPr="005D3F76">
        <w:rPr>
          <w:rFonts w:cs="Times New Roman"/>
        </w:rPr>
        <w:fldChar w:fldCharType="separate"/>
      </w:r>
      <w:r w:rsidRPr="005D3F76">
        <w:rPr>
          <w:rFonts w:cs="Times New Roman"/>
          <w:noProof/>
        </w:rPr>
        <w:t>(Ladd, 2002, p. 3)</w:t>
      </w:r>
      <w:r w:rsidRPr="005D3F76">
        <w:rPr>
          <w:rFonts w:cs="Times New Roman"/>
        </w:rPr>
        <w:fldChar w:fldCharType="end"/>
      </w:r>
      <w:r w:rsidRPr="005D3F76">
        <w:rPr>
          <w:rFonts w:cs="Times New Roman"/>
        </w:rPr>
        <w:t>. This voucher plan may in fact be doing more harm than good for the students who need help the most. However, voucher programs come from a more neoliberal ideology where competition drives the means to an end.</w:t>
      </w:r>
    </w:p>
    <w:p w14:paraId="2D2F80DC" w14:textId="77777777" w:rsidR="00C379DD" w:rsidRPr="005D3F76" w:rsidRDefault="00C379DD" w:rsidP="001B1E2A">
      <w:pPr>
        <w:ind w:firstLine="720"/>
        <w:rPr>
          <w:rFonts w:cs="Times New Roman"/>
        </w:rPr>
      </w:pPr>
      <w:r w:rsidRPr="005D3F76">
        <w:rPr>
          <w:rFonts w:cs="Times New Roman"/>
        </w:rPr>
        <w:lastRenderedPageBreak/>
        <w:t xml:space="preserve">These neoliberal ideologies that are rampant throughout the newspaper articles and have become so naturalized within our society, seem to want to create more competition within education, but they do not want to pay those within the system for the work that is deemed so valuable. Having discourse and ideologies that minimize teachers’ abilities within our society is detrimental to attracting and retaining individuals to the field of education. An even bigger deterrent to most teachers is the financial incentive that was written about in the articles researched, and has been discussed in length within the state of Wisconsin as a means to attracting new individuals to teaching. This more neoliberal approach to attracting teachers has been deemed an ineffective means to recruit new teachers by the unions, and in fact, less than half of all teachers in the U.S. believe that paying people extra to work in the education field should be considered </w:t>
      </w:r>
      <w:r w:rsidRPr="005D3F76">
        <w:rPr>
          <w:rFonts w:cs="Times New Roman"/>
        </w:rPr>
        <w:fldChar w:fldCharType="begin"/>
      </w:r>
      <w:r w:rsidRPr="005D3F76">
        <w:rPr>
          <w:rFonts w:cs="Times New Roman"/>
        </w:rPr>
        <w:instrText xml:space="preserve"> ADDIN EN.CITE &lt;EndNote&gt;&lt;Cite&gt;&lt;Author&gt;Duffett&lt;/Author&gt;&lt;Year&gt;2008&lt;/Year&gt;&lt;RecNum&gt;346&lt;/RecNum&gt;&lt;DisplayText&gt;(Duffett, Farkas, Rotherham, &amp;amp; Silva, 2008)&lt;/DisplayText&gt;&lt;record&gt;&lt;rec-number&gt;346&lt;/rec-number&gt;&lt;foreign-keys&gt;&lt;key app="EN" db-id="etwareaz8xpxz3et59b50d9vxrata9z2w2zt" timestamp="1469559566"&gt;346&lt;/key&gt;&lt;/foreign-keys&gt;&lt;ref-type name="Report"&gt;27&lt;/ref-type&gt;&lt;contributors&gt;&lt;authors&gt;&lt;author&gt;Ann Duffett&lt;/author&gt;&lt;author&gt;Steve Farkas&lt;/author&gt;&lt;author&gt;Adrew J. Rotherham&lt;/author&gt;&lt;author&gt;Elena Silva&lt;/author&gt;&lt;/authors&gt;&lt;/contributors&gt;&lt;titles&gt;&lt;title&gt;Waiting to be Won Over: Teachers Speak on the Profession, Unions, and Reform&lt;/title&gt;&lt;/titles&gt;&lt;dates&gt;&lt;year&gt;2008&lt;/year&gt;&lt;/dates&gt;&lt;pub-location&gt;Washington D.C.&lt;/pub-location&gt;&lt;publisher&gt;Education Sector&lt;/publisher&gt;&lt;urls&gt;&lt;/urls&gt;&lt;/record&gt;&lt;/Cite&gt;&lt;/EndNote&gt;</w:instrText>
      </w:r>
      <w:r w:rsidRPr="005D3F76">
        <w:rPr>
          <w:rFonts w:cs="Times New Roman"/>
        </w:rPr>
        <w:fldChar w:fldCharType="separate"/>
      </w:r>
      <w:r w:rsidRPr="005D3F76">
        <w:rPr>
          <w:rFonts w:cs="Times New Roman"/>
          <w:noProof/>
        </w:rPr>
        <w:t>(Duffett, Farkas, Rotherham, &amp; Silva, 2008)</w:t>
      </w:r>
      <w:r w:rsidRPr="005D3F76">
        <w:rPr>
          <w:rFonts w:cs="Times New Roman"/>
        </w:rPr>
        <w:fldChar w:fldCharType="end"/>
      </w:r>
      <w:r w:rsidRPr="005D3F76">
        <w:rPr>
          <w:rFonts w:cs="Times New Roman"/>
        </w:rPr>
        <w:t xml:space="preserve">. Furthermore, just because someone is paid a little extra to teach in a needed field, such as physics, doesn’t mean that their teaching skills of that particular subject are going to be acceptable. In fact, in some cases, the quality of education may be reduced which could cause even more problems within the educational systems </w:t>
      </w:r>
      <w:r w:rsidRPr="005D3F76">
        <w:rPr>
          <w:rFonts w:cs="Times New Roman"/>
        </w:rPr>
        <w:fldChar w:fldCharType="begin"/>
      </w:r>
      <w:r w:rsidRPr="005D3F76">
        <w:rPr>
          <w:rFonts w:cs="Times New Roman"/>
        </w:rPr>
        <w:instrText xml:space="preserve"> ADDIN EN.CITE &lt;EndNote&gt;&lt;Cite&gt;&lt;Author&gt;Guilfoyle&lt;/Author&gt;&lt;Year&gt;1995&lt;/Year&gt;&lt;RecNum&gt;347&lt;/RecNum&gt;&lt;DisplayText&gt;(Guilfoyle, 1995)&lt;/DisplayText&gt;&lt;record&gt;&lt;rec-number&gt;347&lt;/rec-number&gt;&lt;foreign-keys&gt;&lt;key app="EN" db-id="etwareaz8xpxz3et59b50d9vxrata9z2w2zt" timestamp="1469562204"&gt;347&lt;/key&gt;&lt;/foreign-keys&gt;&lt;ref-type name="Journal Article"&gt;17&lt;/ref-type&gt;&lt;contributors&gt;&lt;authors&gt;&lt;author&gt;Karen Guilfoyle&lt;/author&gt;&lt;/authors&gt;&lt;/contributors&gt;&lt;titles&gt;&lt;title&gt;Constructing the Meaning of Teacher Educator: The Struggle to Learn the Roles&lt;/title&gt;&lt;secondary-title&gt;Teacher Education Quarterly&lt;/secondary-title&gt;&lt;/titles&gt;&lt;periodical&gt;&lt;full-title&gt;Teacher Education Quarterly&lt;/full-title&gt;&lt;/periodical&gt;&lt;pages&gt;11-26&lt;/pages&gt;&lt;volume&gt;22&lt;/volume&gt;&lt;number&gt;3&lt;/number&gt;&lt;dates&gt;&lt;year&gt;1995&lt;/year&gt;&lt;/dates&gt;&lt;urls&gt;&lt;/urls&gt;&lt;/record&gt;&lt;/Cite&gt;&lt;/EndNote&gt;</w:instrText>
      </w:r>
      <w:r w:rsidRPr="005D3F76">
        <w:rPr>
          <w:rFonts w:cs="Times New Roman"/>
        </w:rPr>
        <w:fldChar w:fldCharType="separate"/>
      </w:r>
      <w:r w:rsidRPr="005D3F76">
        <w:rPr>
          <w:rFonts w:cs="Times New Roman"/>
          <w:noProof/>
        </w:rPr>
        <w:t>(Guilfoyle, 1995)</w:t>
      </w:r>
      <w:r w:rsidRPr="005D3F76">
        <w:rPr>
          <w:rFonts w:cs="Times New Roman"/>
        </w:rPr>
        <w:fldChar w:fldCharType="end"/>
      </w:r>
      <w:r w:rsidRPr="005D3F76">
        <w:rPr>
          <w:rFonts w:cs="Times New Roman"/>
        </w:rPr>
        <w:t>.</w:t>
      </w:r>
    </w:p>
    <w:p w14:paraId="126F32BE" w14:textId="66E4B0F9" w:rsidR="00C379DD" w:rsidRPr="005D3F76" w:rsidRDefault="00C379DD" w:rsidP="001B1E2A">
      <w:pPr>
        <w:ind w:firstLine="720"/>
        <w:rPr>
          <w:rFonts w:cs="Times New Roman"/>
        </w:rPr>
      </w:pPr>
      <w:r w:rsidRPr="005D3F76">
        <w:rPr>
          <w:rFonts w:cs="Times New Roman"/>
        </w:rPr>
        <w:t xml:space="preserve">Most importantly here, is that teachers, or any other public sector union member in Wisconsin, were not asked how they felt about their collective bargaining rights being taken away by the ACT-10 law that Governor Walker put into effect. All the sit-in’s and protests by the teachers, students, parents, police officers, firefighters, and other government supporters did not influence, nor deter the push by conservative legislators to enact this law. In fact, in most cases, fueled by the reporting of the media of the ‘money-hungry’ or ‘power-hungry’ unions and the teachers that are a part of them, most citizens in the public sector agreed that the unions needed more control by the government. However, research on teachers about their unions states </w:t>
      </w:r>
      <w:r w:rsidRPr="005D3F76">
        <w:rPr>
          <w:rFonts w:cs="Times New Roman"/>
        </w:rPr>
        <w:lastRenderedPageBreak/>
        <w:t xml:space="preserve">that “most teachers see the teachers union as vital to their profession;” in fact “54% of teachers responded that they are absolutely essential” </w:t>
      </w:r>
      <w:r w:rsidRPr="005D3F76">
        <w:rPr>
          <w:rFonts w:cs="Times New Roman"/>
        </w:rPr>
        <w:fldChar w:fldCharType="begin"/>
      </w:r>
      <w:r w:rsidRPr="005D3F76">
        <w:rPr>
          <w:rFonts w:cs="Times New Roman"/>
        </w:rPr>
        <w:instrText xml:space="preserve"> ADDIN EN.CITE &lt;EndNote&gt;&lt;Cite&gt;&lt;Author&gt;Duffett&lt;/Author&gt;&lt;Year&gt;2008&lt;/Year&gt;&lt;RecNum&gt;346&lt;/RecNum&gt;&lt;Pages&gt;8&lt;/Pages&gt;&lt;DisplayText&gt;(Duffett et al., 2008, p. 8)&lt;/DisplayText&gt;&lt;record&gt;&lt;rec-number&gt;346&lt;/rec-number&gt;&lt;foreign-keys&gt;&lt;key app="EN" db-id="etwareaz8xpxz3et59b50d9vxrata9z2w2zt" timestamp="1469559566"&gt;346&lt;/key&gt;&lt;/foreign-keys&gt;&lt;ref-type name="Report"&gt;27&lt;/ref-type&gt;&lt;contributors&gt;&lt;authors&gt;&lt;author&gt;Ann Duffett&lt;/author&gt;&lt;author&gt;Steve Farkas&lt;/author&gt;&lt;author&gt;Adrew J. Rotherham&lt;/author&gt;&lt;author&gt;Elena Silva&lt;/author&gt;&lt;/authors&gt;&lt;/contributors&gt;&lt;titles&gt;&lt;title&gt;Waiting to be Won Over: Teachers Speak on the Profession, Unions, and Reform&lt;/title&gt;&lt;/titles&gt;&lt;dates&gt;&lt;year&gt;2008&lt;/year&gt;&lt;/dates&gt;&lt;pub-location&gt;Washington D.C.&lt;/pub-location&gt;&lt;publisher&gt;Education Sector&lt;/publisher&gt;&lt;urls&gt;&lt;/urls&gt;&lt;/record&gt;&lt;/Cite&gt;&lt;/EndNote&gt;</w:instrText>
      </w:r>
      <w:r w:rsidRPr="005D3F76">
        <w:rPr>
          <w:rFonts w:cs="Times New Roman"/>
        </w:rPr>
        <w:fldChar w:fldCharType="separate"/>
      </w:r>
      <w:r w:rsidRPr="005D3F76">
        <w:rPr>
          <w:rFonts w:cs="Times New Roman"/>
          <w:noProof/>
        </w:rPr>
        <w:t>(Duffett et al., 2008, p. 8)</w:t>
      </w:r>
      <w:r w:rsidRPr="005D3F76">
        <w:rPr>
          <w:rFonts w:cs="Times New Roman"/>
        </w:rPr>
        <w:fldChar w:fldCharType="end"/>
      </w:r>
      <w:r w:rsidRPr="005D3F76">
        <w:rPr>
          <w:rFonts w:cs="Times New Roman"/>
        </w:rPr>
        <w:t xml:space="preserve">. </w:t>
      </w:r>
      <w:r w:rsidR="00E341FA" w:rsidRPr="005D3F76">
        <w:rPr>
          <w:rFonts w:cs="Times New Roman"/>
        </w:rPr>
        <w:t>Eighty-one percent of</w:t>
      </w:r>
      <w:r w:rsidRPr="005D3F76">
        <w:rPr>
          <w:rFonts w:cs="Times New Roman"/>
        </w:rPr>
        <w:t xml:space="preserve"> teachers in the U.S. believe that “without collective bargaining, the working conditions and salaries of teachers would be much worse” (p. 8). The findings are:  severely limiting or altogether outlawing collective bargaining and other abilities of public sector unions, specifically important in right-to-work states, is detrimental to the varying fields, but especially important to the field of education’s well-being, and those who work within it.  ACT-10 seemed to be targeting teacher unions specifically. </w:t>
      </w:r>
    </w:p>
    <w:p w14:paraId="4EFA6D0D" w14:textId="77777777" w:rsidR="00C379DD" w:rsidRPr="005D3F76" w:rsidRDefault="00C379DD" w:rsidP="001B1E2A">
      <w:pPr>
        <w:ind w:firstLine="720"/>
        <w:rPr>
          <w:rFonts w:cs="Times New Roman"/>
        </w:rPr>
      </w:pPr>
      <w:r w:rsidRPr="005D3F76">
        <w:rPr>
          <w:rFonts w:cs="Times New Roman"/>
        </w:rPr>
        <w:t xml:space="preserve">Abandoning public sector unions has many implications for the nation at large. Diane Ravitch </w:t>
      </w:r>
      <w:r w:rsidRPr="005D3F76">
        <w:rPr>
          <w:rFonts w:cs="Times New Roman"/>
        </w:rPr>
        <w:fldChar w:fldCharType="begin"/>
      </w:r>
      <w:r w:rsidRPr="005D3F76">
        <w:rPr>
          <w:rFonts w:cs="Times New Roman"/>
        </w:rPr>
        <w:instrText xml:space="preserve"> ADDIN EN.CITE &lt;EndNote&gt;&lt;Cite ExcludeAuth="1"&gt;&lt;Author&gt;Ravitch&lt;/Author&gt;&lt;Year&gt;2015&lt;/Year&gt;&lt;RecNum&gt;349&lt;/RecNum&gt;&lt;DisplayText&gt;(2015)&lt;/DisplayText&gt;&lt;record&gt;&lt;rec-number&gt;349&lt;/rec-number&gt;&lt;foreign-keys&gt;&lt;key app="EN" db-id="etwareaz8xpxz3et59b50d9vxrata9z2w2zt" timestamp="1470094247"&gt;349&lt;/key&gt;&lt;/foreign-keys&gt;&lt;ref-type name="Blog"&gt;56&lt;/ref-type&gt;&lt;contributors&gt;&lt;authors&gt;&lt;author&gt;Diane Ravitch&lt;/author&gt;&lt;/authors&gt;&lt;/contributors&gt;&lt;titles&gt;&lt;title&gt;Does the Public Want to Get Rid of Unions?&lt;/title&gt;&lt;secondary-title&gt;A Site to Discuss Better Education for All&lt;/secondary-title&gt;&lt;/titles&gt;&lt;volume&gt;2016&lt;/volume&gt;&lt;number&gt;July&lt;/number&gt;&lt;dates&gt;&lt;year&gt;2015&lt;/year&gt;&lt;/dates&gt;&lt;publisher&gt;WordPress&lt;/publisher&gt;&lt;urls&gt;&lt;/urls&gt;&lt;/record&gt;&lt;/Cite&gt;&lt;/EndNote&gt;</w:instrText>
      </w:r>
      <w:r w:rsidRPr="005D3F76">
        <w:rPr>
          <w:rFonts w:cs="Times New Roman"/>
        </w:rPr>
        <w:fldChar w:fldCharType="separate"/>
      </w:r>
      <w:r w:rsidRPr="005D3F76">
        <w:rPr>
          <w:rFonts w:cs="Times New Roman"/>
          <w:noProof/>
        </w:rPr>
        <w:t>(2015)</w:t>
      </w:r>
      <w:r w:rsidRPr="005D3F76">
        <w:rPr>
          <w:rFonts w:cs="Times New Roman"/>
        </w:rPr>
        <w:fldChar w:fldCharType="end"/>
      </w:r>
      <w:r w:rsidRPr="005D3F76">
        <w:rPr>
          <w:rFonts w:cs="Times New Roman"/>
        </w:rPr>
        <w:t xml:space="preserve"> writes that if it weren’t for unions within the U.S., “workers [would] be exploited, treated as chattel, paid below minimum wage, expected to work long hours in poor conditions, and fired with or without cause” (para. 4). She goes on to write about how losing unions would simply create a larger divide between the haves and the have nots, hastening the shrinkage of the middle class. These implications about the disparaging effects of the lack of unionization within the U.S. seem not to affect the media’s presentation concerning unions and the teachers within the education system, as witnessed in the articles concerning Wisconsin shared in chapter four. </w:t>
      </w:r>
    </w:p>
    <w:p w14:paraId="7836773E" w14:textId="77777777" w:rsidR="00C379DD" w:rsidRPr="005D3F76" w:rsidRDefault="00C379DD" w:rsidP="001B1E2A">
      <w:pPr>
        <w:ind w:firstLine="720"/>
        <w:rPr>
          <w:rFonts w:cs="Times New Roman"/>
        </w:rPr>
      </w:pPr>
      <w:r w:rsidRPr="005D3F76">
        <w:rPr>
          <w:rFonts w:cs="Times New Roman"/>
        </w:rPr>
        <w:t xml:space="preserve">The disregard within the discourse that the media is disseminating unto the larger public has many ramifications for the overall well-being of public sector/teacher unions and those who are members of them. The negative understandings of the public sector unions that are being written about within the media are damaging not only the unions and their members, but the very fabric of labor relations within the U.S. These attacks are causing further degradation by forcing the Supreme Court and other courts in the nation to take on cases dealing with public sector </w:t>
      </w:r>
      <w:r w:rsidRPr="005D3F76">
        <w:rPr>
          <w:rFonts w:cs="Times New Roman"/>
        </w:rPr>
        <w:lastRenderedPageBreak/>
        <w:t>unions, the results of which have been mixed, but the disparaging picture created by the media is not helping the overall plight of the unions.</w:t>
      </w:r>
    </w:p>
    <w:p w14:paraId="5C897876" w14:textId="77777777" w:rsidR="00C379DD" w:rsidRPr="005D3F76" w:rsidRDefault="00C379DD" w:rsidP="00C379DD">
      <w:pPr>
        <w:pStyle w:val="Heading2"/>
        <w:rPr>
          <w:rFonts w:cs="Times New Roman"/>
        </w:rPr>
      </w:pPr>
      <w:bookmarkStart w:id="27" w:name="_Toc462843647"/>
      <w:r w:rsidRPr="005D3F76">
        <w:rPr>
          <w:rFonts w:cs="Times New Roman"/>
        </w:rPr>
        <w:t>Recommendations</w:t>
      </w:r>
      <w:bookmarkEnd w:id="27"/>
    </w:p>
    <w:p w14:paraId="20DF3949" w14:textId="77777777" w:rsidR="00C379DD" w:rsidRPr="005D3F76" w:rsidRDefault="00C379DD" w:rsidP="001B1E2A">
      <w:pPr>
        <w:rPr>
          <w:rFonts w:cs="Times New Roman"/>
        </w:rPr>
      </w:pPr>
      <w:r w:rsidRPr="005D3F76">
        <w:rPr>
          <w:rFonts w:cs="Times New Roman"/>
        </w:rPr>
        <w:tab/>
        <w:t xml:space="preserve">What can and should be done pertaining to the media and its reporting on public sector/teacher unions? It is not overly evident what should be done to change the way the media presents the unions. As long as media outlets follow the procedures set up by their own individual organizations, and the law pertaining to the first amendment to the U.S. Constitution, there may be little that can be done. Further, it must be understood that as humans, situated in a particular place and time, we are bounded within the constraints of our own biases. This process of passing information from oneself to another cannot be done without understanding that we bring all of who we are and what we have done to all endeavors outside ourselves; these understandings of bias also are relevant to the media. The media, and those who are within it are human, and these same constraints are also part of who they are. But we must make suggestions on how to make the information given to the society at large more trustworthy, reliable, and as least biased as possible moving further into the twenty-first century. </w:t>
      </w:r>
    </w:p>
    <w:p w14:paraId="2EA56702" w14:textId="51063B15" w:rsidR="00C379DD" w:rsidRPr="005D3F76" w:rsidRDefault="00C379DD" w:rsidP="001B1E2A">
      <w:pPr>
        <w:ind w:firstLine="720"/>
        <w:rPr>
          <w:rFonts w:cs="Times New Roman"/>
        </w:rPr>
      </w:pPr>
      <w:r w:rsidRPr="005D3F76">
        <w:rPr>
          <w:rFonts w:cs="Times New Roman"/>
        </w:rPr>
        <w:t xml:space="preserve">Even though I have contended that at least some of the issues pertaining to the negative connotations of teacher unions have left the media to blame, the fact is that we do need more media coverage of labor issues that pertain to the average worker in the U.S. Even though millions of workers are represented by the public sector/teacher unions, the number of media outlets covering such issues relating to the average worker has steadily shrunk over the last 20 to 30 years, and only when an episodic event happens, such as the sit-ins and protests in Wisconsin, does the media have coverage </w:t>
      </w:r>
      <w:r w:rsidRPr="005D3F76">
        <w:rPr>
          <w:rFonts w:cs="Times New Roman"/>
        </w:rPr>
        <w:fldChar w:fldCharType="begin"/>
      </w:r>
      <w:r w:rsidRPr="005D3F76">
        <w:rPr>
          <w:rFonts w:cs="Times New Roman"/>
        </w:rPr>
        <w:instrText xml:space="preserve"> ADDIN EN.CITE &lt;EndNote&gt;&lt;Cite&gt;&lt;Author&gt;Leighley&lt;/Author&gt;&lt;Year&gt;2004&lt;/Year&gt;&lt;RecNum&gt;285&lt;/RecNum&gt;&lt;DisplayText&gt;(Leighley, 2004a)&lt;/DisplayText&gt;&lt;record&gt;&lt;rec-number&gt;285&lt;/rec-number&gt;&lt;foreign-keys&gt;&lt;key app="EN" db-id="etwareaz8xpxz3et59b50d9vxrata9z2w2zt" timestamp="1465700262"&gt;285&lt;/key&gt;&lt;/foreign-keys&gt;&lt;ref-type name="Book"&gt;6&lt;/ref-type&gt;&lt;contributors&gt;&lt;authors&gt;&lt;author&gt;Jan E. Leighley&lt;/author&gt;&lt;/authors&gt;&lt;/contributors&gt;&lt;titles&gt;&lt;title&gt;Mass Media and Politics&lt;/title&gt;&lt;/titles&gt;&lt;dates&gt;&lt;year&gt;2004&lt;/year&gt;&lt;/dates&gt;&lt;pub-location&gt;New York&lt;/pub-location&gt;&lt;publisher&gt;Houghton Miffin Company&lt;/publisher&gt;&lt;urls&gt;&lt;/urls&gt;&lt;/record&gt;&lt;/Cite&gt;&lt;/EndNote&gt;</w:instrText>
      </w:r>
      <w:r w:rsidRPr="005D3F76">
        <w:rPr>
          <w:rFonts w:cs="Times New Roman"/>
        </w:rPr>
        <w:fldChar w:fldCharType="separate"/>
      </w:r>
      <w:r w:rsidRPr="005D3F76">
        <w:rPr>
          <w:rFonts w:cs="Times New Roman"/>
          <w:noProof/>
        </w:rPr>
        <w:t>(Leighley, 2004a)</w:t>
      </w:r>
      <w:r w:rsidRPr="005D3F76">
        <w:rPr>
          <w:rFonts w:cs="Times New Roman"/>
        </w:rPr>
        <w:fldChar w:fldCharType="end"/>
      </w:r>
      <w:r w:rsidRPr="005D3F76">
        <w:rPr>
          <w:rFonts w:cs="Times New Roman"/>
        </w:rPr>
        <w:t xml:space="preserve">. Even in newspapers like the </w:t>
      </w:r>
      <w:r w:rsidRPr="005D3F76">
        <w:rPr>
          <w:rFonts w:cs="Times New Roman"/>
          <w:i/>
        </w:rPr>
        <w:t xml:space="preserve">Times </w:t>
      </w:r>
      <w:r w:rsidRPr="005D3F76">
        <w:rPr>
          <w:rFonts w:cs="Times New Roman"/>
        </w:rPr>
        <w:t xml:space="preserve">that carry a </w:t>
      </w:r>
      <w:r w:rsidRPr="005D3F76">
        <w:rPr>
          <w:rFonts w:cs="Times New Roman"/>
        </w:rPr>
        <w:lastRenderedPageBreak/>
        <w:t xml:space="preserve">lot of articles concerning labor relations, these seemed to still be dwarfed by the newspaper’s coverage of finance and the like. </w:t>
      </w:r>
    </w:p>
    <w:p w14:paraId="1A6D8821" w14:textId="4E3142BF" w:rsidR="00C379DD" w:rsidRPr="005D3F76" w:rsidRDefault="00C379DD" w:rsidP="001B1E2A">
      <w:pPr>
        <w:rPr>
          <w:rFonts w:cs="Times New Roman"/>
        </w:rPr>
      </w:pPr>
      <w:r w:rsidRPr="005D3F76">
        <w:rPr>
          <w:rFonts w:cs="Times New Roman"/>
        </w:rPr>
        <w:tab/>
        <w:t xml:space="preserve">However, more coverage may in fact lead to the chance that more bias will come forth concerning the anti-union stance we have seen in this research. Media organizations, need to reframe from producing news coverage that pushes certain ideologies onto the larger society that can be considered socially unjust practices, even though they are owned and often times operated by certain individuals that have certain agenda’s in mind. The idea of ideological hegemony and the damages that can be done when false, misleading, nonfactual, or overtly biased information </w:t>
      </w:r>
      <w:r w:rsidR="007C62D0" w:rsidRPr="005D3F76">
        <w:rPr>
          <w:rFonts w:cs="Times New Roman"/>
        </w:rPr>
        <w:t>are</w:t>
      </w:r>
      <w:r w:rsidRPr="005D3F76">
        <w:rPr>
          <w:rFonts w:cs="Times New Roman"/>
        </w:rPr>
        <w:t xml:space="preserve"> given to the public at large as simply ‘news,’ needs to be called out by researchers and activists alike, as well as</w:t>
      </w:r>
      <w:r w:rsidR="007C62D0" w:rsidRPr="005D3F76">
        <w:rPr>
          <w:rFonts w:cs="Times New Roman"/>
        </w:rPr>
        <w:t>,</w:t>
      </w:r>
      <w:r w:rsidRPr="005D3F76">
        <w:rPr>
          <w:rFonts w:cs="Times New Roman"/>
        </w:rPr>
        <w:t xml:space="preserve"> the unions themselves. </w:t>
      </w:r>
    </w:p>
    <w:p w14:paraId="770C09A4" w14:textId="5EC8ECC2" w:rsidR="00C379DD" w:rsidRPr="005D3F76" w:rsidRDefault="00C379DD" w:rsidP="001B1E2A">
      <w:pPr>
        <w:rPr>
          <w:rFonts w:cs="Times New Roman"/>
        </w:rPr>
      </w:pPr>
      <w:r w:rsidRPr="005D3F76">
        <w:rPr>
          <w:rFonts w:cs="Times New Roman"/>
        </w:rPr>
        <w:tab/>
        <w:t xml:space="preserve">There are some signs that the media is changing as we continue on into the twenty-first century, though. New media forums, such as: </w:t>
      </w:r>
      <w:r w:rsidRPr="005D3F76">
        <w:rPr>
          <w:rFonts w:cs="Times New Roman"/>
          <w:i/>
        </w:rPr>
        <w:t>Salon</w:t>
      </w:r>
      <w:r w:rsidRPr="005D3F76">
        <w:rPr>
          <w:rFonts w:cs="Times New Roman"/>
        </w:rPr>
        <w:t xml:space="preserve">, </w:t>
      </w:r>
      <w:r w:rsidRPr="005D3F76">
        <w:rPr>
          <w:rFonts w:cs="Times New Roman"/>
          <w:i/>
        </w:rPr>
        <w:t>Huffington Post</w:t>
      </w:r>
      <w:r w:rsidRPr="005D3F76">
        <w:rPr>
          <w:rFonts w:cs="Times New Roman"/>
        </w:rPr>
        <w:t xml:space="preserve">, and </w:t>
      </w:r>
      <w:r w:rsidRPr="005D3F76">
        <w:rPr>
          <w:rFonts w:cs="Times New Roman"/>
          <w:i/>
        </w:rPr>
        <w:t>Gawker,</w:t>
      </w:r>
      <w:r w:rsidRPr="005D3F76">
        <w:rPr>
          <w:rFonts w:cs="Times New Roman"/>
        </w:rPr>
        <w:t xml:space="preserve"> have unions that protect their writers from the over-reaching of the owners and their ideologies. It would seem that the new generation of journalists have witnessed for themselves the inequalities in U.S. society that have been so stark since the beginning of the 2000’s </w:t>
      </w:r>
      <w:r w:rsidRPr="005D3F76">
        <w:rPr>
          <w:rFonts w:cs="Times New Roman"/>
        </w:rPr>
        <w:fldChar w:fldCharType="begin"/>
      </w:r>
      <w:r w:rsidRPr="005D3F76">
        <w:rPr>
          <w:rFonts w:cs="Times New Roman"/>
        </w:rPr>
        <w:instrText xml:space="preserve"> ADDIN EN.CITE &lt;EndNote&gt;&lt;Cite&gt;&lt;Author&gt;Hackett&lt;/Author&gt;&lt;Year&gt;2006&lt;/Year&gt;&lt;RecNum&gt;354&lt;/RecNum&gt;&lt;DisplayText&gt;(Hackett, 2006)&lt;/DisplayText&gt;&lt;record&gt;&lt;rec-number&gt;354&lt;/rec-number&gt;&lt;foreign-keys&gt;&lt;key app="EN" db-id="etwareaz8xpxz3et59b50d9vxrata9z2w2zt" timestamp="1470537584"&gt;354&lt;/key&gt;&lt;/foreign-keys&gt;&lt;ref-type name="Journal Article"&gt;17&lt;/ref-type&gt;&lt;contributors&gt;&lt;authors&gt;&lt;author&gt;Robert A Hackett&lt;/author&gt;&lt;/authors&gt;&lt;/contributors&gt;&lt;titles&gt;&lt;title&gt;Is Peace Journalism Possible? Three Frameworks for Assessing Stucture and Agency in News Media&lt;/title&gt;&lt;secondary-title&gt;Conflict &amp;amp; Communication Online&lt;/secondary-title&gt;&lt;/titles&gt;&lt;periodical&gt;&lt;full-title&gt;Conflict &amp;amp; Communication Online&lt;/full-title&gt;&lt;/periodical&gt;&lt;volume&gt;5&lt;/volume&gt;&lt;number&gt;2&lt;/number&gt;&lt;dates&gt;&lt;year&gt;2006&lt;/year&gt;&lt;/dates&gt;&lt;urls&gt;&lt;/urls&gt;&lt;/record&gt;&lt;/Cite&gt;&lt;/EndNote&gt;</w:instrText>
      </w:r>
      <w:r w:rsidRPr="005D3F76">
        <w:rPr>
          <w:rFonts w:cs="Times New Roman"/>
        </w:rPr>
        <w:fldChar w:fldCharType="separate"/>
      </w:r>
      <w:r w:rsidRPr="005D3F76">
        <w:rPr>
          <w:rFonts w:cs="Times New Roman"/>
          <w:noProof/>
        </w:rPr>
        <w:t>(Hackett, 2006)</w:t>
      </w:r>
      <w:r w:rsidRPr="005D3F76">
        <w:rPr>
          <w:rFonts w:cs="Times New Roman"/>
        </w:rPr>
        <w:fldChar w:fldCharType="end"/>
      </w:r>
      <w:r w:rsidRPr="005D3F76">
        <w:rPr>
          <w:rFonts w:cs="Times New Roman"/>
        </w:rPr>
        <w:t>. With the online move for many members of the media comes a new reality, one that see’s the journalists as vulnerable members of the working class. In this v</w:t>
      </w:r>
      <w:r w:rsidR="007C62D0" w:rsidRPr="005D3F76">
        <w:rPr>
          <w:rFonts w:cs="Times New Roman"/>
        </w:rPr>
        <w:t>e</w:t>
      </w:r>
      <w:r w:rsidRPr="005D3F76">
        <w:rPr>
          <w:rFonts w:cs="Times New Roman"/>
        </w:rPr>
        <w:t>in, it is through their experiences in this working realm that the new generation of writers won’t repeat the same mistakes</w:t>
      </w:r>
      <w:r w:rsidR="007C62D0" w:rsidRPr="005D3F76">
        <w:rPr>
          <w:rFonts w:cs="Times New Roman"/>
        </w:rPr>
        <w:t>,</w:t>
      </w:r>
      <w:r w:rsidRPr="005D3F76">
        <w:rPr>
          <w:rFonts w:cs="Times New Roman"/>
        </w:rPr>
        <w:t xml:space="preserve"> by writing information that is blatantly biased and unfair to labor in the U.S. It is recommended for these new writers, and even the ones that have written for a long time, to give the </w:t>
      </w:r>
      <w:r w:rsidR="007C62D0" w:rsidRPr="005D3F76">
        <w:rPr>
          <w:rFonts w:cs="Times New Roman"/>
        </w:rPr>
        <w:t xml:space="preserve">unions and the issues they are fighting for, </w:t>
      </w:r>
      <w:r w:rsidRPr="005D3F76">
        <w:rPr>
          <w:rFonts w:cs="Times New Roman"/>
        </w:rPr>
        <w:t>their due space in the media, particularly seeing that the information being given out is as fair and neutrally reported as can be.</w:t>
      </w:r>
    </w:p>
    <w:p w14:paraId="23DAC680" w14:textId="645AD0FB" w:rsidR="00C379DD" w:rsidRPr="005D3F76" w:rsidRDefault="00C379DD" w:rsidP="001B1E2A">
      <w:pPr>
        <w:rPr>
          <w:rFonts w:cs="Times New Roman"/>
        </w:rPr>
      </w:pPr>
      <w:r w:rsidRPr="005D3F76">
        <w:rPr>
          <w:rFonts w:cs="Times New Roman"/>
        </w:rPr>
        <w:lastRenderedPageBreak/>
        <w:tab/>
        <w:t xml:space="preserve">Furthermore, if the media is going to charge the public sector unions with being more transparent, thus being more accountable to society as they claim they want them to be, the media should be held to the same accountability standards. The media claims that they self-regulate in terms of their reporting; they fix what is incorrect.  However, it seems that it is grossly negligent for them to retract or make necessary changes since these changes generally appear buried deeply in the pages of the newspaper. Therefore, I believe there should </w:t>
      </w:r>
      <w:r w:rsidR="007C62D0" w:rsidRPr="005D3F76">
        <w:rPr>
          <w:rFonts w:cs="Times New Roman"/>
        </w:rPr>
        <w:t>be an independent board that do</w:t>
      </w:r>
      <w:r w:rsidRPr="005D3F76">
        <w:rPr>
          <w:rFonts w:cs="Times New Roman"/>
        </w:rPr>
        <w:t xml:space="preserve"> audits of the information presented within the media organizations</w:t>
      </w:r>
      <w:r w:rsidR="007C62D0" w:rsidRPr="005D3F76">
        <w:rPr>
          <w:rFonts w:cs="Times New Roman"/>
        </w:rPr>
        <w:t>. This organization should</w:t>
      </w:r>
      <w:r w:rsidRPr="005D3F76">
        <w:rPr>
          <w:rFonts w:cs="Times New Roman"/>
        </w:rPr>
        <w:t xml:space="preserve"> check and rate the reliability and factual information, among other factors, creating a standard accountability for them. This board should be independent from the media organizations, thereby hopefully creating greater accountability for the discourses that the media introduces to the larger society, thus creating less bias in their reporting. </w:t>
      </w:r>
      <w:r w:rsidR="007C62D0" w:rsidRPr="005D3F76">
        <w:rPr>
          <w:rFonts w:cs="Times New Roman"/>
        </w:rPr>
        <w:t>T</w:t>
      </w:r>
      <w:r w:rsidRPr="005D3F76">
        <w:rPr>
          <w:rFonts w:cs="Times New Roman"/>
        </w:rPr>
        <w:t>he information found by this board should be made available to the public. Media organizations would register with the board, thereby agreeing to the board’s standards of journalistic ethics and factual accuracy. Thus, the logo found on media would let readers know that the source has some accountability for what it is reporting to its audience. Although this may not end all bias or ideological presence, it would help to minimize gross negligence on the part of the media organization.</w:t>
      </w:r>
    </w:p>
    <w:p w14:paraId="1AFDE1F6" w14:textId="7ADD1348" w:rsidR="00C379DD" w:rsidRPr="005D3F76" w:rsidRDefault="00C379DD" w:rsidP="001B1E2A">
      <w:pPr>
        <w:rPr>
          <w:rFonts w:cs="Times New Roman"/>
        </w:rPr>
      </w:pPr>
      <w:r w:rsidRPr="005D3F76">
        <w:rPr>
          <w:rFonts w:cs="Times New Roman"/>
        </w:rPr>
        <w:tab/>
        <w:t>Another avenue for recommendations is in relation to the public sector/teacher unions themselves. Discouraged by media attitudes toward the unions, many of the unions do not want to have anything to do with the media</w:t>
      </w:r>
      <w:r w:rsidR="00D15CA7" w:rsidRPr="005D3F76">
        <w:rPr>
          <w:rFonts w:cs="Times New Roman"/>
        </w:rPr>
        <w:t xml:space="preserve">. Oftentimes they do not return phone calls to those in the media even when it </w:t>
      </w:r>
      <w:r w:rsidRPr="005D3F76">
        <w:rPr>
          <w:rFonts w:cs="Times New Roman"/>
        </w:rPr>
        <w:t>would be most advantageous for them to do so</w:t>
      </w:r>
      <w:r w:rsidR="00D15CA7" w:rsidRPr="005D3F76">
        <w:rPr>
          <w:rFonts w:cs="Times New Roman"/>
        </w:rPr>
        <w:t>. The unions do not want to be in contact with the media</w:t>
      </w:r>
      <w:r w:rsidRPr="005D3F76">
        <w:rPr>
          <w:rFonts w:cs="Times New Roman"/>
        </w:rPr>
        <w:t xml:space="preserve"> for fear of being misrepresented and/or being misquoted within the reporting </w:t>
      </w:r>
      <w:r w:rsidRPr="005D3F76">
        <w:rPr>
          <w:rFonts w:cs="Times New Roman"/>
        </w:rPr>
        <w:fldChar w:fldCharType="begin"/>
      </w:r>
      <w:r w:rsidRPr="005D3F76">
        <w:rPr>
          <w:rFonts w:cs="Times New Roman"/>
        </w:rPr>
        <w:instrText xml:space="preserve"> ADDIN EN.CITE &lt;EndNote&gt;&lt;Cite&gt;&lt;Author&gt;Epton&lt;/Author&gt;&lt;Year&gt;2004&lt;/Year&gt;&lt;RecNum&gt;355&lt;/RecNum&gt;&lt;DisplayText&gt;(Epton, 2004)&lt;/DisplayText&gt;&lt;record&gt;&lt;rec-number&gt;355&lt;/rec-number&gt;&lt;foreign-keys&gt;&lt;key app="EN" db-id="etwareaz8xpxz3et59b50d9vxrata9z2w2zt" timestamp="1470538182"&gt;355&lt;/key&gt;&lt;/foreign-keys&gt;&lt;ref-type name="Web Page"&gt;12&lt;/ref-type&gt;&lt;contributors&gt;&lt;authors&gt;&lt;author&gt;Jeff Epton&lt;/author&gt;&lt;/authors&gt;&lt;secondary-authors&gt;&lt;author&gt;AlterNet&lt;/author&gt;&lt;/secondary-authors&gt;&lt;/contributors&gt;&lt;titles&gt;&lt;title&gt;Mainstream Media&amp;apos;s Anti-Union Bias&lt;/title&gt;&lt;secondary-title&gt;In These Times&lt;/secondary-title&gt;&lt;/titles&gt;&lt;volume&gt;2016&lt;/volume&gt;&lt;number&gt;July&lt;/number&gt;&lt;dates&gt;&lt;year&gt;2004&lt;/year&gt;&lt;/dates&gt;&lt;urls&gt;&lt;related-urls&gt;&lt;url&gt;http://www3.alternet.org/story/17658/mainstream_media&amp;apos;s_anti-union_bias&lt;/url&gt;&lt;/related-urls&gt;&lt;/urls&gt;&lt;/record&gt;&lt;/Cite&gt;&lt;/EndNote&gt;</w:instrText>
      </w:r>
      <w:r w:rsidRPr="005D3F76">
        <w:rPr>
          <w:rFonts w:cs="Times New Roman"/>
        </w:rPr>
        <w:fldChar w:fldCharType="separate"/>
      </w:r>
      <w:r w:rsidRPr="005D3F76">
        <w:rPr>
          <w:rFonts w:cs="Times New Roman"/>
          <w:noProof/>
        </w:rPr>
        <w:t>(Epton, 2004)</w:t>
      </w:r>
      <w:r w:rsidRPr="005D3F76">
        <w:rPr>
          <w:rFonts w:cs="Times New Roman"/>
        </w:rPr>
        <w:fldChar w:fldCharType="end"/>
      </w:r>
      <w:r w:rsidRPr="005D3F76">
        <w:rPr>
          <w:rFonts w:cs="Times New Roman"/>
        </w:rPr>
        <w:t xml:space="preserve">. Unfortunately, there is little that can be done to protect themselves from </w:t>
      </w:r>
      <w:r w:rsidRPr="005D3F76">
        <w:rPr>
          <w:rFonts w:cs="Times New Roman"/>
        </w:rPr>
        <w:lastRenderedPageBreak/>
        <w:t xml:space="preserve">these issues concerning the media. However, because of these </w:t>
      </w:r>
      <w:r w:rsidR="00E341FA" w:rsidRPr="005D3F76">
        <w:rPr>
          <w:rFonts w:cs="Times New Roman"/>
        </w:rPr>
        <w:t>fears,</w:t>
      </w:r>
      <w:r w:rsidRPr="005D3F76">
        <w:rPr>
          <w:rFonts w:cs="Times New Roman"/>
        </w:rPr>
        <w:t xml:space="preserve"> the media very rarely gives reports on the attitudes and undertakings of the unions themselves. Those mundane issues can later turn into huge issues leading to strikes and sit-ins. Throughout much of the twentieth-century, major media outlets, like the </w:t>
      </w:r>
      <w:r w:rsidRPr="005D3F76">
        <w:rPr>
          <w:rFonts w:cs="Times New Roman"/>
          <w:i/>
        </w:rPr>
        <w:t>Times</w:t>
      </w:r>
      <w:r w:rsidRPr="005D3F76">
        <w:rPr>
          <w:rFonts w:cs="Times New Roman"/>
        </w:rPr>
        <w:t xml:space="preserve"> and </w:t>
      </w:r>
      <w:r w:rsidRPr="005D3F76">
        <w:rPr>
          <w:rFonts w:cs="Times New Roman"/>
          <w:i/>
        </w:rPr>
        <w:t>WSJ,</w:t>
      </w:r>
      <w:r w:rsidRPr="005D3F76">
        <w:rPr>
          <w:rFonts w:cs="Times New Roman"/>
        </w:rPr>
        <w:t xml:space="preserve"> would have journalists that were assigned issues pertaining to labor, which included being in regular contact with the public sector unions. These journalists formed personal relationships, coming to understand and sympathize with them and the issues that they were dealing with concerning labor relations in the U.S. But sadly, unions do not want to reach out to the media any longer. However, it would be most advantageous for the public sector unions to do so, thus allowing the voices of the union and its members to be heard as well. Right now the view of unions in general is very skewed one way, as was witnessed by the lack of parents, students, and union voices in the research provided here; however, if the media were </w:t>
      </w:r>
      <w:r w:rsidR="00D15CA7" w:rsidRPr="005D3F76">
        <w:rPr>
          <w:rFonts w:cs="Times New Roman"/>
        </w:rPr>
        <w:t xml:space="preserve">influenced by outside sources, such as the board mentioned above </w:t>
      </w:r>
      <w:r w:rsidRPr="005D3F76">
        <w:rPr>
          <w:rFonts w:cs="Times New Roman"/>
        </w:rPr>
        <w:t>to add more voices to the conversation</w:t>
      </w:r>
      <w:r w:rsidR="00D15CA7" w:rsidRPr="005D3F76">
        <w:rPr>
          <w:rFonts w:cs="Times New Roman"/>
        </w:rPr>
        <w:t>,</w:t>
      </w:r>
      <w:r w:rsidRPr="005D3F76">
        <w:rPr>
          <w:rFonts w:cs="Times New Roman"/>
        </w:rPr>
        <w:t xml:space="preserve"> the better the outcome for everyone, possibly even unifying labor for all within society.</w:t>
      </w:r>
    </w:p>
    <w:p w14:paraId="18D25C75" w14:textId="392BBA26" w:rsidR="00C379DD" w:rsidRPr="005D3F76" w:rsidRDefault="00C379DD" w:rsidP="001B1E2A">
      <w:pPr>
        <w:shd w:val="clear" w:color="auto" w:fill="FFFFFF"/>
        <w:ind w:firstLine="360"/>
        <w:rPr>
          <w:rFonts w:cs="Times New Roman"/>
          <w:szCs w:val="24"/>
        </w:rPr>
      </w:pPr>
      <w:r w:rsidRPr="005D3F76">
        <w:rPr>
          <w:rFonts w:cs="Times New Roman"/>
        </w:rPr>
        <w:tab/>
      </w:r>
      <w:r w:rsidRPr="005D3F76">
        <w:rPr>
          <w:rFonts w:cs="Times New Roman"/>
          <w:szCs w:val="24"/>
        </w:rPr>
        <w:t xml:space="preserve">Further, in spite of public sector unions presence in the political arena, many of the reform efforts and policies like ACT-10 that are touted by the media and reformers as intending to improve education in the U.S. are not contributing to improvement at all.  Many of these policies and laws that are supposed to be helping education have in many instances hurt it by targeting the influence the unions have in regards to decisions to the overall well-being of both students and teachers </w:t>
      </w:r>
      <w:r w:rsidRPr="005D3F76">
        <w:rPr>
          <w:rFonts w:cs="Times New Roman"/>
          <w:szCs w:val="24"/>
        </w:rPr>
        <w:fldChar w:fldCharType="begin">
          <w:fldData xml:space="preserve">PEVuZE5vdGU+PENpdGU+PEF1dGhvcj5Sb3RoZXJtYW48L0F1dGhvcj48WWVhcj4yMDA4PC9ZZWFy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=
</w:fldData>
        </w:fldChar>
      </w:r>
      <w:r w:rsidRPr="005D3F76">
        <w:rPr>
          <w:rFonts w:cs="Times New Roman"/>
          <w:szCs w:val="24"/>
        </w:rPr>
        <w:instrText xml:space="preserve"> ADDIN EN.CITE </w:instrText>
      </w:r>
      <w:r w:rsidRPr="005D3F76">
        <w:rPr>
          <w:rFonts w:cs="Times New Roman"/>
          <w:szCs w:val="24"/>
        </w:rPr>
        <w:fldChar w:fldCharType="begin">
          <w:fldData xml:space="preserve">PEVuZE5vdGU+PENpdGU+PEF1dGhvcj5Sb3RoZXJtYW48L0F1dGhvcj48WWVhcj4yMDA4PC9ZZWFy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=
</w:fldData>
        </w:fldChar>
      </w:r>
      <w:r w:rsidRPr="005D3F76">
        <w:rPr>
          <w:rFonts w:cs="Times New Roman"/>
          <w:szCs w:val="24"/>
        </w:rPr>
        <w:instrText xml:space="preserve"> ADDIN EN.CITE.DATA </w:instrText>
      </w:r>
      <w:r w:rsidRPr="005D3F76">
        <w:rPr>
          <w:rFonts w:cs="Times New Roman"/>
          <w:szCs w:val="24"/>
        </w:rPr>
      </w:r>
      <w:r w:rsidRPr="005D3F76">
        <w:rPr>
          <w:rFonts w:cs="Times New Roman"/>
          <w:szCs w:val="24"/>
        </w:rPr>
        <w:fldChar w:fldCharType="end"/>
      </w:r>
      <w:r w:rsidRPr="005D3F76">
        <w:rPr>
          <w:rFonts w:cs="Times New Roman"/>
          <w:szCs w:val="24"/>
        </w:rPr>
      </w:r>
      <w:r w:rsidRPr="005D3F76">
        <w:rPr>
          <w:rFonts w:cs="Times New Roman"/>
          <w:szCs w:val="24"/>
        </w:rPr>
        <w:fldChar w:fldCharType="separate"/>
      </w:r>
      <w:r w:rsidRPr="005D3F76">
        <w:rPr>
          <w:rFonts w:cs="Times New Roman"/>
          <w:noProof/>
          <w:szCs w:val="24"/>
        </w:rPr>
        <w:t>(Cowen &amp; Strunk, 2014; Rotherman, 2008; Swalwell, 2014)</w:t>
      </w:r>
      <w:r w:rsidRPr="005D3F76">
        <w:rPr>
          <w:rFonts w:cs="Times New Roman"/>
          <w:szCs w:val="24"/>
        </w:rPr>
        <w:fldChar w:fldCharType="end"/>
      </w:r>
      <w:r w:rsidRPr="005D3F76">
        <w:rPr>
          <w:rFonts w:cs="Times New Roman"/>
          <w:szCs w:val="24"/>
        </w:rPr>
        <w:t>. For example, many states, including Wisconsin, have legally relegated things like seniority and collective bargaining out of the practice of teaching. I am recommending in the case of the government that they stop enacting further le</w:t>
      </w:r>
      <w:r w:rsidR="00D15CA7" w:rsidRPr="005D3F76">
        <w:rPr>
          <w:rFonts w:cs="Times New Roman"/>
          <w:szCs w:val="24"/>
        </w:rPr>
        <w:t xml:space="preserve">gislation that is detrimental </w:t>
      </w:r>
      <w:r w:rsidRPr="005D3F76">
        <w:rPr>
          <w:rFonts w:cs="Times New Roman"/>
          <w:szCs w:val="24"/>
        </w:rPr>
        <w:t xml:space="preserve">to both public sector and private sector </w:t>
      </w:r>
      <w:r w:rsidRPr="005D3F76">
        <w:rPr>
          <w:rFonts w:cs="Times New Roman"/>
          <w:szCs w:val="24"/>
        </w:rPr>
        <w:lastRenderedPageBreak/>
        <w:t xml:space="preserve">unions. Doing so, will help ensure a more productive and economically forward society of individuals that see both unions and government as socially just entities </w:t>
      </w:r>
      <w:r w:rsidRPr="005D3F76">
        <w:rPr>
          <w:rFonts w:cs="Times New Roman"/>
          <w:szCs w:val="24"/>
        </w:rPr>
        <w:fldChar w:fldCharType="begin"/>
      </w:r>
      <w:r w:rsidRPr="005D3F76">
        <w:rPr>
          <w:rFonts w:cs="Times New Roman"/>
          <w:szCs w:val="24"/>
        </w:rPr>
        <w:instrText xml:space="preserve"> ADDIN EN.CITE &lt;EndNote&gt;&lt;Cite&gt;&lt;Author&gt;Devinatz&lt;/Author&gt;&lt;Year&gt;2004&lt;/Year&gt;&lt;RecNum&gt;356&lt;/RecNum&gt;&lt;DisplayText&gt;(Devinatz, 2004)&lt;/DisplayText&gt;&lt;record&gt;&lt;rec-number&gt;356&lt;/rec-number&gt;&lt;foreign-keys&gt;&lt;key app="EN" db-id="etwareaz8xpxz3et59b50d9vxrata9z2w2zt" timestamp="1470585232"&gt;356&lt;/key&gt;&lt;/foreign-keys&gt;&lt;ref-type name="Online Database"&gt;45&lt;/ref-type&gt;&lt;contributors&gt;&lt;authors&gt;&lt;author&gt;Victor G. Devinatz&lt;/author&gt;&lt;/authors&gt;&lt;/contributors&gt;&lt;titles&gt;&lt;title&gt;Combatting Negative Views of Unions: A Defense of Labor Studies&lt;/title&gt;&lt;secondary-title&gt;Thought &amp;amp; Action&lt;/secondary-title&gt;&lt;/titles&gt;&lt;pages&gt;105-116&lt;/pages&gt;&lt;volume&gt;Winter&lt;/volume&gt;&lt;dates&gt;&lt;year&gt;2004&lt;/year&gt;&lt;pub-dates&gt;&lt;date&gt;July 2016&lt;/date&gt;&lt;/pub-dates&gt;&lt;/dates&gt;&lt;publisher&gt;NEA&lt;/publisher&gt;&lt;urls&gt;&lt;related-urls&gt;&lt;url&gt;http://www.nea.org/assets/img/PubThoughtAndAction/TAA_04Win_10.pdf&lt;/url&gt;&lt;/related-urls&gt;&lt;/urls&gt;&lt;/record&gt;&lt;/Cite&gt;&lt;/EndNote&gt;</w:instrText>
      </w:r>
      <w:r w:rsidRPr="005D3F76">
        <w:rPr>
          <w:rFonts w:cs="Times New Roman"/>
          <w:szCs w:val="24"/>
        </w:rPr>
        <w:fldChar w:fldCharType="separate"/>
      </w:r>
      <w:r w:rsidRPr="005D3F76">
        <w:rPr>
          <w:rFonts w:cs="Times New Roman"/>
          <w:noProof/>
          <w:szCs w:val="24"/>
        </w:rPr>
        <w:t>(Devinatz, 2004)</w:t>
      </w:r>
      <w:r w:rsidRPr="005D3F76">
        <w:rPr>
          <w:rFonts w:cs="Times New Roman"/>
          <w:szCs w:val="24"/>
        </w:rPr>
        <w:fldChar w:fldCharType="end"/>
      </w:r>
      <w:r w:rsidRPr="005D3F76">
        <w:rPr>
          <w:rFonts w:cs="Times New Roman"/>
          <w:szCs w:val="24"/>
        </w:rPr>
        <w:t>. Social justice and economic feasibility can go hand in hand. As a matter of fact, it is shown that economic productivity increases when workers are happier and</w:t>
      </w:r>
      <w:r w:rsidR="00D15CA7" w:rsidRPr="005D3F76">
        <w:rPr>
          <w:rFonts w:cs="Times New Roman"/>
          <w:szCs w:val="24"/>
        </w:rPr>
        <w:t xml:space="preserve"> fairness is apparent within social institutions around them</w:t>
      </w:r>
      <w:r w:rsidRPr="005D3F76">
        <w:rPr>
          <w:rFonts w:cs="Times New Roman"/>
          <w:szCs w:val="24"/>
        </w:rPr>
        <w:t xml:space="preserve"> </w:t>
      </w:r>
      <w:r w:rsidRPr="005D3F76">
        <w:rPr>
          <w:rFonts w:cs="Times New Roman"/>
          <w:szCs w:val="24"/>
        </w:rPr>
        <w:fldChar w:fldCharType="begin"/>
      </w:r>
      <w:r w:rsidRPr="005D3F76">
        <w:rPr>
          <w:rFonts w:cs="Times New Roman"/>
          <w:szCs w:val="24"/>
        </w:rPr>
        <w:instrText xml:space="preserve"> ADDIN EN.CITE &lt;EndNote&gt;&lt;Cite&gt;&lt;Author&gt;Devinatz&lt;/Author&gt;&lt;Year&gt;2004&lt;/Year&gt;&lt;RecNum&gt;356&lt;/RecNum&gt;&lt;DisplayText&gt;(Devinatz, 2004)&lt;/DisplayText&gt;&lt;record&gt;&lt;rec-number&gt;356&lt;/rec-number&gt;&lt;foreign-keys&gt;&lt;key app="EN" db-id="etwareaz8xpxz3et59b50d9vxrata9z2w2zt" timestamp="1470585232"&gt;356&lt;/key&gt;&lt;/foreign-keys&gt;&lt;ref-type name="Online Database"&gt;45&lt;/ref-type&gt;&lt;contributors&gt;&lt;authors&gt;&lt;author&gt;Victor G. Devinatz&lt;/author&gt;&lt;/authors&gt;&lt;/contributors&gt;&lt;titles&gt;&lt;title&gt;Combatting Negative Views of Unions: A Defense of Labor Studies&lt;/title&gt;&lt;secondary-title&gt;Thought &amp;amp; Action&lt;/secondary-title&gt;&lt;/titles&gt;&lt;pages&gt;105-116&lt;/pages&gt;&lt;volume&gt;Winter&lt;/volume&gt;&lt;dates&gt;&lt;year&gt;2004&lt;/year&gt;&lt;pub-dates&gt;&lt;date&gt;July 2016&lt;/date&gt;&lt;/pub-dates&gt;&lt;/dates&gt;&lt;publisher&gt;NEA&lt;/publisher&gt;&lt;urls&gt;&lt;related-urls&gt;&lt;url&gt;http://www.nea.org/assets/img/PubThoughtAndAction/TAA_04Win_10.pdf&lt;/url&gt;&lt;/related-urls&gt;&lt;/urls&gt;&lt;/record&gt;&lt;/Cite&gt;&lt;/EndNote&gt;</w:instrText>
      </w:r>
      <w:r w:rsidRPr="005D3F76">
        <w:rPr>
          <w:rFonts w:cs="Times New Roman"/>
          <w:szCs w:val="24"/>
        </w:rPr>
        <w:fldChar w:fldCharType="separate"/>
      </w:r>
      <w:r w:rsidRPr="005D3F76">
        <w:rPr>
          <w:rFonts w:cs="Times New Roman"/>
          <w:noProof/>
          <w:szCs w:val="24"/>
        </w:rPr>
        <w:t>(Devinatz, 2004)</w:t>
      </w:r>
      <w:r w:rsidRPr="005D3F76">
        <w:rPr>
          <w:rFonts w:cs="Times New Roman"/>
          <w:szCs w:val="24"/>
        </w:rPr>
        <w:fldChar w:fldCharType="end"/>
      </w:r>
      <w:r w:rsidRPr="005D3F76">
        <w:rPr>
          <w:rFonts w:cs="Times New Roman"/>
          <w:szCs w:val="24"/>
        </w:rPr>
        <w:t xml:space="preserve">.  </w:t>
      </w:r>
    </w:p>
    <w:p w14:paraId="5931AFEC" w14:textId="15766857" w:rsidR="00C379DD" w:rsidRPr="005D3F76" w:rsidRDefault="00C379DD" w:rsidP="001B1E2A">
      <w:pPr>
        <w:shd w:val="clear" w:color="auto" w:fill="FFFFFF"/>
        <w:ind w:firstLine="360"/>
        <w:rPr>
          <w:rFonts w:cs="Times New Roman"/>
          <w:szCs w:val="24"/>
        </w:rPr>
      </w:pPr>
      <w:r w:rsidRPr="005D3F76">
        <w:rPr>
          <w:rFonts w:cs="Times New Roman"/>
          <w:szCs w:val="24"/>
        </w:rPr>
        <w:t>We must also look to current legislation concerning unions and right to work to examine the benefits to the people within the U.S. If the answer is that it is not benefitting workers and their families, then what is the point to having laws and policies in place that only hinder the productivity and economic forwardness of the U.S.? Passing legislation (i.e. poli</w:t>
      </w:r>
      <w:r w:rsidR="00D15CA7" w:rsidRPr="005D3F76">
        <w:rPr>
          <w:rFonts w:cs="Times New Roman"/>
          <w:szCs w:val="24"/>
        </w:rPr>
        <w:t>cy lightening) on the whim of an</w:t>
      </w:r>
      <w:r w:rsidRPr="005D3F76">
        <w:rPr>
          <w:rFonts w:cs="Times New Roman"/>
          <w:szCs w:val="24"/>
        </w:rPr>
        <w:t xml:space="preserve"> individual’s view of an issue, or one episode of an event taking place at one point in time, like the shooting of children in Sandy Hook school, does not make for good policy making. We need to help individuals understand that who they vote for is important, and will reflect what that person stands for within their own lives at home</w:t>
      </w:r>
      <w:r w:rsidR="00D15CA7" w:rsidRPr="005D3F76">
        <w:rPr>
          <w:rFonts w:cs="Times New Roman"/>
          <w:szCs w:val="24"/>
        </w:rPr>
        <w:t>.</w:t>
      </w:r>
      <w:r w:rsidRPr="005D3F76">
        <w:rPr>
          <w:rFonts w:cs="Times New Roman"/>
          <w:szCs w:val="24"/>
        </w:rPr>
        <w:t xml:space="preserve"> Further, how these individuals react to situations also makes a huge difference in how things change, and how they will affect everyone down the line who is affected by a new law or policy. Thus, voting and understanding policy, legislation, and the processes of government are important as well for all citizens within the U.S.</w:t>
      </w:r>
      <w:r w:rsidR="00D15CA7" w:rsidRPr="005D3F76">
        <w:rPr>
          <w:rFonts w:cs="Times New Roman"/>
          <w:szCs w:val="24"/>
        </w:rPr>
        <w:t>, and needs to be the focus within education and as we go out to vote as citizens of the U.S.</w:t>
      </w:r>
    </w:p>
    <w:p w14:paraId="6236CC25" w14:textId="77777777" w:rsidR="00C379DD" w:rsidRPr="005D3F76" w:rsidRDefault="00C379DD" w:rsidP="001B1E2A">
      <w:pPr>
        <w:ind w:firstLine="720"/>
        <w:rPr>
          <w:rFonts w:cs="Times New Roman"/>
        </w:rPr>
      </w:pPr>
      <w:r w:rsidRPr="005D3F76">
        <w:rPr>
          <w:rFonts w:cs="Times New Roman"/>
        </w:rPr>
        <w:t xml:space="preserve">I will turn now to probably one of the most important recommendations concerning the media, labor unions, and the government—education. In terms of my own education throughout most of both high school and undergraduate degrees, I do not remember having any discussions about how important labor unions were to the overall development of U.S. society. Nor do I remember ever being taught how to really critically examine varying aspects of academic work, </w:t>
      </w:r>
      <w:r w:rsidRPr="005D3F76">
        <w:rPr>
          <w:rFonts w:cs="Times New Roman"/>
        </w:rPr>
        <w:lastRenderedPageBreak/>
        <w:t xml:space="preserve">let alone things within my everyday life, like movies, television shows, the news, and books, until I was studying for my master’s degree. I remember as an undergraduate in the history department briefly reading two or three paragraphs about Samuel Gompers (the first president of the AFL), but that was about the extent of the labor unionization that was covered. I am not sure if because I studied in Southern states it may be to blame for the lack of coverage on unions, but I would speculate that this is probably more normal across the U.S. as far as coverage for labor unions, then it is being abnormal.  In fact, Victor Devinatz </w:t>
      </w:r>
      <w:r w:rsidRPr="005D3F76">
        <w:rPr>
          <w:rFonts w:cs="Times New Roman"/>
        </w:rPr>
        <w:fldChar w:fldCharType="begin"/>
      </w:r>
      <w:r w:rsidRPr="005D3F76">
        <w:rPr>
          <w:rFonts w:cs="Times New Roman"/>
        </w:rPr>
        <w:instrText xml:space="preserve"> ADDIN EN.CITE &lt;EndNote&gt;&lt;Cite ExcludeAuth="1"&gt;&lt;Author&gt;Devinatz&lt;/Author&gt;&lt;Year&gt;2004&lt;/Year&gt;&lt;RecNum&gt;356&lt;/RecNum&gt;&lt;DisplayText&gt;(2004)&lt;/DisplayText&gt;&lt;record&gt;&lt;rec-number&gt;356&lt;/rec-number&gt;&lt;foreign-keys&gt;&lt;key app="EN" db-id="etwareaz8xpxz3et59b50d9vxrata9z2w2zt" timestamp="1470585232"&gt;356&lt;/key&gt;&lt;/foreign-keys&gt;&lt;ref-type name="Online Database"&gt;45&lt;/ref-type&gt;&lt;contributors&gt;&lt;authors&gt;&lt;author&gt;Victor G. Devinatz&lt;/author&gt;&lt;/authors&gt;&lt;/contributors&gt;&lt;titles&gt;&lt;title&gt;Combatting Negative Views of Unions: A Defense of Labor Studies&lt;/title&gt;&lt;secondary-title&gt;Thought &amp;amp; Action&lt;/secondary-title&gt;&lt;/titles&gt;&lt;pages&gt;105-116&lt;/pages&gt;&lt;volume&gt;Winter&lt;/volume&gt;&lt;dates&gt;&lt;year&gt;2004&lt;/year&gt;&lt;pub-dates&gt;&lt;date&gt;July 2016&lt;/date&gt;&lt;/pub-dates&gt;&lt;/dates&gt;&lt;publisher&gt;NEA&lt;/publisher&gt;&lt;urls&gt;&lt;related-urls&gt;&lt;url&gt;http://www.nea.org/assets/img/PubThoughtAndAction/TAA_04Win_10.pdf&lt;/url&gt;&lt;/related-urls&gt;&lt;/urls&gt;&lt;/record&gt;&lt;/Cite&gt;&lt;/EndNote&gt;</w:instrText>
      </w:r>
      <w:r w:rsidRPr="005D3F76">
        <w:rPr>
          <w:rFonts w:cs="Times New Roman"/>
        </w:rPr>
        <w:fldChar w:fldCharType="separate"/>
      </w:r>
      <w:r w:rsidRPr="005D3F76">
        <w:rPr>
          <w:rFonts w:cs="Times New Roman"/>
          <w:noProof/>
        </w:rPr>
        <w:t>(2004)</w:t>
      </w:r>
      <w:r w:rsidRPr="005D3F76">
        <w:rPr>
          <w:rFonts w:cs="Times New Roman"/>
        </w:rPr>
        <w:fldChar w:fldCharType="end"/>
      </w:r>
      <w:r w:rsidRPr="005D3F76">
        <w:rPr>
          <w:rFonts w:cs="Times New Roman"/>
        </w:rPr>
        <w:t>, who teaches history at Illinois State University, reports that “many of the students (usually second-semester juniors and seniors) in [his] labor relations classes [et. al] report that they cannot remember discussing the labor movement in high school and before they actually get into the subject matter of the class, their perceptions of labor unions are almost always negative” (p. 106). This lack of knowledge is problematic, and what’s worse is that when they are confronted with issues pertaining to labor unions, it is usually in a manner through which the media is presenting them as anything but good.</w:t>
      </w:r>
    </w:p>
    <w:p w14:paraId="6B42985B" w14:textId="63B5386A" w:rsidR="00C379DD" w:rsidRPr="005D3F76" w:rsidRDefault="00C379DD" w:rsidP="001B1E2A">
      <w:pPr>
        <w:rPr>
          <w:rFonts w:cs="Times New Roman"/>
        </w:rPr>
      </w:pPr>
      <w:r w:rsidRPr="005D3F76">
        <w:rPr>
          <w:rFonts w:cs="Times New Roman"/>
        </w:rPr>
        <w:tab/>
        <w:t>In this matter, the curriculum in public schools must step up and present labor unions far more than they do now</w:t>
      </w:r>
      <w:r w:rsidR="00D15CA7" w:rsidRPr="005D3F76">
        <w:rPr>
          <w:rFonts w:cs="Times New Roman"/>
        </w:rPr>
        <w:t>. This should be</w:t>
      </w:r>
      <w:r w:rsidRPr="005D3F76">
        <w:rPr>
          <w:rFonts w:cs="Times New Roman"/>
        </w:rPr>
        <w:t xml:space="preserve"> in a manner that depicts the good and the bad, but most importantly the role they have played to help all workers within U.S. society. This is important to stress to students, as many of them see government regulation as a means to protect workers. What they often times fail to realize is that the unions are the ones who provided the means to that type of protective legislation. Also important in this same vain is the need to teach what the legislation is, and what it means to them as they begin their journey into the workforce.</w:t>
      </w:r>
    </w:p>
    <w:p w14:paraId="74DBD0FE" w14:textId="77777777" w:rsidR="00C379DD" w:rsidRPr="005D3F76" w:rsidRDefault="00C379DD" w:rsidP="001B1E2A">
      <w:pPr>
        <w:ind w:firstLine="720"/>
        <w:rPr>
          <w:rFonts w:cs="Times New Roman"/>
        </w:rPr>
      </w:pPr>
      <w:r w:rsidRPr="005D3F76">
        <w:rPr>
          <w:rFonts w:cs="Times New Roman"/>
        </w:rPr>
        <w:t xml:space="preserve">It is also important within a discussion of labor unions to discuss “how the labor movement has often been active in promoting social justice issues in the U.S. </w:t>
      </w:r>
      <w:r w:rsidRPr="005D3F76">
        <w:rPr>
          <w:rFonts w:cs="Times New Roman"/>
        </w:rPr>
        <w:fldChar w:fldCharType="begin"/>
      </w:r>
      <w:r w:rsidRPr="005D3F76">
        <w:rPr>
          <w:rFonts w:cs="Times New Roman"/>
        </w:rPr>
        <w:instrText xml:space="preserve"> ADDIN EN.CITE &lt;EndNote&gt;&lt;Cite&gt;&lt;Author&gt;Devinatz&lt;/Author&gt;&lt;Year&gt;2004&lt;/Year&gt;&lt;RecNum&gt;356&lt;/RecNum&gt;&lt;Pages&gt;112&lt;/Pages&gt;&lt;DisplayText&gt;(Devinatz, 2004, p. 112)&lt;/DisplayText&gt;&lt;record&gt;&lt;rec-number&gt;356&lt;/rec-number&gt;&lt;foreign-keys&gt;&lt;key app="EN" db-id="etwareaz8xpxz3et59b50d9vxrata9z2w2zt" timestamp="1470585232"&gt;356&lt;/key&gt;&lt;/foreign-keys&gt;&lt;ref-type name="Online Database"&gt;45&lt;/ref-type&gt;&lt;contributors&gt;&lt;authors&gt;&lt;author&gt;Victor G. Devinatz&lt;/author&gt;&lt;/authors&gt;&lt;/contributors&gt;&lt;titles&gt;&lt;title&gt;Combatting Negative Views of Unions: A Defense of Labor Studies&lt;/title&gt;&lt;secondary-title&gt;Thought &amp;amp; Action&lt;/secondary-title&gt;&lt;/titles&gt;&lt;pages&gt;105-116&lt;/pages&gt;&lt;volume&gt;Winter&lt;/volume&gt;&lt;dates&gt;&lt;year&gt;2004&lt;/year&gt;&lt;pub-dates&gt;&lt;date&gt;July 2016&lt;/date&gt;&lt;/pub-dates&gt;&lt;/dates&gt;&lt;publisher&gt;NEA&lt;/publisher&gt;&lt;urls&gt;&lt;related-urls&gt;&lt;url&gt;http://www.nea.org/assets/img/PubThoughtAndAction/TAA_04Win_10.pdf&lt;/url&gt;&lt;/related-urls&gt;&lt;/urls&gt;&lt;/record&gt;&lt;/Cite&gt;&lt;/EndNote&gt;</w:instrText>
      </w:r>
      <w:r w:rsidRPr="005D3F76">
        <w:rPr>
          <w:rFonts w:cs="Times New Roman"/>
        </w:rPr>
        <w:fldChar w:fldCharType="separate"/>
      </w:r>
      <w:r w:rsidRPr="005D3F76">
        <w:rPr>
          <w:rFonts w:cs="Times New Roman"/>
          <w:noProof/>
        </w:rPr>
        <w:t xml:space="preserve">(Devinatz, 2004, p. </w:t>
      </w:r>
      <w:r w:rsidRPr="005D3F76">
        <w:rPr>
          <w:rFonts w:cs="Times New Roman"/>
          <w:noProof/>
        </w:rPr>
        <w:lastRenderedPageBreak/>
        <w:t>112)</w:t>
      </w:r>
      <w:r w:rsidRPr="005D3F76">
        <w:rPr>
          <w:rFonts w:cs="Times New Roman"/>
        </w:rPr>
        <w:fldChar w:fldCharType="end"/>
      </w:r>
      <w:r w:rsidRPr="005D3F76">
        <w:rPr>
          <w:rFonts w:cs="Times New Roman"/>
        </w:rPr>
        <w:t>. For instance, one can see this within the efforts of the United Farm Workers (UFW) in the 1960’s. The UFW helped migrant lettuce and grape workers gain greater control over working conditions and pay in California. Further, specific instances of the work public sector unions should also be discussed, like what the teacher’s unions have done for the betterment of the teachers and students within the education system. Hearing stories from the teachers about their involvement or lack thereof, will also help students begin to understand about labor unions in the U.S. Again, just like with the media, the bias needs to be left out as much as possible unless stating that it is the teachers own opinion. My hope is that individuals begin to understand that unions help to promote a healthy democrat society that pushes against the fringes of our society, providing one of the few remaining voices that help speak for those not within the elite within U.S. society.</w:t>
      </w:r>
    </w:p>
    <w:p w14:paraId="2FED9CE1" w14:textId="77777777" w:rsidR="00C379DD" w:rsidRPr="005D3F76" w:rsidRDefault="00C379DD" w:rsidP="001B1E2A">
      <w:pPr>
        <w:rPr>
          <w:rFonts w:cs="Times New Roman"/>
        </w:rPr>
      </w:pPr>
      <w:r w:rsidRPr="005D3F76">
        <w:rPr>
          <w:rFonts w:cs="Times New Roman"/>
        </w:rPr>
        <w:tab/>
        <w:t>Further, within the history of labor unions, current discussions should include all types of unions, including those that are considered ‘white-collar’ and ‘pink-collar.’ Our transition in the twenty-first century from jobs that could be considered ‘blue-collar,’ such as those in manufacturing and vocational, to ‘white-collar,’ such as information technology, business, and government is an important topic to cover. We also need to examine deeply the value behind what is added to society concerning jobs that are ‘pink-collar,</w:t>
      </w:r>
      <w:r w:rsidRPr="005D3F76">
        <w:rPr>
          <w:rStyle w:val="EndnoteReference"/>
          <w:rFonts w:cs="Times New Roman"/>
        </w:rPr>
        <w:endnoteReference w:id="34"/>
      </w:r>
      <w:r w:rsidRPr="005D3F76">
        <w:rPr>
          <w:rFonts w:cs="Times New Roman"/>
        </w:rPr>
        <w:t xml:space="preserve">’ since they have largely been excluded from discussions concerning labor. Because of the emphasis of unionization in connection with more ‘blue-color’ work, many feel that unionization and the newer sort of employment opportunities are incompatible. But the fact is that they are compatible, and the unions are needed more than ever within our neoliberal/corporatist society. In educating students to the fact that unions are relevant and helpful to all workers, it will help the overall </w:t>
      </w:r>
      <w:r w:rsidRPr="005D3F76">
        <w:rPr>
          <w:rFonts w:cs="Times New Roman"/>
        </w:rPr>
        <w:lastRenderedPageBreak/>
        <w:t>understanding for them when reading and listening to media outlets in the future that discuss unions.</w:t>
      </w:r>
    </w:p>
    <w:p w14:paraId="49A84046" w14:textId="3EA128BD" w:rsidR="00C379DD" w:rsidRPr="005D3F76" w:rsidRDefault="00C379DD" w:rsidP="001B1E2A">
      <w:pPr>
        <w:rPr>
          <w:rFonts w:cs="Times New Roman"/>
        </w:rPr>
      </w:pPr>
      <w:r w:rsidRPr="005D3F76">
        <w:rPr>
          <w:rFonts w:cs="Times New Roman"/>
        </w:rPr>
        <w:tab/>
        <w:t xml:space="preserve">Finally, my last recommendation is that of criticality. We must as a society that strives to educate every member of the nation, teach individuals how to look beyond just the surface. We need to teach how to turn a critical eye on the media, and call for action when we see that the media is trying to use their means as a vehicle for a particular ideology as was seen within this research. We must also teach these same skills when it comes to the government and the laws and policies they are </w:t>
      </w:r>
      <w:r w:rsidR="00D15CA7" w:rsidRPr="005D3F76">
        <w:rPr>
          <w:rFonts w:cs="Times New Roman"/>
        </w:rPr>
        <w:t xml:space="preserve">being </w:t>
      </w:r>
      <w:r w:rsidRPr="005D3F76">
        <w:rPr>
          <w:rFonts w:cs="Times New Roman"/>
        </w:rPr>
        <w:t>enact</w:t>
      </w:r>
      <w:r w:rsidR="00D15CA7" w:rsidRPr="005D3F76">
        <w:rPr>
          <w:rFonts w:cs="Times New Roman"/>
        </w:rPr>
        <w:t>ed</w:t>
      </w:r>
      <w:r w:rsidRPr="005D3F76">
        <w:rPr>
          <w:rFonts w:cs="Times New Roman"/>
        </w:rPr>
        <w:t xml:space="preserve"> concerning not just unions, but all aspects of our society, especially when it pertains to issues of social justice. The future health and well-being of the U.S. are at risk when both the media and the government are left out of check. </w:t>
      </w:r>
    </w:p>
    <w:p w14:paraId="56B6A3C8" w14:textId="77777777" w:rsidR="00C379DD" w:rsidRPr="005D3F76" w:rsidRDefault="00C379DD" w:rsidP="00C379DD">
      <w:pPr>
        <w:pStyle w:val="Heading2"/>
        <w:rPr>
          <w:rFonts w:cs="Times New Roman"/>
        </w:rPr>
      </w:pPr>
      <w:bookmarkStart w:id="28" w:name="_Toc462843648"/>
      <w:r w:rsidRPr="005D3F76">
        <w:rPr>
          <w:rFonts w:cs="Times New Roman"/>
        </w:rPr>
        <w:t>Limitations</w:t>
      </w:r>
      <w:bookmarkEnd w:id="28"/>
    </w:p>
    <w:p w14:paraId="26279A2A" w14:textId="77777777" w:rsidR="00D15CA7" w:rsidRPr="005D3F76" w:rsidRDefault="00C379DD" w:rsidP="001B1E2A">
      <w:pPr>
        <w:shd w:val="clear" w:color="auto" w:fill="FFFFFF"/>
        <w:ind w:firstLine="720"/>
        <w:rPr>
          <w:rFonts w:cs="Times New Roman"/>
          <w:szCs w:val="24"/>
        </w:rPr>
      </w:pPr>
      <w:r w:rsidRPr="005D3F76">
        <w:rPr>
          <w:rFonts w:cs="Times New Roman"/>
          <w:szCs w:val="24"/>
        </w:rPr>
        <w:t>This study does have some limitations, most of which relate to</w:t>
      </w:r>
      <w:r w:rsidR="00D15CA7" w:rsidRPr="005D3F76">
        <w:rPr>
          <w:rFonts w:cs="Times New Roman"/>
          <w:szCs w:val="24"/>
        </w:rPr>
        <w:t xml:space="preserve"> predictability and reliability,</w:t>
      </w:r>
      <w:r w:rsidRPr="005D3F76">
        <w:rPr>
          <w:rFonts w:cs="Times New Roman"/>
          <w:szCs w:val="24"/>
        </w:rPr>
        <w:t xml:space="preserve"> geography, the newspapers, the authors of the articles, policy, and lastly, time.</w:t>
      </w:r>
    </w:p>
    <w:p w14:paraId="14A65DC5" w14:textId="4B7CC0F6" w:rsidR="00D15CA7" w:rsidRPr="005D3F76" w:rsidRDefault="00D15CA7" w:rsidP="001B1E2A">
      <w:pPr>
        <w:shd w:val="clear" w:color="auto" w:fill="FFFFFF"/>
        <w:ind w:firstLine="720"/>
        <w:rPr>
          <w:rFonts w:cs="Times New Roman"/>
          <w:szCs w:val="24"/>
        </w:rPr>
      </w:pPr>
      <w:r w:rsidRPr="005D3F76">
        <w:rPr>
          <w:rFonts w:cs="Times New Roman"/>
          <w:szCs w:val="24"/>
        </w:rPr>
        <w:t>First,</w:t>
      </w:r>
      <w:r w:rsidR="004E2A0E" w:rsidRPr="005D3F76">
        <w:rPr>
          <w:rFonts w:cs="Times New Roman"/>
          <w:szCs w:val="24"/>
        </w:rPr>
        <w:t xml:space="preserve"> although I did use the mechanisms previously described in the usage of CDA which I performed on the data four separate times, and I had a fellow colleague check my work on a number of occasions during and after the process, </w:t>
      </w:r>
      <w:r w:rsidR="00190671" w:rsidRPr="005D3F76">
        <w:rPr>
          <w:rFonts w:cs="Times New Roman"/>
          <w:szCs w:val="24"/>
        </w:rPr>
        <w:t>there are</w:t>
      </w:r>
      <w:r w:rsidR="004E2A0E" w:rsidRPr="005D3F76">
        <w:rPr>
          <w:rFonts w:cs="Times New Roman"/>
          <w:szCs w:val="24"/>
        </w:rPr>
        <w:t xml:space="preserve"> always questions of predictability and reliability of information found within the data. I do acknowledge this as a limitation of any work that takes on issues pertaining to that of language. Using different news organizations might lead to other types of </w:t>
      </w:r>
      <w:r w:rsidR="00190671" w:rsidRPr="005D3F76">
        <w:rPr>
          <w:rFonts w:cs="Times New Roman"/>
          <w:szCs w:val="24"/>
        </w:rPr>
        <w:t xml:space="preserve">outcomes and therefore may not be able to be replicated. </w:t>
      </w:r>
    </w:p>
    <w:p w14:paraId="37B60E24" w14:textId="7A831E95" w:rsidR="00C379DD" w:rsidRPr="005D3F76" w:rsidRDefault="00C379DD" w:rsidP="001B1E2A">
      <w:pPr>
        <w:shd w:val="clear" w:color="auto" w:fill="FFFFFF"/>
        <w:ind w:firstLine="720"/>
        <w:rPr>
          <w:rFonts w:cs="Times New Roman"/>
          <w:szCs w:val="24"/>
        </w:rPr>
      </w:pPr>
      <w:r w:rsidRPr="005D3F76">
        <w:rPr>
          <w:rFonts w:cs="Times New Roman"/>
          <w:szCs w:val="24"/>
        </w:rPr>
        <w:t xml:space="preserve"> </w:t>
      </w:r>
      <w:r w:rsidR="00190671" w:rsidRPr="005D3F76">
        <w:rPr>
          <w:rFonts w:cs="Times New Roman"/>
          <w:szCs w:val="24"/>
        </w:rPr>
        <w:t xml:space="preserve">Further, </w:t>
      </w:r>
      <w:r w:rsidRPr="005D3F76">
        <w:rPr>
          <w:rFonts w:cs="Times New Roman"/>
          <w:szCs w:val="24"/>
        </w:rPr>
        <w:t xml:space="preserve">I am thankful that in this particular study I only concentrated on one state—Wisconsin.  I write this because there was so much information to go through pertaining to the topic of public sector/teacher unions within the state of Wisconsin during the time period of 2011-2015, which I will write about later in this section. However, there are many other states </w:t>
      </w:r>
      <w:r w:rsidRPr="005D3F76">
        <w:rPr>
          <w:rFonts w:cs="Times New Roman"/>
          <w:szCs w:val="24"/>
        </w:rPr>
        <w:lastRenderedPageBreak/>
        <w:t xml:space="preserve">throughout the U.S. that are having their own issues concerning public sector/teacher unions, and the laws and policies that are either being passed or are being considered within their state governments. Other states that need to be researched concerning the media and the reporting they are doing on the unions include: California (legal battles concerning tenure and seniority rights), New York (member fee collection rights), Chicago, Illinois (the strength of the unions politically), and Tennessee (collective bargaining). There are issues all over the country, but the above four states have garnered significant amounts of media coverage concerning the public sector unions. I will also write about these four states within the section on my future research endeavors. </w:t>
      </w:r>
    </w:p>
    <w:p w14:paraId="5E4956CA" w14:textId="77777777" w:rsidR="00C379DD" w:rsidRPr="005D3F76" w:rsidRDefault="00C379DD" w:rsidP="001B1E2A">
      <w:pPr>
        <w:shd w:val="clear" w:color="auto" w:fill="FFFFFF"/>
        <w:ind w:firstLine="720"/>
        <w:rPr>
          <w:rFonts w:cs="Times New Roman"/>
          <w:szCs w:val="24"/>
        </w:rPr>
      </w:pPr>
      <w:r w:rsidRPr="005D3F76">
        <w:rPr>
          <w:rFonts w:cs="Times New Roman"/>
          <w:szCs w:val="24"/>
        </w:rPr>
        <w:t xml:space="preserve">Another limitation this particular study has is related to the newspapers and the authors writing the articles. In CDA work, quantity is less important and less stressed than quality. Quality research is key when engaging in any work related to CDA. There was a wealth of information that was garnered from the three newspapers, the </w:t>
      </w:r>
      <w:r w:rsidRPr="005D3F76">
        <w:rPr>
          <w:rFonts w:cs="Times New Roman"/>
          <w:i/>
          <w:szCs w:val="24"/>
        </w:rPr>
        <w:t>Times</w:t>
      </w:r>
      <w:r w:rsidRPr="005D3F76">
        <w:rPr>
          <w:rFonts w:cs="Times New Roman"/>
          <w:szCs w:val="24"/>
        </w:rPr>
        <w:t xml:space="preserve">, the </w:t>
      </w:r>
      <w:r w:rsidRPr="005D3F76">
        <w:rPr>
          <w:rFonts w:cs="Times New Roman"/>
          <w:i/>
          <w:szCs w:val="24"/>
        </w:rPr>
        <w:t>WSJ</w:t>
      </w:r>
      <w:r w:rsidRPr="005D3F76">
        <w:rPr>
          <w:rFonts w:cs="Times New Roman"/>
          <w:szCs w:val="24"/>
        </w:rPr>
        <w:t xml:space="preserve">, and the </w:t>
      </w:r>
      <w:r w:rsidRPr="005D3F76">
        <w:rPr>
          <w:rFonts w:cs="Times New Roman"/>
          <w:i/>
          <w:szCs w:val="24"/>
        </w:rPr>
        <w:t>Cap Times</w:t>
      </w:r>
      <w:r w:rsidRPr="005D3F76">
        <w:rPr>
          <w:rFonts w:cs="Times New Roman"/>
          <w:szCs w:val="24"/>
        </w:rPr>
        <w:t>; however, as in any empirical research, the more one can show reproducibility the sounder the research becomes. However, I do not feel reproducibility was an issue within this study. These three papers almost had too much information for a study as it was conducted. As previously written in chapter three, CDA analysts can garner a wealth of information in some cases with just one piece of research material, so having an overabundance of information was at times frustrating and marveling, but also good as it helped to demonstrate the validity of the central claim. No matter how many newspapers I would have used, the issue of some being left out while others were included can be problematic.</w:t>
      </w:r>
    </w:p>
    <w:p w14:paraId="3E9369CF" w14:textId="77777777" w:rsidR="00C379DD" w:rsidRPr="005D3F76" w:rsidRDefault="00C379DD" w:rsidP="001B1E2A">
      <w:pPr>
        <w:shd w:val="clear" w:color="auto" w:fill="FFFFFF"/>
        <w:rPr>
          <w:rFonts w:cs="Times New Roman"/>
          <w:szCs w:val="24"/>
        </w:rPr>
      </w:pPr>
      <w:r w:rsidRPr="005D3F76">
        <w:rPr>
          <w:rFonts w:cs="Times New Roman"/>
          <w:szCs w:val="24"/>
        </w:rPr>
        <w:tab/>
        <w:t xml:space="preserve">Further, the authors of the articles within the newspaper can also be viewed as a limitation. I did not research the authors of the articles simply as a time restraint measure. We do </w:t>
      </w:r>
      <w:r w:rsidRPr="005D3F76">
        <w:rPr>
          <w:rFonts w:cs="Times New Roman"/>
          <w:szCs w:val="24"/>
        </w:rPr>
        <w:lastRenderedPageBreak/>
        <w:t>not necessarily know what their personal agendas and ideologies are in their own lives and how their values might influence their newspaper writing. However, with this limitation also comes an understanding that the newspapers hired these individuals to do a particular writing job for them. At any point in time, editors or owners can pull or refuse to print a particular story; so, in this regard, I viewed their acceptance as a means to justify their particular ideology or viewpoint on the subject matter of the public sector unions. This is a limitation with the understanding that the newspaper stories were an acceptance of particular viewpoints and ideologies of the writers, editors, and owners.</w:t>
      </w:r>
    </w:p>
    <w:p w14:paraId="384F0FA7" w14:textId="77777777" w:rsidR="00C379DD" w:rsidRPr="005D3F76" w:rsidRDefault="00C379DD" w:rsidP="001B1E2A">
      <w:pPr>
        <w:shd w:val="clear" w:color="auto" w:fill="FFFFFF"/>
        <w:rPr>
          <w:rFonts w:cs="Times New Roman"/>
          <w:szCs w:val="24"/>
        </w:rPr>
      </w:pPr>
      <w:r w:rsidRPr="005D3F76">
        <w:rPr>
          <w:rFonts w:cs="Times New Roman"/>
          <w:szCs w:val="24"/>
        </w:rPr>
        <w:tab/>
        <w:t>The next limitation within this research had to do with policy. Simply put, this dissertation study was by no means research directly dealing with particular policies or laws, although ACT-10 and other system policies were mentioned within the research and discussion. However, I have included this as a limitation because I believe that in-depth policy discussion was largely relegated to a position beneath the issue of unionization within Wisconsin. If anything here within would be changed, it would be the addition of more policy issues and discussion.  Future research should include in-depth policy analysis.</w:t>
      </w:r>
    </w:p>
    <w:p w14:paraId="4C185142" w14:textId="77777777" w:rsidR="00C379DD" w:rsidRPr="005D3F76" w:rsidRDefault="00C379DD" w:rsidP="001B1E2A">
      <w:pPr>
        <w:shd w:val="clear" w:color="auto" w:fill="FFFFFF"/>
        <w:rPr>
          <w:rFonts w:cs="Times New Roman"/>
          <w:szCs w:val="24"/>
        </w:rPr>
      </w:pPr>
      <w:r w:rsidRPr="005D3F76">
        <w:rPr>
          <w:rFonts w:cs="Times New Roman"/>
          <w:szCs w:val="24"/>
        </w:rPr>
        <w:tab/>
        <w:t xml:space="preserve">Lastly, I faced the limitation of time. Time is something we never have enough of. In regards to this research, there are two issues of time that I contend are limitations. One, the amount of time in terms of the years selected for the study could have either been extended, shortened, or done so that the period of time maybe leaped every two years that was included in the research, beginning in or around 1990 and ending in 2015 (i.e. 1990-1992, 1994-1996, etc.). I think playing with the time line would have helped to demonstrate how or if any the media’s presentation of material on the unions changed over time. This however, would go to the second issue of time—the fact there would not be enough time to do all that needs to be done on </w:t>
      </w:r>
      <w:r w:rsidRPr="005D3F76">
        <w:rPr>
          <w:rFonts w:cs="Times New Roman"/>
          <w:szCs w:val="24"/>
        </w:rPr>
        <w:lastRenderedPageBreak/>
        <w:t>research pertaining to the unions, policy, and the media.  What I am pointing to as research limitations can be addressed through a career of research on this topic. However, what I judged to be the most important time period was selected within this research—the 2011-2015 period with Governor Scott Walker. A proper amount of time was spent researching what was available in the three newspapers to understand the picture that would eventually emerge concerning the media and union presentation</w:t>
      </w:r>
    </w:p>
    <w:p w14:paraId="5BF237C7" w14:textId="77777777" w:rsidR="00C379DD" w:rsidRPr="005D3F76" w:rsidRDefault="00C379DD" w:rsidP="00C379DD">
      <w:pPr>
        <w:pStyle w:val="Heading2"/>
        <w:rPr>
          <w:rFonts w:cs="Times New Roman"/>
        </w:rPr>
      </w:pPr>
      <w:bookmarkStart w:id="29" w:name="_Toc462843649"/>
      <w:r w:rsidRPr="005D3F76">
        <w:rPr>
          <w:rFonts w:cs="Times New Roman"/>
        </w:rPr>
        <w:t>My Future Research Endeavors</w:t>
      </w:r>
      <w:bookmarkEnd w:id="29"/>
    </w:p>
    <w:p w14:paraId="7652AF39" w14:textId="77777777" w:rsidR="00C379DD" w:rsidRPr="005D3F76" w:rsidRDefault="00C379DD" w:rsidP="00C379DD">
      <w:pPr>
        <w:rPr>
          <w:rFonts w:cs="Times New Roman"/>
        </w:rPr>
      </w:pPr>
      <w:r w:rsidRPr="005D3F76">
        <w:rPr>
          <w:rFonts w:cs="Times New Roman"/>
        </w:rPr>
        <w:tab/>
        <w:t>For my future research on public sector/teacher unions and the media I think a multi-faceted approach to the various entities within this research would be beneficial for understanding the hegemony that is going on even further. For instance, I would like to do research on policies and laws that have been put into place over the last 10-20 years pertaining to public sector unions in the various areas of the U.S., including, the South, West, Southwest, North, North-West, North-East, and the Plains. I would then compare and contrast these new laws to determine what areas of the U.S. are most actively creating legislation that goes against the unions. In this same vain, I would like to try and ascertain why it might be like it is, in these different U.S. geographic areas, using either media information or governmental/political propaganda.</w:t>
      </w:r>
    </w:p>
    <w:p w14:paraId="5D19070E" w14:textId="77777777" w:rsidR="00C379DD" w:rsidRPr="005D3F76" w:rsidRDefault="00C379DD" w:rsidP="00C379DD">
      <w:pPr>
        <w:rPr>
          <w:rFonts w:cs="Times New Roman"/>
        </w:rPr>
      </w:pPr>
      <w:r w:rsidRPr="005D3F76">
        <w:rPr>
          <w:rFonts w:cs="Times New Roman"/>
        </w:rPr>
        <w:tab/>
        <w:t xml:space="preserve">Another area of research that I am interested in delving into is the further research of the areas mentioned within the implication section—California, Chicago, Illinois, New York, and Tennessee. I would like to examine the laws these states have enacted concerning unions, and the reasons that have been given by both the government and the media for doing so, to see whether they align with each other, or if the information being disseminated to the public is different than the reasons given by the government. </w:t>
      </w:r>
    </w:p>
    <w:p w14:paraId="24308CEA" w14:textId="6930B7B4" w:rsidR="00C379DD" w:rsidRPr="005D3F76" w:rsidRDefault="00C379DD" w:rsidP="00C379DD">
      <w:pPr>
        <w:rPr>
          <w:rFonts w:cs="Times New Roman"/>
        </w:rPr>
      </w:pPr>
      <w:r w:rsidRPr="005D3F76">
        <w:rPr>
          <w:rFonts w:cs="Times New Roman"/>
        </w:rPr>
        <w:lastRenderedPageBreak/>
        <w:tab/>
        <w:t xml:space="preserve">In this same vain, I would like to do action research, perhaps a mixed methods study that would interact with governmental officials, union members and leaders, and students and their parents. In this study I would ask questions about their knowledge of various unions, including: what they know of the history of unionization, their perception of unions, their knowledge of the laws and regulations that unions have, what their </w:t>
      </w:r>
      <w:r w:rsidR="00E341FA" w:rsidRPr="005D3F76">
        <w:rPr>
          <w:rFonts w:cs="Times New Roman"/>
        </w:rPr>
        <w:t>representatives’</w:t>
      </w:r>
      <w:r w:rsidRPr="005D3F76">
        <w:rPr>
          <w:rFonts w:cs="Times New Roman"/>
        </w:rPr>
        <w:t xml:space="preserve"> views are on unions, and what they have heard within the media concerning unions. This would be an interesting study to see just what all the differing facets of U.S. society feel about unions, and where some of the perceptions might be coming from. This would also give a voice to some of the individuals who are otherwise relegated to not having a voice, like the parents and students. This would also allow the unions to voice their concerns, interests, and aspirations as well.</w:t>
      </w:r>
    </w:p>
    <w:p w14:paraId="759AA4E7" w14:textId="77777777" w:rsidR="00C379DD" w:rsidRPr="005D3F76" w:rsidRDefault="00C379DD" w:rsidP="00C379DD">
      <w:pPr>
        <w:rPr>
          <w:rFonts w:cs="Times New Roman"/>
        </w:rPr>
      </w:pPr>
      <w:r w:rsidRPr="005D3F76">
        <w:rPr>
          <w:rFonts w:cs="Times New Roman"/>
        </w:rPr>
        <w:tab/>
        <w:t>I would also like to possibly put a book together that had individual stories from both leaders and members of public sector unions, and another from private sector unions. Each chapter would essentially be one person’s story where they talk about their time in the union, how the individuals felt about their time in the unions, including whether or not they felt they were helping or hurting, what some of the issues they were involved in, and what it looks like from the inside being part of them. These stories would be capped by a short introduction, and then a final chapter that summed up the overall book. After both books were complete, one public sector and one private sector, I would write a third book that explored the concepts within, breaking down issues and comparing and contrasting the two. It would be interesting to see if there are vast differences or if the experiences are the same. What works better for one or the other, and which is more efficient as an organization? I would also like to try and see if the unions are really worried about issues of social justice or if they are more worried about politics.</w:t>
      </w:r>
    </w:p>
    <w:p w14:paraId="48B51F17" w14:textId="77777777" w:rsidR="00C379DD" w:rsidRPr="005D3F76" w:rsidRDefault="00C379DD" w:rsidP="00C379DD">
      <w:pPr>
        <w:rPr>
          <w:rFonts w:cs="Times New Roman"/>
        </w:rPr>
      </w:pPr>
      <w:r w:rsidRPr="005D3F76">
        <w:rPr>
          <w:rFonts w:cs="Times New Roman"/>
        </w:rPr>
        <w:lastRenderedPageBreak/>
        <w:tab/>
        <w:t>These future research projects I am hoping to do will help find causes for the anti-union discourse within U.S. society. It hopefully will also help to demonstrate from where it might be coming. Lending voices to those that otherwise would not be allowed to come forth is another reason for doing the above mentioned research, one that I think is vastly important to help sustain and further the economic and civic health within the U.S.</w:t>
      </w:r>
    </w:p>
    <w:p w14:paraId="677681DB" w14:textId="77777777" w:rsidR="00C379DD" w:rsidRPr="005D3F76" w:rsidRDefault="00C379DD" w:rsidP="00C379DD">
      <w:pPr>
        <w:pStyle w:val="Heading2"/>
        <w:rPr>
          <w:rFonts w:cs="Times New Roman"/>
        </w:rPr>
      </w:pPr>
      <w:bookmarkStart w:id="30" w:name="_Toc462843650"/>
      <w:r w:rsidRPr="005D3F76">
        <w:rPr>
          <w:rFonts w:cs="Times New Roman"/>
        </w:rPr>
        <w:t>Concluding Remarks</w:t>
      </w:r>
      <w:bookmarkEnd w:id="30"/>
    </w:p>
    <w:p w14:paraId="486099DB" w14:textId="77777777" w:rsidR="00C379DD" w:rsidRPr="005D3F76" w:rsidRDefault="00C379DD" w:rsidP="001B1E2A">
      <w:pPr>
        <w:shd w:val="clear" w:color="auto" w:fill="FFFFFF"/>
        <w:rPr>
          <w:rFonts w:cs="Times New Roman"/>
          <w:szCs w:val="24"/>
        </w:rPr>
      </w:pPr>
      <w:r w:rsidRPr="005D3F76">
        <w:rPr>
          <w:rFonts w:cs="Times New Roman"/>
          <w:b/>
          <w:szCs w:val="24"/>
        </w:rPr>
        <w:tab/>
      </w:r>
      <w:r w:rsidRPr="005D3F76">
        <w:rPr>
          <w:rFonts w:cs="Times New Roman"/>
          <w:szCs w:val="24"/>
        </w:rPr>
        <w:t xml:space="preserve">The U.S. labor movement once was one of the poignant avenues for workers who wanted and needed to fight a system that could not be fought on one’s own. Despite the decline in unionization in the U.S., public sector unions still maintain some power in evident pockets throughout the country. As Pope Francis </w:t>
      </w:r>
      <w:r w:rsidRPr="005D3F76">
        <w:rPr>
          <w:rFonts w:cs="Times New Roman"/>
          <w:szCs w:val="24"/>
        </w:rPr>
        <w:fldChar w:fldCharType="begin"/>
      </w:r>
      <w:r w:rsidRPr="005D3F76">
        <w:rPr>
          <w:rFonts w:cs="Times New Roman"/>
          <w:szCs w:val="24"/>
        </w:rPr>
        <w:instrText xml:space="preserve"> ADDIN EN.CITE &lt;EndNote&gt;&lt;Cite ExcludeAuth="1"&gt;&lt;Author&gt;Francis&lt;/Author&gt;&lt;Year&gt;2014&lt;/Year&gt;&lt;RecNum&gt;353&lt;/RecNum&gt;&lt;DisplayText&gt;(2014)&lt;/DisplayText&gt;&lt;record&gt;&lt;rec-number&gt;353&lt;/rec-number&gt;&lt;foreign-keys&gt;&lt;key app="EN" db-id="etwareaz8xpxz3et59b50d9vxrata9z2w2zt" timestamp="1470161860"&gt;353&lt;/key&gt;&lt;/foreign-keys&gt;&lt;ref-type name="Interview"&gt;64&lt;/ref-type&gt;&lt;contributors&gt;&lt;authors&gt;&lt;author&gt;Pope Francis&lt;/author&gt;&lt;/authors&gt;&lt;secondary-authors&gt;&lt;author&gt;President Barrack Obama&lt;/author&gt;&lt;/secondary-authors&gt;&lt;/contributors&gt;&lt;titles&gt;&lt;title&gt;Meeting with President Barrack Obama&lt;/title&gt;&lt;/titles&gt;&lt;dates&gt;&lt;year&gt;2014&lt;/year&gt;&lt;/dates&gt;&lt;urls&gt;&lt;/urls&gt;&lt;/record&gt;&lt;/Cite&gt;&lt;/EndNote&gt;</w:instrText>
      </w:r>
      <w:r w:rsidRPr="005D3F76">
        <w:rPr>
          <w:rFonts w:cs="Times New Roman"/>
          <w:szCs w:val="24"/>
        </w:rPr>
        <w:fldChar w:fldCharType="separate"/>
      </w:r>
      <w:r w:rsidRPr="005D3F76">
        <w:rPr>
          <w:rFonts w:cs="Times New Roman"/>
          <w:noProof/>
          <w:szCs w:val="24"/>
        </w:rPr>
        <w:t>(2014)</w:t>
      </w:r>
      <w:r w:rsidRPr="005D3F76">
        <w:rPr>
          <w:rFonts w:cs="Times New Roman"/>
          <w:szCs w:val="24"/>
        </w:rPr>
        <w:fldChar w:fldCharType="end"/>
      </w:r>
      <w:r w:rsidRPr="005D3F76">
        <w:rPr>
          <w:rFonts w:cs="Times New Roman"/>
          <w:szCs w:val="24"/>
        </w:rPr>
        <w:t xml:space="preserve"> was quoted as saying, “Trade unions have been an essential force for social change without which a semblance of a decent and humane society is impossible under capitalism.” In this way, it can be understood that a revitalizing of the labor movement in the U.S. is surely important for both the economic and civic health of the nation. </w:t>
      </w:r>
    </w:p>
    <w:p w14:paraId="3CFB4498" w14:textId="77777777" w:rsidR="00C379DD" w:rsidRPr="005D3F76" w:rsidRDefault="00C379DD" w:rsidP="001B1E2A">
      <w:pPr>
        <w:shd w:val="clear" w:color="auto" w:fill="FFFFFF"/>
        <w:ind w:firstLine="360"/>
        <w:rPr>
          <w:rFonts w:cs="Times New Roman"/>
          <w:szCs w:val="24"/>
        </w:rPr>
      </w:pPr>
      <w:r w:rsidRPr="005D3F76">
        <w:rPr>
          <w:rFonts w:cs="Times New Roman"/>
          <w:szCs w:val="24"/>
        </w:rPr>
        <w:t xml:space="preserve">Part of this component of a healthy nation is to make clear that the media has an important role to play as the interpreter of accurate and factual information, not only concerning issues pertaining to unions, but all news, news that is unburdened from discourse that shows a clear ideology and agenda. In this way, it can be understood that interpreting and presenting ‘knowledge’ to the broader society is an immensely important part of the fabric of society, one that is necessary for cultural and societal dissemination. But one that needs to be socially just. The central claim in this research endeavor was to ascertain an idea of whether or not the media is framing public sector unions, particularly teacher unions, in an unfavorable way through certain usages of political and neoliberal agendas, thereby creating an issue of social injustice. What I learned by performing the research on the three newspapers, the </w:t>
      </w:r>
      <w:r w:rsidRPr="005D3F76">
        <w:rPr>
          <w:rFonts w:cs="Times New Roman"/>
          <w:i/>
          <w:szCs w:val="24"/>
        </w:rPr>
        <w:t>Times</w:t>
      </w:r>
      <w:r w:rsidRPr="005D3F76">
        <w:rPr>
          <w:rFonts w:cs="Times New Roman"/>
          <w:szCs w:val="24"/>
        </w:rPr>
        <w:t xml:space="preserve">, the </w:t>
      </w:r>
      <w:r w:rsidRPr="005D3F76">
        <w:rPr>
          <w:rFonts w:cs="Times New Roman"/>
          <w:i/>
          <w:szCs w:val="24"/>
        </w:rPr>
        <w:t>WSJ</w:t>
      </w:r>
      <w:r w:rsidRPr="005D3F76">
        <w:rPr>
          <w:rFonts w:cs="Times New Roman"/>
          <w:szCs w:val="24"/>
        </w:rPr>
        <w:t xml:space="preserve">, and the </w:t>
      </w:r>
      <w:r w:rsidRPr="005D3F76">
        <w:rPr>
          <w:rFonts w:cs="Times New Roman"/>
          <w:i/>
          <w:szCs w:val="24"/>
        </w:rPr>
        <w:lastRenderedPageBreak/>
        <w:t>Cap Times</w:t>
      </w:r>
      <w:r w:rsidRPr="005D3F76">
        <w:rPr>
          <w:rFonts w:cs="Times New Roman"/>
          <w:szCs w:val="24"/>
        </w:rPr>
        <w:t xml:space="preserve">, within the state of Wisconsin from the years 2011-2015, is yes, the media is perpetuating a certain unfavorable attitude toward unions in the discourse being introduced in their writing. They are framing the issues surrounding public sector unions in a way that pits unions against everyone else in society, and in turn helping to perpetuate and create a substantiated anti-union movement within the mass society. This anti-union movement in American society is then helping to support push for legislation that calls for tighter control through law and policy introduction that directly affects the unions and in turn, their members (teachers, police, firefighters, et.). The anti-union stance is taken one step further by government officials, like Governor Walker, who push for even further control through decreasing budgets and implementing ideas that seem counter-productive to these public institutions in the name of efficiency. The next question is what will be the consequence of these actions in the next 20-30 years? </w:t>
      </w:r>
    </w:p>
    <w:p w14:paraId="0E83537D" w14:textId="77777777" w:rsidR="00C379DD" w:rsidRPr="005D3F76" w:rsidRDefault="00C379DD" w:rsidP="001B1E2A">
      <w:pPr>
        <w:ind w:firstLine="360"/>
        <w:rPr>
          <w:rFonts w:cs="Times New Roman"/>
          <w:szCs w:val="24"/>
        </w:rPr>
      </w:pPr>
      <w:r w:rsidRPr="005D3F76">
        <w:rPr>
          <w:rFonts w:cs="Times New Roman"/>
          <w:szCs w:val="24"/>
        </w:rPr>
        <w:t>Further, the hegemonic revolution of teaching into an anti-autonomous state begins with depriving teachers of their voices within the education system, which includes rights to development of curriculum, how they teach, their working conditions, what they are paid, etc.—all the issues that teacher unions try to address. The media has assisted in persuading the public that teachers and the work they perform are questionable at best, and more importantly here, that the unions, and the positions that they stand for, like tenure and seniority rights, are outdated and impede real reform, hence the need for laws, such as ACT 10. Based on the fact alone that so many newspapers and other media sources carried stories about the Wisconsin protests and sit-in’s, and the overwhelming majority of those stories reported how the unions were too powerful, including papers like the</w:t>
      </w:r>
      <w:r w:rsidRPr="005D3F76">
        <w:rPr>
          <w:rFonts w:cs="Times New Roman"/>
          <w:i/>
          <w:szCs w:val="24"/>
        </w:rPr>
        <w:t xml:space="preserve"> Times</w:t>
      </w:r>
      <w:r w:rsidRPr="005D3F76">
        <w:rPr>
          <w:rFonts w:cs="Times New Roman"/>
          <w:szCs w:val="24"/>
        </w:rPr>
        <w:t xml:space="preserve">, the </w:t>
      </w:r>
      <w:r w:rsidRPr="005D3F76">
        <w:rPr>
          <w:rFonts w:cs="Times New Roman"/>
          <w:i/>
          <w:szCs w:val="24"/>
        </w:rPr>
        <w:t>WSJ</w:t>
      </w:r>
      <w:r w:rsidRPr="005D3F76">
        <w:rPr>
          <w:rFonts w:cs="Times New Roman"/>
          <w:szCs w:val="24"/>
        </w:rPr>
        <w:t xml:space="preserve">, and the </w:t>
      </w:r>
      <w:r w:rsidRPr="005D3F76">
        <w:rPr>
          <w:rFonts w:cs="Times New Roman"/>
          <w:i/>
          <w:szCs w:val="24"/>
        </w:rPr>
        <w:t>Cap Times</w:t>
      </w:r>
      <w:r w:rsidRPr="005D3F76">
        <w:rPr>
          <w:rFonts w:cs="Times New Roman"/>
          <w:szCs w:val="24"/>
        </w:rPr>
        <w:t xml:space="preserve">, it is no surprise that public opinion </w:t>
      </w:r>
      <w:r w:rsidRPr="005D3F76">
        <w:rPr>
          <w:rFonts w:cs="Times New Roman"/>
          <w:szCs w:val="24"/>
        </w:rPr>
        <w:lastRenderedPageBreak/>
        <w:t xml:space="preserve">polls show that a majority of Americans feel that unions are hurting our chances of competing internationally </w:t>
      </w:r>
      <w:r w:rsidRPr="005D3F76">
        <w:rPr>
          <w:rFonts w:cs="Times New Roman"/>
          <w:szCs w:val="24"/>
        </w:rPr>
        <w:fldChar w:fldCharType="begin"/>
      </w:r>
      <w:r w:rsidRPr="005D3F76">
        <w:rPr>
          <w:rFonts w:cs="Times New Roman"/>
          <w:szCs w:val="24"/>
        </w:rPr>
        <w:instrText xml:space="preserve"> ADDIN EN.CITE &lt;EndNote&gt;&lt;Cite&gt;&lt;Author&gt;Policy&lt;/Author&gt;&lt;Year&gt;2011&lt;/Year&gt;&lt;RecNum&gt;263&lt;/RecNum&gt;&lt;DisplayText&gt;(Pew Research Center U.S. Politics &amp;amp; Policy, 2011)&lt;/DisplayText&gt;&lt;record&gt;&lt;rec-number&gt;263&lt;/rec-number&gt;&lt;foreign-keys&gt;&lt;key app="EN" db-id="etwareaz8xpxz3et59b50d9vxrata9z2w2zt" timestamp="1465154314"&gt;263&lt;/key&gt;&lt;/foreign-keys&gt;&lt;ref-type name="Standard"&gt;58&lt;/ref-type&gt;&lt;contributors&gt;&lt;authors&gt;&lt;author&gt;Pew Research Center U.S. Politics &amp;amp; Policy,&lt;/author&gt;&lt;/authors&gt;&lt;/contributors&gt;&lt;titles&gt;&lt;title&gt;More Side with Wisconsin Unions than Governor Obama, GOP Leaders Would Share Blame in Gov&amp;apos;t Shutdown&lt;/title&gt;&lt;/titles&gt;&lt;dates&gt;&lt;year&gt;2011&lt;/year&gt;&lt;/dates&gt;&lt;pub-location&gt;Washington D.C.&lt;/pub-location&gt;&lt;publisher&gt;Pew Research Center&lt;/publisher&gt;&lt;urls&gt;&lt;/urls&gt;&lt;/record&gt;&lt;/Cite&gt;&lt;/EndNote&gt;</w:instrText>
      </w:r>
      <w:r w:rsidRPr="005D3F76">
        <w:rPr>
          <w:rFonts w:cs="Times New Roman"/>
          <w:szCs w:val="24"/>
        </w:rPr>
        <w:fldChar w:fldCharType="separate"/>
      </w:r>
      <w:r w:rsidRPr="005D3F76">
        <w:rPr>
          <w:rFonts w:cs="Times New Roman"/>
          <w:noProof/>
          <w:szCs w:val="24"/>
        </w:rPr>
        <w:t>(Pew Research Center U.S. Politics &amp; Policy, 2011)</w:t>
      </w:r>
      <w:r w:rsidRPr="005D3F76">
        <w:rPr>
          <w:rFonts w:cs="Times New Roman"/>
          <w:szCs w:val="24"/>
        </w:rPr>
        <w:fldChar w:fldCharType="end"/>
      </w:r>
      <w:r w:rsidRPr="005D3F76">
        <w:rPr>
          <w:rFonts w:cs="Times New Roman"/>
          <w:szCs w:val="24"/>
        </w:rPr>
        <w:t xml:space="preserve">.  </w:t>
      </w:r>
    </w:p>
    <w:p w14:paraId="5F2694D6" w14:textId="77777777" w:rsidR="00C379DD" w:rsidRPr="005D3F76" w:rsidRDefault="00C379DD" w:rsidP="001B1E2A">
      <w:pPr>
        <w:shd w:val="clear" w:color="auto" w:fill="FFFFFF"/>
        <w:rPr>
          <w:rFonts w:cs="Times New Roman"/>
          <w:szCs w:val="24"/>
        </w:rPr>
      </w:pPr>
      <w:r w:rsidRPr="005D3F76">
        <w:rPr>
          <w:rFonts w:cs="Times New Roman"/>
          <w:szCs w:val="24"/>
        </w:rPr>
        <w:tab/>
        <w:t>But, what is most disheartening concerning the research on public sector/teacher unions is the fact that the breaking down of the rights of public sector unions hurts the ideals and principles of democracy, something upon which the U.S. was founded. Public sector unions provide many ways in which they promote democratic and other socially just mechanisms within U.S. society. One way is that they put a check on capricious government power by making them responsible for elaborating why certain policies and laws need to be put into place instead of doing so for political gains or other arbitrary reasons. They also serve to help sustain some type of balance for wages and benefits for the middle class, so that the facets of our more neoliberal society do not create a more uneven class system than has already been developed. In the case of the education system, teacher unions help support public school systems that encourage more democratic values by pushing back against neoliberal reforms that don’t always have all the students best interest in mind, such as, taking art, music, and P.E. classes away. Essentially, the whole of unionism is based upon the principles of social justice, and for the media to be promulgating a means to an end for them through their reporting, needs to be addressed as the recommendations above considered.</w:t>
      </w:r>
    </w:p>
    <w:p w14:paraId="6628B8F2" w14:textId="77777777" w:rsidR="00C379DD" w:rsidRPr="005D3F76" w:rsidRDefault="00C379DD" w:rsidP="001B1E2A">
      <w:pPr>
        <w:shd w:val="clear" w:color="auto" w:fill="FFFFFF"/>
        <w:rPr>
          <w:rFonts w:cs="Times New Roman"/>
          <w:szCs w:val="24"/>
        </w:rPr>
      </w:pPr>
      <w:r w:rsidRPr="005D3F76">
        <w:rPr>
          <w:rFonts w:cs="Times New Roman"/>
          <w:szCs w:val="24"/>
        </w:rPr>
        <w:tab/>
        <w:t xml:space="preserve">There are always two sides to every argument. However, the media in the case of public sector/teacher unions is only exhibiting one side of a very complicated and multi-faceted argument. The unions have their issues, just like any other organization within a society; however, their issues are miniscule compared with the fight they take on within the governmental and societal realm. Unions are an organization that exists to protect the lower and middle classes—those within our society who have the most to lose.  However, the individuals </w:t>
      </w:r>
      <w:r w:rsidRPr="005D3F76">
        <w:rPr>
          <w:rFonts w:cs="Times New Roman"/>
          <w:szCs w:val="24"/>
        </w:rPr>
        <w:lastRenderedPageBreak/>
        <w:t xml:space="preserve">that wield the power in U.S. society—the upper class and elites—are the ones controlling the perceptions of the unions. These elites are the ones wielding the power within U.S. society.  The hegemonic processes within the conglomeration of the media outlets, fostered by their politically obtuse corporate owners, and backed by certain governmental entities that have a stake to see that unions are disbanded, are hard at work, as the research performed upon the three newspapers in Wisconsin has uncovered. </w:t>
      </w:r>
    </w:p>
    <w:p w14:paraId="3A70F4B0" w14:textId="558590F8" w:rsidR="00C379DD" w:rsidRPr="005D3F76" w:rsidRDefault="00C379DD" w:rsidP="001B1E2A">
      <w:pPr>
        <w:shd w:val="clear" w:color="auto" w:fill="FFFFFF"/>
        <w:rPr>
          <w:rFonts w:cs="Times New Roman"/>
        </w:rPr>
      </w:pPr>
      <w:r w:rsidRPr="005D3F76">
        <w:rPr>
          <w:rFonts w:cs="Times New Roman"/>
          <w:szCs w:val="24"/>
        </w:rPr>
        <w:tab/>
        <w:t>This research then is a call to action. We must be diligent in understanding what the media presents to us; not blindly accepting and following what it ‘reports.’ We must protect those organizations and entities in society that are there to protect the people because they are few and far between, especially an organization that has the political reach and ability that the unions do. We need to actively engage with the dominant organizations, like the media, in our society to push against the hegemonic forces that are ever present, thus creating more equity and equality in our world.</w:t>
      </w:r>
    </w:p>
    <w:p w14:paraId="41987A02" w14:textId="77777777" w:rsidR="00C379DD" w:rsidRPr="005D3F76" w:rsidRDefault="00C379DD" w:rsidP="006F28A3">
      <w:pPr>
        <w:pStyle w:val="Heading1"/>
        <w:rPr>
          <w:rFonts w:cs="Times New Roman"/>
        </w:rPr>
        <w:sectPr w:rsidR="00C379DD" w:rsidRPr="005D3F76" w:rsidSect="001B1E2A">
          <w:endnotePr>
            <w:numRestart w:val="eachSect"/>
          </w:endnotePr>
          <w:pgSz w:w="12240" w:h="15840"/>
          <w:pgMar w:top="1440" w:right="1440" w:bottom="1440" w:left="1440" w:header="720" w:footer="720" w:gutter="0"/>
          <w:cols w:space="720"/>
          <w:docGrid w:linePitch="360"/>
        </w:sectPr>
      </w:pPr>
    </w:p>
    <w:p w14:paraId="0204B346" w14:textId="16286350" w:rsidR="00C94416" w:rsidRPr="005D3F76" w:rsidRDefault="00A3521D" w:rsidP="006F28A3">
      <w:pPr>
        <w:pStyle w:val="Heading1"/>
        <w:rPr>
          <w:rFonts w:cs="Times New Roman"/>
          <w:noProof/>
        </w:rPr>
      </w:pPr>
      <w:bookmarkStart w:id="31" w:name="_Toc462843651"/>
      <w:r w:rsidRPr="005D3F76">
        <w:rPr>
          <w:rFonts w:cs="Times New Roman"/>
        </w:rPr>
        <w:lastRenderedPageBreak/>
        <w:t>BIBLIOGRAPHY</w:t>
      </w:r>
      <w:bookmarkEnd w:id="31"/>
      <w:r w:rsidR="00C94416" w:rsidRPr="005D3F76">
        <w:rPr>
          <w:rFonts w:cs="Times New Roman"/>
        </w:rPr>
        <w:br w:type="page"/>
      </w:r>
    </w:p>
    <w:p w14:paraId="5C2A6956" w14:textId="6FF2C786" w:rsidR="00C379DD" w:rsidRPr="005D3F76" w:rsidRDefault="00DC6D2F" w:rsidP="00C379DD">
      <w:pPr>
        <w:pStyle w:val="EndNoteBibliography"/>
        <w:ind w:left="720" w:hanging="720"/>
      </w:pPr>
      <w:r w:rsidRPr="005D3F76">
        <w:rPr>
          <w:sz w:val="22"/>
        </w:rPr>
        <w:lastRenderedPageBreak/>
        <w:fldChar w:fldCharType="begin"/>
      </w:r>
      <w:r w:rsidRPr="005D3F76">
        <w:instrText xml:space="preserve"> ADDIN EN.REFLIST </w:instrText>
      </w:r>
      <w:r w:rsidRPr="005D3F76">
        <w:rPr>
          <w:sz w:val="22"/>
        </w:rPr>
        <w:fldChar w:fldCharType="separate"/>
      </w:r>
      <w:r w:rsidR="00C379DD" w:rsidRPr="005D3F76">
        <w:t>American Federation of Teachers. (2015a). History.   Retrieved from http://www.aft.org/about/history/</w:t>
      </w:r>
    </w:p>
    <w:p w14:paraId="491DF33E" w14:textId="006039C6" w:rsidR="00C379DD" w:rsidRPr="005D3F76" w:rsidRDefault="00C379DD" w:rsidP="00C379DD">
      <w:pPr>
        <w:pStyle w:val="EndNoteBibliography"/>
        <w:ind w:left="720" w:hanging="720"/>
      </w:pPr>
      <w:r w:rsidRPr="005D3F76">
        <w:t>American Federation of Teachers. (2015b). A Union of Professionals.   Retrieved from www.aft.org</w:t>
      </w:r>
    </w:p>
    <w:p w14:paraId="337DB64F" w14:textId="77777777" w:rsidR="00C379DD" w:rsidRPr="005D3F76" w:rsidRDefault="00C379DD" w:rsidP="00C379DD">
      <w:pPr>
        <w:pStyle w:val="EndNoteBibliography"/>
        <w:ind w:left="720" w:hanging="720"/>
      </w:pPr>
      <w:r w:rsidRPr="005D3F76">
        <w:t xml:space="preserve">Anderson, G. (2007). Media's Impact on Educational Polices and Practices: Political Spectacle and Social Control. </w:t>
      </w:r>
      <w:r w:rsidRPr="005D3F76">
        <w:rPr>
          <w:i/>
        </w:rPr>
        <w:t>Peabody Journal of Education, 82</w:t>
      </w:r>
      <w:r w:rsidRPr="005D3F76">
        <w:t xml:space="preserve">(1), 102-120. </w:t>
      </w:r>
    </w:p>
    <w:p w14:paraId="228AE9FB" w14:textId="77777777" w:rsidR="00C379DD" w:rsidRPr="005D3F76" w:rsidRDefault="00C379DD" w:rsidP="00C379DD">
      <w:pPr>
        <w:pStyle w:val="EndNoteBibliography"/>
        <w:ind w:left="720" w:hanging="720"/>
      </w:pPr>
      <w:r w:rsidRPr="005D3F76">
        <w:t xml:space="preserve">Apple, M. (1995). </w:t>
      </w:r>
      <w:r w:rsidRPr="005D3F76">
        <w:rPr>
          <w:i/>
        </w:rPr>
        <w:t>Education and Power</w:t>
      </w:r>
      <w:r w:rsidRPr="005D3F76">
        <w:t>. New York and London: Routledge.</w:t>
      </w:r>
    </w:p>
    <w:p w14:paraId="78570994" w14:textId="77777777" w:rsidR="00C379DD" w:rsidRPr="005D3F76" w:rsidRDefault="00C379DD" w:rsidP="00C379DD">
      <w:pPr>
        <w:pStyle w:val="EndNoteBibliography"/>
        <w:ind w:left="720" w:hanging="720"/>
      </w:pPr>
      <w:r w:rsidRPr="005D3F76">
        <w:t xml:space="preserve">Arnove, R. F., Torres, C. A., &amp; Franz, S. (2013). </w:t>
      </w:r>
      <w:r w:rsidRPr="005D3F76">
        <w:rPr>
          <w:i/>
        </w:rPr>
        <w:t>Comparative Education: The Dialectic of the Global and Local</w:t>
      </w:r>
      <w:r w:rsidRPr="005D3F76">
        <w:t xml:space="preserve"> (Fourth ed.). Plymouth: Rowman &amp; Littlefield Publishers Inc.</w:t>
      </w:r>
    </w:p>
    <w:p w14:paraId="2177CA50" w14:textId="77777777" w:rsidR="00C379DD" w:rsidRPr="005D3F76" w:rsidRDefault="00C379DD" w:rsidP="00C379DD">
      <w:pPr>
        <w:pStyle w:val="EndNoteBibliography"/>
        <w:ind w:left="720" w:hanging="720"/>
      </w:pPr>
      <w:r w:rsidRPr="005D3F76">
        <w:t>Bai, M. (2011, February 27). When I Run Out of Fights to Have, I'll Stop Fighting.</w:t>
      </w:r>
      <w:r w:rsidRPr="005D3F76">
        <w:rPr>
          <w:i/>
        </w:rPr>
        <w:t xml:space="preserve"> The New York Times,</w:t>
      </w:r>
      <w:r w:rsidRPr="005D3F76">
        <w:t xml:space="preserve"> p. 32. </w:t>
      </w:r>
    </w:p>
    <w:p w14:paraId="11DA0551" w14:textId="77777777" w:rsidR="00C379DD" w:rsidRPr="005D3F76" w:rsidRDefault="00C379DD" w:rsidP="00C379DD">
      <w:pPr>
        <w:pStyle w:val="EndNoteBibliography"/>
        <w:ind w:left="720" w:hanging="720"/>
      </w:pPr>
      <w:r w:rsidRPr="005D3F76">
        <w:t>Baker, P. (2015, September 8). Obama Orders Federal Contractors to Provide Workers Paid Sick Leave.</w:t>
      </w:r>
      <w:r w:rsidRPr="005D3F76">
        <w:rPr>
          <w:i/>
        </w:rPr>
        <w:t xml:space="preserve"> The New York Times,</w:t>
      </w:r>
      <w:r w:rsidRPr="005D3F76">
        <w:t xml:space="preserve"> p. 20. </w:t>
      </w:r>
    </w:p>
    <w:p w14:paraId="57E959D0" w14:textId="77777777" w:rsidR="00C379DD" w:rsidRPr="005D3F76" w:rsidRDefault="00C379DD" w:rsidP="00C379DD">
      <w:pPr>
        <w:pStyle w:val="EndNoteBibliography"/>
        <w:ind w:left="720" w:hanging="720"/>
      </w:pPr>
      <w:r w:rsidRPr="005D3F76">
        <w:t xml:space="preserve">Ball, S. J. (2008). </w:t>
      </w:r>
      <w:r w:rsidRPr="005D3F76">
        <w:rPr>
          <w:i/>
        </w:rPr>
        <w:t>The Education Debate</w:t>
      </w:r>
      <w:r w:rsidRPr="005D3F76">
        <w:t>. UK: The Policy Press.</w:t>
      </w:r>
    </w:p>
    <w:p w14:paraId="66BA5F80" w14:textId="77777777" w:rsidR="00C379DD" w:rsidRPr="005D3F76" w:rsidRDefault="00C379DD" w:rsidP="00C379DD">
      <w:pPr>
        <w:pStyle w:val="EndNoteBibliography"/>
        <w:ind w:left="720" w:hanging="720"/>
      </w:pPr>
      <w:r w:rsidRPr="005D3F76">
        <w:t xml:space="preserve">Baltodaro, M. (2012). Neoliberalism and the demise of public education: the corporatization of schools in education. </w:t>
      </w:r>
      <w:r w:rsidRPr="005D3F76">
        <w:rPr>
          <w:i/>
        </w:rPr>
        <w:t>International Journal of Qualitative Studies in Education, 25</w:t>
      </w:r>
      <w:r w:rsidRPr="005D3F76">
        <w:t xml:space="preserve">(4), 487-507. </w:t>
      </w:r>
    </w:p>
    <w:p w14:paraId="5AC89EBB" w14:textId="77777777" w:rsidR="00C379DD" w:rsidRPr="005D3F76" w:rsidRDefault="00C379DD" w:rsidP="00C379DD">
      <w:pPr>
        <w:pStyle w:val="EndNoteBibliography"/>
        <w:ind w:left="720" w:hanging="720"/>
      </w:pPr>
      <w:r w:rsidRPr="005D3F76">
        <w:t xml:space="preserve">Barker, C. (2012). </w:t>
      </w:r>
      <w:r w:rsidRPr="005D3F76">
        <w:rPr>
          <w:i/>
        </w:rPr>
        <w:t>Cultural Studies: Theory and Practice</w:t>
      </w:r>
      <w:r w:rsidRPr="005D3F76">
        <w:t>. London: Sage Publications Ltd.</w:t>
      </w:r>
    </w:p>
    <w:p w14:paraId="15574353" w14:textId="0D7B1269" w:rsidR="00C379DD" w:rsidRPr="005D3F76" w:rsidRDefault="00C379DD" w:rsidP="00C379DD">
      <w:pPr>
        <w:pStyle w:val="EndNoteBibliography"/>
        <w:ind w:left="720" w:hanging="720"/>
      </w:pPr>
      <w:r w:rsidRPr="005D3F76">
        <w:t xml:space="preserve">Barthel, M. (2015). Newspapers: Fact Sheet. </w:t>
      </w:r>
      <w:r w:rsidRPr="005D3F76">
        <w:rPr>
          <w:i/>
        </w:rPr>
        <w:t>State Of The News Media 2015.</w:t>
      </w:r>
      <w:r w:rsidRPr="005D3F76">
        <w:t xml:space="preserve">  Retrieved from http://www.journalism.org/2015/04/29/newspapers-fact-sheet/</w:t>
      </w:r>
    </w:p>
    <w:p w14:paraId="5ACC34A4" w14:textId="77777777" w:rsidR="00C379DD" w:rsidRPr="005D3F76" w:rsidRDefault="00C379DD" w:rsidP="00C379DD">
      <w:pPr>
        <w:pStyle w:val="EndNoteBibliography"/>
        <w:ind w:left="720" w:hanging="720"/>
      </w:pPr>
      <w:r w:rsidRPr="005D3F76">
        <w:t xml:space="preserve">Bascia, N. (1990). Teachers' evaluations of unions. </w:t>
      </w:r>
      <w:r w:rsidRPr="005D3F76">
        <w:rPr>
          <w:i/>
        </w:rPr>
        <w:t>Journal of Education Policy, 5</w:t>
      </w:r>
      <w:r w:rsidRPr="005D3F76">
        <w:t xml:space="preserve">(4), 301-313. </w:t>
      </w:r>
    </w:p>
    <w:p w14:paraId="3632276B" w14:textId="77777777" w:rsidR="00C379DD" w:rsidRPr="005D3F76" w:rsidRDefault="00C379DD" w:rsidP="00C379DD">
      <w:pPr>
        <w:pStyle w:val="EndNoteBibliography"/>
        <w:ind w:left="720" w:hanging="720"/>
      </w:pPr>
      <w:r w:rsidRPr="005D3F76">
        <w:t>Bauer, S. (2012, September 21). Evers Urges More Respect for Teachers: State Schools Superintendent Says They Have Been Targeted by The Collective Bargaining Law.</w:t>
      </w:r>
      <w:r w:rsidRPr="005D3F76">
        <w:rPr>
          <w:i/>
        </w:rPr>
        <w:t xml:space="preserve"> Wisconsin State Journal,</w:t>
      </w:r>
      <w:r w:rsidRPr="005D3F76">
        <w:t xml:space="preserve"> p. A11. </w:t>
      </w:r>
    </w:p>
    <w:p w14:paraId="6C6EE480" w14:textId="77777777" w:rsidR="00C379DD" w:rsidRPr="005D3F76" w:rsidRDefault="00C379DD" w:rsidP="00C379DD">
      <w:pPr>
        <w:pStyle w:val="EndNoteBibliography"/>
        <w:ind w:left="720" w:hanging="720"/>
      </w:pPr>
      <w:r w:rsidRPr="005D3F76">
        <w:t>Bauer, S. (2014, July 30). Justices Ready To Rule On ACT 10: Wisconsin Supreme Court Decisions Coming Thursday.</w:t>
      </w:r>
      <w:r w:rsidRPr="005D3F76">
        <w:rPr>
          <w:i/>
        </w:rPr>
        <w:t xml:space="preserve"> Wisconsin State Journal,</w:t>
      </w:r>
      <w:r w:rsidRPr="005D3F76">
        <w:t xml:space="preserve"> p. A3. </w:t>
      </w:r>
    </w:p>
    <w:p w14:paraId="1CA2A66A" w14:textId="77777777" w:rsidR="00C379DD" w:rsidRPr="005D3F76" w:rsidRDefault="00C379DD" w:rsidP="00C379DD">
      <w:pPr>
        <w:pStyle w:val="EndNoteBibliography"/>
        <w:ind w:left="720" w:hanging="720"/>
      </w:pPr>
      <w:r w:rsidRPr="005D3F76">
        <w:t>Beck, M. (2015, Feburary 22). WEAC Turns to Boards, Parents: Union Uses Local Focus in Bid to Rebuild Influence.</w:t>
      </w:r>
      <w:r w:rsidRPr="005D3F76">
        <w:rPr>
          <w:i/>
        </w:rPr>
        <w:t xml:space="preserve"> Wisconsin State Journal,</w:t>
      </w:r>
      <w:r w:rsidRPr="005D3F76">
        <w:t xml:space="preserve"> p. A1. </w:t>
      </w:r>
    </w:p>
    <w:p w14:paraId="51D4F33B" w14:textId="77777777" w:rsidR="00C379DD" w:rsidRPr="005D3F76" w:rsidRDefault="00C379DD" w:rsidP="00C379DD">
      <w:pPr>
        <w:pStyle w:val="EndNoteBibliography"/>
        <w:ind w:left="720" w:hanging="720"/>
      </w:pPr>
      <w:r w:rsidRPr="005D3F76">
        <w:t>Beck, M., &amp; Spicuzza, M. (2014). Walker Sings Burke for Black Students' Troubles in Madison.</w:t>
      </w:r>
      <w:r w:rsidRPr="005D3F76">
        <w:rPr>
          <w:i/>
        </w:rPr>
        <w:t xml:space="preserve"> Wisconsin State Journal,</w:t>
      </w:r>
      <w:r w:rsidRPr="005D3F76">
        <w:t xml:space="preserve"> p. A1. </w:t>
      </w:r>
    </w:p>
    <w:p w14:paraId="72B53A9C" w14:textId="6A359431" w:rsidR="00C379DD" w:rsidRPr="005D3F76" w:rsidRDefault="00C379DD" w:rsidP="00C379DD">
      <w:pPr>
        <w:pStyle w:val="EndNoteBibliography"/>
        <w:ind w:left="720" w:hanging="720"/>
      </w:pPr>
      <w:r w:rsidRPr="005D3F76">
        <w:t xml:space="preserve">Becker, E. H. (1982). </w:t>
      </w:r>
      <w:r w:rsidRPr="005D3F76">
        <w:rPr>
          <w:i/>
        </w:rPr>
        <w:t>Analysis of work stoppages in the Feral sector, 1962-81</w:t>
      </w:r>
      <w:r w:rsidRPr="005D3F76">
        <w:t>. Retrieved from Washington D.C.: http://www.bls.gov/opub/mlr/1982/08/rpt2full.pdf</w:t>
      </w:r>
    </w:p>
    <w:p w14:paraId="6667446E" w14:textId="77777777" w:rsidR="00C379DD" w:rsidRPr="005D3F76" w:rsidRDefault="00C379DD" w:rsidP="00C379DD">
      <w:pPr>
        <w:pStyle w:val="EndNoteBibliography"/>
        <w:ind w:left="720" w:hanging="720"/>
      </w:pPr>
      <w:r w:rsidRPr="005D3F76">
        <w:t xml:space="preserve">Bidden, G. (2012). School Budget Cuts: How Students Say Slashes Are Affecting Them. </w:t>
      </w:r>
      <w:r w:rsidRPr="005D3F76">
        <w:rPr>
          <w:i/>
        </w:rPr>
        <w:t>The Huffington Post</w:t>
      </w:r>
      <w:r w:rsidRPr="005D3F76">
        <w:t xml:space="preserve">. Retrieved from </w:t>
      </w:r>
    </w:p>
    <w:p w14:paraId="34431AE6" w14:textId="77777777" w:rsidR="00C379DD" w:rsidRPr="005D3F76" w:rsidRDefault="00C379DD" w:rsidP="00C379DD">
      <w:pPr>
        <w:pStyle w:val="EndNoteBibliography"/>
        <w:ind w:left="720" w:hanging="720"/>
      </w:pPr>
      <w:r w:rsidRPr="005D3F76">
        <w:t xml:space="preserve">Billig, M. (2002). Critical Discourse Analysis and the Rhetoric of Critique. In G. Weiss &amp; R. Wodak (Eds.), </w:t>
      </w:r>
      <w:r w:rsidRPr="005D3F76">
        <w:rPr>
          <w:i/>
        </w:rPr>
        <w:t>Critical Discourse Analysis: Theory and Interdiscliplinarity</w:t>
      </w:r>
      <w:r w:rsidRPr="005D3F76">
        <w:t>. London: Palgrave Macmillan.</w:t>
      </w:r>
    </w:p>
    <w:p w14:paraId="3A4AAB23" w14:textId="77777777" w:rsidR="00C379DD" w:rsidRPr="005D3F76" w:rsidRDefault="00C379DD" w:rsidP="00C379DD">
      <w:pPr>
        <w:pStyle w:val="EndNoteBibliography"/>
        <w:ind w:left="720" w:hanging="720"/>
      </w:pPr>
      <w:r w:rsidRPr="005D3F76">
        <w:t>Blaska, D. (2014, January 22). Hey, Guilty Liberals, How About OK for Madison Prep?</w:t>
      </w:r>
      <w:r w:rsidRPr="005D3F76">
        <w:rPr>
          <w:i/>
        </w:rPr>
        <w:t xml:space="preserve"> The Capital Times,</w:t>
      </w:r>
      <w:r w:rsidRPr="005D3F76">
        <w:t xml:space="preserve"> p. 29. </w:t>
      </w:r>
    </w:p>
    <w:p w14:paraId="181EAB8A" w14:textId="77777777" w:rsidR="00C379DD" w:rsidRPr="005D3F76" w:rsidRDefault="00C379DD" w:rsidP="00C379DD">
      <w:pPr>
        <w:pStyle w:val="EndNoteBibliography"/>
        <w:ind w:left="720" w:hanging="720"/>
      </w:pPr>
      <w:r w:rsidRPr="005D3F76">
        <w:t>Bloomberg, M. R. (2011, February 28). Limit Pay, Not Unions.</w:t>
      </w:r>
      <w:r w:rsidRPr="005D3F76">
        <w:rPr>
          <w:i/>
        </w:rPr>
        <w:t xml:space="preserve"> The New York Times,</w:t>
      </w:r>
      <w:r w:rsidRPr="005D3F76">
        <w:t xml:space="preserve"> p. 23. </w:t>
      </w:r>
    </w:p>
    <w:p w14:paraId="08585D36" w14:textId="77777777" w:rsidR="00C379DD" w:rsidRPr="005D3F76" w:rsidRDefault="00C379DD" w:rsidP="00C379DD">
      <w:pPr>
        <w:pStyle w:val="EndNoteBibliography"/>
        <w:ind w:left="720" w:hanging="720"/>
      </w:pPr>
      <w:r w:rsidRPr="005D3F76">
        <w:t xml:space="preserve">Bohte, J. (2002). School Bureaucracy and Student Performance at the Local Level. </w:t>
      </w:r>
      <w:r w:rsidRPr="005D3F76">
        <w:rPr>
          <w:i/>
        </w:rPr>
        <w:t>Public Administration Review, 61</w:t>
      </w:r>
      <w:r w:rsidRPr="005D3F76">
        <w:t xml:space="preserve">(1), 92-99. </w:t>
      </w:r>
    </w:p>
    <w:p w14:paraId="369EB950" w14:textId="77777777" w:rsidR="00C379DD" w:rsidRPr="005D3F76" w:rsidRDefault="00C379DD" w:rsidP="00C379DD">
      <w:pPr>
        <w:pStyle w:val="EndNoteBibliography"/>
        <w:ind w:left="720" w:hanging="720"/>
      </w:pPr>
      <w:r w:rsidRPr="005D3F76">
        <w:t xml:space="preserve">Bourdieu, P. (1998). </w:t>
      </w:r>
      <w:r w:rsidRPr="005D3F76">
        <w:rPr>
          <w:i/>
        </w:rPr>
        <w:t>Acts of Resistance Against the New Myths of Our Time</w:t>
      </w:r>
      <w:r w:rsidRPr="005D3F76">
        <w:t>. Cambridge: Polity Press.</w:t>
      </w:r>
    </w:p>
    <w:p w14:paraId="5587FF70" w14:textId="77777777" w:rsidR="00C379DD" w:rsidRPr="005D3F76" w:rsidRDefault="00C379DD" w:rsidP="00C379DD">
      <w:pPr>
        <w:pStyle w:val="EndNoteBibliography"/>
        <w:ind w:left="720" w:hanging="720"/>
      </w:pPr>
      <w:r w:rsidRPr="005D3F76">
        <w:t xml:space="preserve">Bowles, N., Hamilton, J. T., &amp; Levy, D. A. L. (Eds.). (2014). </w:t>
      </w:r>
      <w:r w:rsidRPr="005D3F76">
        <w:rPr>
          <w:i/>
        </w:rPr>
        <w:t>Transparency in Politics and the Media Accountability and Open Government</w:t>
      </w:r>
      <w:r w:rsidRPr="005D3F76">
        <w:t>. New York, NY: Palgrave Macmillian.</w:t>
      </w:r>
    </w:p>
    <w:p w14:paraId="2EF1D010" w14:textId="11AEFB12" w:rsidR="00C379DD" w:rsidRPr="005D3F76" w:rsidRDefault="00C379DD" w:rsidP="00C379DD">
      <w:pPr>
        <w:pStyle w:val="EndNoteBibliography"/>
        <w:ind w:left="720" w:hanging="720"/>
      </w:pPr>
      <w:r w:rsidRPr="005D3F76">
        <w:lastRenderedPageBreak/>
        <w:t>Capital Newspapers Website Design. (2016). Capital Newspapers.   Retrieved from http://host.madison.com/capital_newspapers/</w:t>
      </w:r>
    </w:p>
    <w:p w14:paraId="703E5C2A" w14:textId="76C8D700" w:rsidR="00C379DD" w:rsidRPr="005D3F76" w:rsidRDefault="00C379DD" w:rsidP="00C379DD">
      <w:pPr>
        <w:pStyle w:val="EndNoteBibliography"/>
        <w:ind w:left="720" w:hanging="720"/>
      </w:pPr>
      <w:r w:rsidRPr="005D3F76">
        <w:t xml:space="preserve">Center for Union Facts (Producer). (2015). Protecting Bad Teachers. </w:t>
      </w:r>
      <w:r w:rsidRPr="005D3F76">
        <w:rPr>
          <w:i/>
        </w:rPr>
        <w:t>Teachers Union Exposed</w:t>
      </w:r>
      <w:r w:rsidRPr="005D3F76">
        <w:t>. Retrieved from http://teachersunionexposed.com/protecting.php</w:t>
      </w:r>
    </w:p>
    <w:p w14:paraId="1D5E7908" w14:textId="77777777" w:rsidR="00C379DD" w:rsidRPr="005D3F76" w:rsidRDefault="00C379DD" w:rsidP="00C379DD">
      <w:pPr>
        <w:pStyle w:val="EndNoteBibliography"/>
        <w:ind w:left="720" w:hanging="720"/>
      </w:pPr>
      <w:r w:rsidRPr="005D3F76">
        <w:t xml:space="preserve">Chickering, A. L. (1976). </w:t>
      </w:r>
      <w:r w:rsidRPr="005D3F76">
        <w:rPr>
          <w:i/>
        </w:rPr>
        <w:t>Public employee unions:a study of the crisis in public sector labor relations</w:t>
      </w:r>
      <w:r w:rsidRPr="005D3F76">
        <w:t>. Lexington, Mass: Lexington Books.</w:t>
      </w:r>
    </w:p>
    <w:p w14:paraId="7D59B39D" w14:textId="77777777" w:rsidR="00C379DD" w:rsidRPr="005D3F76" w:rsidRDefault="00C379DD" w:rsidP="00C379DD">
      <w:pPr>
        <w:pStyle w:val="EndNoteBibliography"/>
        <w:ind w:left="720" w:hanging="720"/>
      </w:pPr>
      <w:r w:rsidRPr="005D3F76">
        <w:t xml:space="preserve">Chilton, P. (2005). Missing Links in Mainstream CDA: Modules, Blends and the Critical Instinct. In R. W. a. P. Chilton (Ed.), </w:t>
      </w:r>
      <w:r w:rsidRPr="005D3F76">
        <w:rPr>
          <w:i/>
        </w:rPr>
        <w:t>A New Agenda in (Critical) Discourse Analysis: Theory, Methodology and Interdisciplinary</w:t>
      </w:r>
      <w:r w:rsidRPr="005D3F76">
        <w:t xml:space="preserve"> (pp. 19-51). Philadelphia: John Benjamins.</w:t>
      </w:r>
    </w:p>
    <w:p w14:paraId="30F7C6A6" w14:textId="77777777" w:rsidR="00C379DD" w:rsidRPr="005D3F76" w:rsidRDefault="00C379DD" w:rsidP="00C379DD">
      <w:pPr>
        <w:pStyle w:val="EndNoteBibliography"/>
        <w:ind w:left="720" w:hanging="720"/>
      </w:pPr>
      <w:r w:rsidRPr="005D3F76">
        <w:t xml:space="preserve">Christ, C. F. (1955). A Review of Input-Output Analysis </w:t>
      </w:r>
      <w:r w:rsidRPr="005D3F76">
        <w:rPr>
          <w:i/>
        </w:rPr>
        <w:t>Input-Output Analysis: An Appraisal</w:t>
      </w:r>
      <w:r w:rsidRPr="005D3F76">
        <w:t xml:space="preserve"> (pp. 137-162). Princeton, NJ: Princeton University Press.</w:t>
      </w:r>
    </w:p>
    <w:p w14:paraId="1A217468" w14:textId="77777777" w:rsidR="00C379DD" w:rsidRPr="005D3F76" w:rsidRDefault="00C379DD" w:rsidP="00C379DD">
      <w:pPr>
        <w:pStyle w:val="EndNoteBibliography"/>
        <w:ind w:left="720" w:hanging="720"/>
      </w:pPr>
      <w:r w:rsidRPr="005D3F76">
        <w:t xml:space="preserve">Cochran-Smith, M. (2002). What a Difference a Definition Makes; Highly Qualified Teachers, Scientific Research, and Teacher Educcation. </w:t>
      </w:r>
      <w:r w:rsidRPr="005D3F76">
        <w:rPr>
          <w:i/>
        </w:rPr>
        <w:t>Journal of Teacher Education, 53</w:t>
      </w:r>
      <w:r w:rsidRPr="005D3F76">
        <w:t xml:space="preserve">(3), 187-202. </w:t>
      </w:r>
    </w:p>
    <w:p w14:paraId="6DF82228" w14:textId="77777777" w:rsidR="00C379DD" w:rsidRPr="005D3F76" w:rsidRDefault="00C379DD" w:rsidP="00C379DD">
      <w:pPr>
        <w:pStyle w:val="EndNoteBibliography"/>
        <w:ind w:left="720" w:hanging="720"/>
      </w:pPr>
      <w:r w:rsidRPr="005D3F76">
        <w:t xml:space="preserve">Cogswell, S. H. (1996). Entitlements, Payees, and Coercion. In D. L. Dennis &amp; J. Monahan (Eds.), </w:t>
      </w:r>
      <w:r w:rsidRPr="005D3F76">
        <w:rPr>
          <w:i/>
        </w:rPr>
        <w:t>Coercion and Aggressive Community Treatment</w:t>
      </w:r>
      <w:r w:rsidRPr="005D3F76">
        <w:t xml:space="preserve"> (pp. 115-125). New York, NY: Springer.</w:t>
      </w:r>
    </w:p>
    <w:p w14:paraId="1F725663" w14:textId="77777777" w:rsidR="00C379DD" w:rsidRPr="005D3F76" w:rsidRDefault="00C379DD" w:rsidP="00C379DD">
      <w:pPr>
        <w:pStyle w:val="EndNoteBibliography"/>
        <w:ind w:left="720" w:hanging="720"/>
      </w:pPr>
      <w:r w:rsidRPr="005D3F76">
        <w:t xml:space="preserve">Cohen, J. L. (2010). Teachers in the News: A Criticcal Analysis of one US Newspapers Discourse on Education, 2006-2007. </w:t>
      </w:r>
      <w:r w:rsidRPr="005D3F76">
        <w:rPr>
          <w:i/>
        </w:rPr>
        <w:t>Discourse Studies in the Cultural Politics of Education, 31</w:t>
      </w:r>
      <w:r w:rsidRPr="005D3F76">
        <w:t xml:space="preserve">(1), 105-119. </w:t>
      </w:r>
    </w:p>
    <w:p w14:paraId="6178B6BC" w14:textId="77777777" w:rsidR="00C379DD" w:rsidRPr="005D3F76" w:rsidRDefault="00C379DD" w:rsidP="00C379DD">
      <w:pPr>
        <w:pStyle w:val="EndNoteBibliography"/>
        <w:ind w:left="720" w:hanging="720"/>
      </w:pPr>
      <w:r w:rsidRPr="005D3F76">
        <w:t xml:space="preserve">Cole, D. (1992). Article: Beyond Unconstitutional Conditions: Charting Spheres of Neutrality in Government-Funded Speech, . </w:t>
      </w:r>
      <w:r w:rsidRPr="005D3F76">
        <w:rPr>
          <w:i/>
        </w:rPr>
        <w:t>New York University Law Review, 67</w:t>
      </w:r>
      <w:r w:rsidRPr="005D3F76">
        <w:t xml:space="preserve">(675), 676-749. </w:t>
      </w:r>
    </w:p>
    <w:p w14:paraId="052F48C5" w14:textId="0DD96094" w:rsidR="00C379DD" w:rsidRPr="005D3F76" w:rsidRDefault="00C379DD" w:rsidP="00C379DD">
      <w:pPr>
        <w:pStyle w:val="EndNoteBibliography"/>
        <w:ind w:left="720" w:hanging="720"/>
      </w:pPr>
      <w:r w:rsidRPr="005D3F76">
        <w:t xml:space="preserve">Columbia University. (2012). 2012 Pulitzer Prizes Journalism. </w:t>
      </w:r>
      <w:r w:rsidRPr="005D3F76">
        <w:rPr>
          <w:i/>
        </w:rPr>
        <w:t>Pulitzer Prizes.</w:t>
      </w:r>
      <w:r w:rsidRPr="005D3F76">
        <w:t xml:space="preserve">  Retrieved from http://www.pulitzer.org/prize-winners-by-year/2012</w:t>
      </w:r>
    </w:p>
    <w:p w14:paraId="607D2345" w14:textId="77777777" w:rsidR="00C379DD" w:rsidRPr="005D3F76" w:rsidRDefault="00C379DD" w:rsidP="00C379DD">
      <w:pPr>
        <w:pStyle w:val="EndNoteBibliography"/>
        <w:ind w:left="720" w:hanging="720"/>
      </w:pPr>
      <w:r w:rsidRPr="005D3F76">
        <w:t>Colvin, J., &amp; Bauer, S. (2015, Feburary 26). Walker, Christie Take Different Paths on Union Issues.</w:t>
      </w:r>
      <w:r w:rsidRPr="005D3F76">
        <w:rPr>
          <w:i/>
        </w:rPr>
        <w:t xml:space="preserve"> Wisconsin State Jounral,</w:t>
      </w:r>
      <w:r w:rsidRPr="005D3F76">
        <w:t xml:space="preserve"> p. A9. </w:t>
      </w:r>
    </w:p>
    <w:p w14:paraId="083E962C" w14:textId="77777777" w:rsidR="00C379DD" w:rsidRPr="005D3F76" w:rsidRDefault="00C379DD" w:rsidP="00C379DD">
      <w:pPr>
        <w:pStyle w:val="EndNoteBibliography"/>
        <w:ind w:left="720" w:hanging="720"/>
      </w:pPr>
      <w:r w:rsidRPr="005D3F76">
        <w:t xml:space="preserve">Cook-Sather, A. (2002). Authorizing Students' Perspectives: Toward Trust, Dialogue, and Change in Education. </w:t>
      </w:r>
      <w:r w:rsidRPr="005D3F76">
        <w:rPr>
          <w:i/>
        </w:rPr>
        <w:t>Educational Researcher, 31</w:t>
      </w:r>
      <w:r w:rsidRPr="005D3F76">
        <w:t xml:space="preserve">(4), 3-14. </w:t>
      </w:r>
    </w:p>
    <w:p w14:paraId="6591EC22" w14:textId="77777777" w:rsidR="00C379DD" w:rsidRPr="005D3F76" w:rsidRDefault="00C379DD" w:rsidP="00C379DD">
      <w:pPr>
        <w:pStyle w:val="EndNoteBibliography"/>
        <w:ind w:left="720" w:hanging="720"/>
      </w:pPr>
      <w:r w:rsidRPr="005D3F76">
        <w:t xml:space="preserve">Cook, T. E. (1998). </w:t>
      </w:r>
      <w:r w:rsidRPr="005D3F76">
        <w:rPr>
          <w:i/>
        </w:rPr>
        <w:t>Governing with the News</w:t>
      </w:r>
      <w:r w:rsidRPr="005D3F76">
        <w:t>. Chicago &amp; London: The University of Chicago Press.</w:t>
      </w:r>
    </w:p>
    <w:p w14:paraId="2C026091" w14:textId="423CDFC3" w:rsidR="00C379DD" w:rsidRPr="005D3F76" w:rsidRDefault="00C379DD" w:rsidP="00C379DD">
      <w:pPr>
        <w:pStyle w:val="EndNoteBibliography"/>
        <w:ind w:left="720" w:hanging="720"/>
      </w:pPr>
      <w:r w:rsidRPr="005D3F76">
        <w:t>Coulson, A. J. (2014). A Less perfect Union.   Retrieved from http://www.cato.org/publications/commentary/less-perfect-union</w:t>
      </w:r>
    </w:p>
    <w:p w14:paraId="329D4CF8" w14:textId="77777777" w:rsidR="00C379DD" w:rsidRPr="005D3F76" w:rsidRDefault="00C379DD" w:rsidP="00C379DD">
      <w:pPr>
        <w:pStyle w:val="EndNoteBibliography"/>
        <w:ind w:left="720" w:hanging="720"/>
      </w:pPr>
      <w:r w:rsidRPr="005D3F76">
        <w:t>Cowen, J., &amp; Strunk, K. D. (2014).</w:t>
      </w:r>
      <w:r w:rsidRPr="005D3F76">
        <w:rPr>
          <w:i/>
        </w:rPr>
        <w:t xml:space="preserve"> How do Teachers' Unions Influence Education Policy? What We Know and What We Need to Learn</w:t>
      </w:r>
      <w:r w:rsidRPr="005D3F76">
        <w:t>. Working Papers,  (#42). Michigan State University.</w:t>
      </w:r>
    </w:p>
    <w:p w14:paraId="307A5740" w14:textId="77777777" w:rsidR="00C379DD" w:rsidRPr="005D3F76" w:rsidRDefault="00C379DD" w:rsidP="00C379DD">
      <w:pPr>
        <w:pStyle w:val="EndNoteBibliography"/>
        <w:ind w:left="720" w:hanging="720"/>
      </w:pPr>
      <w:r w:rsidRPr="005D3F76">
        <w:t>Craver, J. (2012, December 5). Teachers Union Chief Explains New Reality For Labor: Q &amp; A Mary Bell.</w:t>
      </w:r>
      <w:r w:rsidRPr="005D3F76">
        <w:rPr>
          <w:i/>
        </w:rPr>
        <w:t xml:space="preserve"> The Capital Times,</w:t>
      </w:r>
      <w:r w:rsidRPr="005D3F76">
        <w:t xml:space="preserve"> p. 8. </w:t>
      </w:r>
    </w:p>
    <w:p w14:paraId="1201A322" w14:textId="77777777" w:rsidR="00C379DD" w:rsidRPr="005D3F76" w:rsidRDefault="00C379DD" w:rsidP="00C379DD">
      <w:pPr>
        <w:pStyle w:val="EndNoteBibliography"/>
        <w:ind w:left="720" w:hanging="720"/>
      </w:pPr>
      <w:r w:rsidRPr="005D3F76">
        <w:t xml:space="preserve">Darling-Hammond, L. (2000). Teacher Quality and Student Achievement. </w:t>
      </w:r>
      <w:r w:rsidRPr="005D3F76">
        <w:rPr>
          <w:i/>
        </w:rPr>
        <w:t>Educational Policy Analysis Archives, 8</w:t>
      </w:r>
      <w:r w:rsidRPr="005D3F76">
        <w:t xml:space="preserve">(1), 1-44. </w:t>
      </w:r>
    </w:p>
    <w:p w14:paraId="0DA6EB30" w14:textId="77777777" w:rsidR="00C379DD" w:rsidRPr="005D3F76" w:rsidRDefault="00C379DD" w:rsidP="00C379DD">
      <w:pPr>
        <w:pStyle w:val="EndNoteBibliography"/>
        <w:ind w:left="720" w:hanging="720"/>
      </w:pPr>
      <w:r w:rsidRPr="005D3F76">
        <w:t>Davey, M. (2011). Angry Demonstrations in Wisconsin as Cuts Loom.</w:t>
      </w:r>
      <w:r w:rsidRPr="005D3F76">
        <w:rPr>
          <w:i/>
        </w:rPr>
        <w:t xml:space="preserve"> The New York Times</w:t>
      </w:r>
      <w:r w:rsidRPr="005D3F76">
        <w:t xml:space="preserve">. </w:t>
      </w:r>
    </w:p>
    <w:p w14:paraId="52C9E2C9" w14:textId="77777777" w:rsidR="00C379DD" w:rsidRPr="005D3F76" w:rsidRDefault="00C379DD" w:rsidP="00C379DD">
      <w:pPr>
        <w:pStyle w:val="EndNoteBibliography"/>
        <w:ind w:left="720" w:hanging="720"/>
      </w:pPr>
      <w:r w:rsidRPr="005D3F76">
        <w:t xml:space="preserve">Davies, B., &amp; Bansel, P. (2007). Neoliberalism and education. </w:t>
      </w:r>
      <w:r w:rsidRPr="005D3F76">
        <w:rPr>
          <w:i/>
        </w:rPr>
        <w:t>International Journal of Qualitative Studies in Education, 20</w:t>
      </w:r>
      <w:r w:rsidRPr="005D3F76">
        <w:t xml:space="preserve">(3), 247-259. </w:t>
      </w:r>
    </w:p>
    <w:p w14:paraId="04413BBF" w14:textId="77777777" w:rsidR="00C379DD" w:rsidRPr="005D3F76" w:rsidRDefault="00C379DD" w:rsidP="00C379DD">
      <w:pPr>
        <w:pStyle w:val="EndNoteBibliography"/>
        <w:ind w:left="720" w:hanging="720"/>
      </w:pPr>
      <w:r w:rsidRPr="005D3F76">
        <w:t xml:space="preserve">de Toledano, R. (1975). Let Our Cities Burn. </w:t>
      </w:r>
      <w:r w:rsidRPr="005D3F76">
        <w:rPr>
          <w:i/>
        </w:rPr>
        <w:t>Kirkus</w:t>
      </w:r>
      <w:r w:rsidRPr="005D3F76">
        <w:t>.</w:t>
      </w:r>
    </w:p>
    <w:p w14:paraId="23533810" w14:textId="77777777" w:rsidR="00C379DD" w:rsidRPr="005D3F76" w:rsidRDefault="00C379DD" w:rsidP="00C379DD">
      <w:pPr>
        <w:pStyle w:val="EndNoteBibliography"/>
        <w:ind w:left="720" w:hanging="720"/>
      </w:pPr>
      <w:r w:rsidRPr="005D3F76">
        <w:t>DeFour, M. (2011a, May 22). Districts Asked to Identify Teachers Who Protested; Many Have Complied, but Madison Officials Refuse. Citing Safety Concerns.</w:t>
      </w:r>
      <w:r w:rsidRPr="005D3F76">
        <w:rPr>
          <w:i/>
        </w:rPr>
        <w:t xml:space="preserve"> Wisconsin State Journal,</w:t>
      </w:r>
      <w:r w:rsidRPr="005D3F76">
        <w:t xml:space="preserve"> p. A1. </w:t>
      </w:r>
    </w:p>
    <w:p w14:paraId="020E0F4D" w14:textId="77777777" w:rsidR="00C379DD" w:rsidRPr="005D3F76" w:rsidRDefault="00C379DD" w:rsidP="00C379DD">
      <w:pPr>
        <w:pStyle w:val="EndNoteBibliography"/>
        <w:ind w:left="720" w:hanging="720"/>
      </w:pPr>
      <w:r w:rsidRPr="005D3F76">
        <w:lastRenderedPageBreak/>
        <w:t>DeFour, M. (2011b, July 23). Unions Reject Discussions: Task Force Aims to Develop School Accountability System Unions Reject Discussions.</w:t>
      </w:r>
      <w:r w:rsidRPr="005D3F76">
        <w:rPr>
          <w:i/>
        </w:rPr>
        <w:t xml:space="preserve"> Wisconsin State Journal,</w:t>
      </w:r>
      <w:r w:rsidRPr="005D3F76">
        <w:t xml:space="preserve"> p. A3. </w:t>
      </w:r>
    </w:p>
    <w:p w14:paraId="3B8CD826" w14:textId="77777777" w:rsidR="00C379DD" w:rsidRPr="005D3F76" w:rsidRDefault="00C379DD" w:rsidP="00C379DD">
      <w:pPr>
        <w:pStyle w:val="EndNoteBibliography"/>
        <w:ind w:left="720" w:hanging="720"/>
      </w:pPr>
      <w:r w:rsidRPr="005D3F76">
        <w:t>DeFour, M. (2012a, April 13). Walker Spars With Union Over Surveys.</w:t>
      </w:r>
      <w:r w:rsidRPr="005D3F76">
        <w:rPr>
          <w:i/>
        </w:rPr>
        <w:t xml:space="preserve"> Wisconsin State Journal,</w:t>
      </w:r>
      <w:r w:rsidRPr="005D3F76">
        <w:t xml:space="preserve"> p. A3. </w:t>
      </w:r>
    </w:p>
    <w:p w14:paraId="179FD676" w14:textId="77777777" w:rsidR="00C379DD" w:rsidRPr="005D3F76" w:rsidRDefault="00C379DD" w:rsidP="00C379DD">
      <w:pPr>
        <w:pStyle w:val="EndNoteBibliography"/>
        <w:ind w:left="720" w:hanging="720"/>
      </w:pPr>
      <w:r w:rsidRPr="005D3F76">
        <w:t>DeFour, M. (2012b, September 11). Wisconsin Unions Offer Support: Chicago Teacher Strike.</w:t>
      </w:r>
      <w:r w:rsidRPr="005D3F76">
        <w:rPr>
          <w:i/>
        </w:rPr>
        <w:t xml:space="preserve"> Wisconsin State Journal,</w:t>
      </w:r>
      <w:r w:rsidRPr="005D3F76">
        <w:t xml:space="preserve"> p. A7. </w:t>
      </w:r>
    </w:p>
    <w:p w14:paraId="3EDAC017" w14:textId="77777777" w:rsidR="00C379DD" w:rsidRPr="005D3F76" w:rsidRDefault="00C379DD" w:rsidP="00C379DD">
      <w:pPr>
        <w:pStyle w:val="EndNoteBibliography"/>
        <w:ind w:left="720" w:hanging="720"/>
      </w:pPr>
      <w:r w:rsidRPr="005D3F76">
        <w:t>Defour, M., &amp; Verburg, S. (2012, September 2012). ACT 10 Ruling Efffect Minimal?: Some Labor Experts Say Management Still Would Have Most of the Power in Contract Negotiations: Collective Bargaining.</w:t>
      </w:r>
      <w:r w:rsidRPr="005D3F76">
        <w:rPr>
          <w:i/>
        </w:rPr>
        <w:t xml:space="preserve"> Wisconsin State Journal,</w:t>
      </w:r>
      <w:r w:rsidRPr="005D3F76">
        <w:t xml:space="preserve"> p. A1. </w:t>
      </w:r>
    </w:p>
    <w:p w14:paraId="7CA2E3B6" w14:textId="0ABC716B" w:rsidR="00C379DD" w:rsidRPr="005D3F76" w:rsidRDefault="00C379DD" w:rsidP="00C379DD">
      <w:pPr>
        <w:pStyle w:val="EndNoteBibliography"/>
        <w:ind w:left="720" w:hanging="720"/>
      </w:pPr>
      <w:r w:rsidRPr="005D3F76">
        <w:t>Deloney, A. (2012). Sandy Hook and Media Ownership--More Related Than You Might Think.   Retrieved from http://centerformediajustice.org/2012/12/14/sandy-hook-and-media-ownership-more-related-than-you-might-think/</w:t>
      </w:r>
    </w:p>
    <w:p w14:paraId="2211CABE" w14:textId="77777777" w:rsidR="00C379DD" w:rsidRPr="005D3F76" w:rsidRDefault="00C379DD" w:rsidP="00C379DD">
      <w:pPr>
        <w:pStyle w:val="EndNoteBibliography"/>
        <w:ind w:left="720" w:hanging="720"/>
      </w:pPr>
      <w:r w:rsidRPr="005D3F76">
        <w:t>Democratic Party. (2012). Democratic Party of Wisconsin 2012 Platform. Appleton, Wisconsin: Democratic Party.</w:t>
      </w:r>
    </w:p>
    <w:p w14:paraId="32A19D87" w14:textId="77777777" w:rsidR="00C379DD" w:rsidRPr="005D3F76" w:rsidRDefault="00C379DD" w:rsidP="00C379DD">
      <w:pPr>
        <w:pStyle w:val="EndNoteBibliography"/>
        <w:ind w:left="720" w:hanging="720"/>
      </w:pPr>
      <w:r w:rsidRPr="005D3F76">
        <w:t xml:space="preserve">Derian, J. D., &amp; Miller, M. J. (1989). </w:t>
      </w:r>
      <w:r w:rsidRPr="005D3F76">
        <w:rPr>
          <w:i/>
        </w:rPr>
        <w:t>International/Intertextual Relations</w:t>
      </w:r>
      <w:r w:rsidRPr="005D3F76">
        <w:t>. Lesington, MA: D.C. Heath.</w:t>
      </w:r>
    </w:p>
    <w:p w14:paraId="6BD9A0F7" w14:textId="3809786A" w:rsidR="00C379DD" w:rsidRPr="005D3F76" w:rsidRDefault="00C379DD" w:rsidP="00C379DD">
      <w:pPr>
        <w:pStyle w:val="EndNoteBibliography"/>
        <w:ind w:left="720" w:hanging="720"/>
      </w:pPr>
      <w:r w:rsidRPr="005D3F76">
        <w:t xml:space="preserve">Desvarieus, J. (Producer). (2014, January 2016). The Consequences of Reagan Breaking the 1981 Air Traffic Controllers Strike. </w:t>
      </w:r>
      <w:r w:rsidRPr="005D3F76">
        <w:rPr>
          <w:i/>
        </w:rPr>
        <w:t>Truthour</w:t>
      </w:r>
      <w:r w:rsidRPr="005D3F76">
        <w:t>. Retrieved from http://www.truth-out.org/news/item/25393-the-consequences-of-reagan-breaking-the-1981-air-traffic-controllers-strike</w:t>
      </w:r>
    </w:p>
    <w:p w14:paraId="261C9A60" w14:textId="2D63A53E" w:rsidR="00C379DD" w:rsidRPr="005D3F76" w:rsidRDefault="00C379DD" w:rsidP="00C379DD">
      <w:pPr>
        <w:pStyle w:val="EndNoteBibliography"/>
        <w:ind w:left="720" w:hanging="720"/>
      </w:pPr>
      <w:r w:rsidRPr="005D3F76">
        <w:t>Devinatz, V. G. (2004). Combatting Negative Views of Unions: A Defense of Labor Studies.  Retrieved July 2016, from NEA http://www.nea.org/assets/img/PubThoughtAndAction/TAA_04Win_10.pdf</w:t>
      </w:r>
    </w:p>
    <w:p w14:paraId="6AA3E79F" w14:textId="77777777" w:rsidR="00C379DD" w:rsidRPr="005D3F76" w:rsidRDefault="00C379DD" w:rsidP="00C379DD">
      <w:pPr>
        <w:pStyle w:val="EndNoteBibliography"/>
        <w:ind w:left="720" w:hanging="720"/>
      </w:pPr>
      <w:r w:rsidRPr="005D3F76">
        <w:t>Dillon, S. (2011, February 16). Role for Teachers is Seen in Solving Schools' Crises.</w:t>
      </w:r>
      <w:r w:rsidRPr="005D3F76">
        <w:rPr>
          <w:i/>
        </w:rPr>
        <w:t xml:space="preserve"> The New York Times,</w:t>
      </w:r>
      <w:r w:rsidRPr="005D3F76">
        <w:t xml:space="preserve"> p. 15. </w:t>
      </w:r>
    </w:p>
    <w:p w14:paraId="78E23E3D" w14:textId="77777777" w:rsidR="00C379DD" w:rsidRPr="005D3F76" w:rsidRDefault="00C379DD" w:rsidP="00C379DD">
      <w:pPr>
        <w:pStyle w:val="EndNoteBibliography"/>
        <w:ind w:left="720" w:hanging="720"/>
      </w:pPr>
      <w:r w:rsidRPr="005D3F76">
        <w:t xml:space="preserve">Duffett, A., Farkas, S., Rotherham, A. J., &amp; Silva, E. (2008). </w:t>
      </w:r>
      <w:r w:rsidRPr="005D3F76">
        <w:rPr>
          <w:i/>
        </w:rPr>
        <w:t>Waiting to be Won Over: Teachers Speak on the Profession, Unions, and Reform</w:t>
      </w:r>
      <w:r w:rsidRPr="005D3F76">
        <w:t xml:space="preserve">. Retrieved from Washington D.C.: </w:t>
      </w:r>
    </w:p>
    <w:p w14:paraId="1A6BFC31" w14:textId="195C87CE" w:rsidR="00C379DD" w:rsidRPr="005D3F76" w:rsidRDefault="00C379DD" w:rsidP="00C379DD">
      <w:pPr>
        <w:pStyle w:val="EndNoteBibliography"/>
        <w:ind w:left="720" w:hanging="720"/>
      </w:pPr>
      <w:r w:rsidRPr="005D3F76">
        <w:t>Ed Notes Online. (2012). AFT Membership: Do the Numbers Add Up?   Retrieved from http://ednotesonline.blogspot.com/2012/08/aft-membership-do-numbers-add-up.html</w:t>
      </w:r>
    </w:p>
    <w:p w14:paraId="6A9C2502" w14:textId="77777777" w:rsidR="00C379DD" w:rsidRPr="005D3F76" w:rsidRDefault="00C379DD" w:rsidP="00C379DD">
      <w:pPr>
        <w:pStyle w:val="EndNoteBibliography"/>
        <w:ind w:left="720" w:hanging="720"/>
      </w:pPr>
      <w:r w:rsidRPr="005D3F76">
        <w:t>Edsall, T. B. (2014, November 19). Republicans Sure Love to Hate Unions.</w:t>
      </w:r>
      <w:r w:rsidRPr="005D3F76">
        <w:rPr>
          <w:i/>
        </w:rPr>
        <w:t xml:space="preserve"> The New York Times,</w:t>
      </w:r>
      <w:r w:rsidRPr="005D3F76">
        <w:t xml:space="preserve"> p. 1. </w:t>
      </w:r>
    </w:p>
    <w:p w14:paraId="7E9BEC1D" w14:textId="77777777" w:rsidR="00C379DD" w:rsidRPr="005D3F76" w:rsidRDefault="00C379DD" w:rsidP="00C379DD">
      <w:pPr>
        <w:pStyle w:val="EndNoteBibliography"/>
        <w:ind w:left="720" w:hanging="720"/>
      </w:pPr>
      <w:r w:rsidRPr="005D3F76">
        <w:t xml:space="preserve">Edwards, C. (2010). </w:t>
      </w:r>
      <w:r w:rsidRPr="005D3F76">
        <w:rPr>
          <w:i/>
        </w:rPr>
        <w:t>Public Sector Unions</w:t>
      </w:r>
      <w:r w:rsidRPr="005D3F76">
        <w:t xml:space="preserve">. Retrieved from </w:t>
      </w:r>
    </w:p>
    <w:p w14:paraId="16232A60" w14:textId="77777777" w:rsidR="00C379DD" w:rsidRPr="005D3F76" w:rsidRDefault="00C379DD" w:rsidP="00C379DD">
      <w:pPr>
        <w:pStyle w:val="EndNoteBibliography"/>
        <w:ind w:left="720" w:hanging="720"/>
      </w:pPr>
      <w:r w:rsidRPr="005D3F76">
        <w:t xml:space="preserve">Edwards, J., &amp; Brennan, K. (2011). Unions Protests Spread Across the U.S. </w:t>
      </w:r>
      <w:r w:rsidRPr="005D3F76">
        <w:rPr>
          <w:i/>
        </w:rPr>
        <w:t>National Journal Archived</w:t>
      </w:r>
      <w:r w:rsidRPr="005D3F76">
        <w:t>.</w:t>
      </w:r>
    </w:p>
    <w:p w14:paraId="2AA49A66" w14:textId="77777777" w:rsidR="00C379DD" w:rsidRPr="005D3F76" w:rsidRDefault="00C379DD" w:rsidP="00C379DD">
      <w:pPr>
        <w:pStyle w:val="EndNoteBibliography"/>
        <w:ind w:left="720" w:hanging="720"/>
      </w:pPr>
      <w:r w:rsidRPr="005D3F76">
        <w:t xml:space="preserve">Ellis, J. (1982). </w:t>
      </w:r>
      <w:r w:rsidRPr="005D3F76">
        <w:rPr>
          <w:i/>
        </w:rPr>
        <w:t>Visible Fictions</w:t>
      </w:r>
      <w:r w:rsidRPr="005D3F76">
        <w:t>. New York: Routledge.</w:t>
      </w:r>
    </w:p>
    <w:p w14:paraId="3AB3AFA2" w14:textId="77777777" w:rsidR="00C379DD" w:rsidRPr="005D3F76" w:rsidRDefault="00C379DD" w:rsidP="00C379DD">
      <w:pPr>
        <w:pStyle w:val="EndNoteBibliography"/>
        <w:ind w:left="720" w:hanging="720"/>
      </w:pPr>
      <w:r w:rsidRPr="005D3F76">
        <w:t xml:space="preserve">Ellison, B. S. (2009). </w:t>
      </w:r>
      <w:r w:rsidRPr="005D3F76">
        <w:rPr>
          <w:i/>
        </w:rPr>
        <w:t>In Contradiction: The Concept of Globaization in the Popular Discourse of Education Reform.</w:t>
      </w:r>
      <w:r w:rsidRPr="005D3F76">
        <w:t xml:space="preserve"> (Doctoral Dissertation), University of Tennessee, Knoxville, TN.   </w:t>
      </w:r>
    </w:p>
    <w:p w14:paraId="4ACAFD8D" w14:textId="74BC5D90" w:rsidR="00C379DD" w:rsidRPr="005D3F76" w:rsidRDefault="00C379DD" w:rsidP="00C379DD">
      <w:pPr>
        <w:pStyle w:val="EndNoteBibliography"/>
        <w:ind w:left="720" w:hanging="720"/>
      </w:pPr>
      <w:r w:rsidRPr="005D3F76">
        <w:t xml:space="preserve">Epton, J. (2004). Mainstream Media's Anti-Union Bias. </w:t>
      </w:r>
      <w:r w:rsidRPr="005D3F76">
        <w:rPr>
          <w:i/>
        </w:rPr>
        <w:t>In These Times.</w:t>
      </w:r>
      <w:r w:rsidRPr="005D3F76">
        <w:t xml:space="preserve">  Retrieved from http://www3.alternet.org/story/17658/mainstream_media's_anti-union_bias</w:t>
      </w:r>
    </w:p>
    <w:p w14:paraId="48317A43" w14:textId="77777777" w:rsidR="00C379DD" w:rsidRPr="005D3F76" w:rsidRDefault="00C379DD" w:rsidP="00C379DD">
      <w:pPr>
        <w:pStyle w:val="EndNoteBibliography"/>
        <w:ind w:left="720" w:hanging="720"/>
      </w:pPr>
      <w:r w:rsidRPr="005D3F76">
        <w:t xml:space="preserve">Evans, M. (2013). 'The Author and the Princess'--An example of Critical Discourse Analysis. </w:t>
      </w:r>
      <w:r w:rsidRPr="005D3F76">
        <w:rPr>
          <w:i/>
        </w:rPr>
        <w:t>Language in Conflict</w:t>
      </w:r>
      <w:r w:rsidRPr="005D3F76">
        <w:t>.</w:t>
      </w:r>
    </w:p>
    <w:p w14:paraId="129AA63C" w14:textId="77777777" w:rsidR="00C379DD" w:rsidRPr="005D3F76" w:rsidRDefault="00C379DD" w:rsidP="00C379DD">
      <w:pPr>
        <w:pStyle w:val="EndNoteBibliography"/>
        <w:ind w:left="720" w:hanging="720"/>
      </w:pPr>
      <w:r w:rsidRPr="005D3F76">
        <w:t xml:space="preserve">Fairclough, N. (1992). </w:t>
      </w:r>
      <w:r w:rsidRPr="005D3F76">
        <w:rPr>
          <w:i/>
        </w:rPr>
        <w:t>Discourse and Social Change</w:t>
      </w:r>
      <w:r w:rsidRPr="005D3F76">
        <w:t>. Cambridge, MA: Polity Press.</w:t>
      </w:r>
    </w:p>
    <w:p w14:paraId="4B24FE84" w14:textId="77777777" w:rsidR="00C379DD" w:rsidRPr="005D3F76" w:rsidRDefault="00C379DD" w:rsidP="00C379DD">
      <w:pPr>
        <w:pStyle w:val="EndNoteBibliography"/>
        <w:ind w:left="720" w:hanging="720"/>
      </w:pPr>
      <w:r w:rsidRPr="005D3F76">
        <w:t xml:space="preserve">Fairclough, N. (1995). </w:t>
      </w:r>
      <w:r w:rsidRPr="005D3F76">
        <w:rPr>
          <w:i/>
        </w:rPr>
        <w:t>Media Discourse</w:t>
      </w:r>
      <w:r w:rsidRPr="005D3F76">
        <w:t>. New York: St. Martin's Press Inc.</w:t>
      </w:r>
    </w:p>
    <w:p w14:paraId="75E01D6B" w14:textId="77777777" w:rsidR="00C379DD" w:rsidRPr="005D3F76" w:rsidRDefault="00C379DD" w:rsidP="00C379DD">
      <w:pPr>
        <w:pStyle w:val="EndNoteBibliography"/>
        <w:ind w:left="720" w:hanging="720"/>
      </w:pPr>
      <w:r w:rsidRPr="005D3F76">
        <w:t xml:space="preserve">Fairclough, N. (2001). The Discourse of New Labour: Critical Discourse Analysis. In M. Wetherall, S. Taylor, &amp; S. J. Yates (Eds.), </w:t>
      </w:r>
      <w:r w:rsidRPr="005D3F76">
        <w:rPr>
          <w:i/>
        </w:rPr>
        <w:t xml:space="preserve">Discourse as Data: A Guide for Analysis </w:t>
      </w:r>
      <w:r w:rsidRPr="005D3F76">
        <w:t>(pp. 229-266). U.K.: The Open University.</w:t>
      </w:r>
    </w:p>
    <w:p w14:paraId="5CE39F45" w14:textId="6B2CDEB5" w:rsidR="00C379DD" w:rsidRPr="005D3F76" w:rsidRDefault="00C379DD" w:rsidP="00C379DD">
      <w:pPr>
        <w:pStyle w:val="EndNoteBibliography"/>
        <w:ind w:left="720" w:hanging="720"/>
      </w:pPr>
      <w:r w:rsidRPr="005D3F76">
        <w:lastRenderedPageBreak/>
        <w:t>Fairclough, N. (2012). Critical Discourse Analysis.   Retrieved from http://semiotics.nured.uowm.gr/pdfs/THEORY_FAIRCLOUGH.pdf</w:t>
      </w:r>
    </w:p>
    <w:p w14:paraId="02A57CA0" w14:textId="77777777" w:rsidR="00C379DD" w:rsidRPr="005D3F76" w:rsidRDefault="00C379DD" w:rsidP="00C379DD">
      <w:pPr>
        <w:pStyle w:val="EndNoteBibliography"/>
        <w:ind w:left="720" w:hanging="720"/>
      </w:pPr>
      <w:r w:rsidRPr="005D3F76">
        <w:t xml:space="preserve">Fairclough, N., Graham, P., Lemke, J., &amp; Wodak, R. (2004). Introduction. </w:t>
      </w:r>
      <w:r w:rsidRPr="005D3F76">
        <w:rPr>
          <w:i/>
        </w:rPr>
        <w:t>Critical Discourse Studies, 1</w:t>
      </w:r>
      <w:r w:rsidRPr="005D3F76">
        <w:t xml:space="preserve">(1), 1-7. </w:t>
      </w:r>
    </w:p>
    <w:p w14:paraId="1681305C" w14:textId="77777777" w:rsidR="00C379DD" w:rsidRPr="005D3F76" w:rsidRDefault="00C379DD" w:rsidP="00C379DD">
      <w:pPr>
        <w:pStyle w:val="EndNoteBibliography"/>
        <w:ind w:left="720" w:hanging="720"/>
      </w:pPr>
      <w:r w:rsidRPr="005D3F76">
        <w:t xml:space="preserve">Fairclough, N., &amp; Wodak, R. (1997). Critical Discourse Analysis. In T. van Dijk (Ed.), </w:t>
      </w:r>
      <w:r w:rsidRPr="005D3F76">
        <w:rPr>
          <w:i/>
        </w:rPr>
        <w:t>Discourse as Social Interaction</w:t>
      </w:r>
      <w:r w:rsidRPr="005D3F76">
        <w:t xml:space="preserve"> (pp. 258-285). London: Sage.</w:t>
      </w:r>
    </w:p>
    <w:p w14:paraId="3ECCFCF3" w14:textId="77777777" w:rsidR="00C379DD" w:rsidRPr="005D3F76" w:rsidRDefault="00C379DD" w:rsidP="00C379DD">
      <w:pPr>
        <w:pStyle w:val="EndNoteBibliography"/>
        <w:ind w:left="720" w:hanging="720"/>
      </w:pPr>
      <w:r w:rsidRPr="005D3F76">
        <w:t>Fanlund, P. (2014, December 31). Is Wisconsin Destined to be a Rust Belt Backwater?: Editor's Column.</w:t>
      </w:r>
      <w:r w:rsidRPr="005D3F76">
        <w:rPr>
          <w:i/>
        </w:rPr>
        <w:t xml:space="preserve"> The Capital Times,</w:t>
      </w:r>
      <w:r w:rsidRPr="005D3F76">
        <w:t xml:space="preserve"> p. 7. </w:t>
      </w:r>
    </w:p>
    <w:p w14:paraId="6290EBDE" w14:textId="03DBE970" w:rsidR="00C379DD" w:rsidRPr="005D3F76" w:rsidRDefault="00C379DD" w:rsidP="00C379DD">
      <w:pPr>
        <w:pStyle w:val="EndNoteBibliography"/>
        <w:ind w:left="720" w:hanging="720"/>
      </w:pPr>
      <w:r w:rsidRPr="005D3F76">
        <w:t xml:space="preserve">Farlex. (2003-2016). Commerce Clause. </w:t>
      </w:r>
      <w:r w:rsidRPr="005D3F76">
        <w:rPr>
          <w:i/>
        </w:rPr>
        <w:t>Farlex The Free Dictionary.</w:t>
      </w:r>
      <w:r w:rsidRPr="005D3F76">
        <w:t xml:space="preserve">  Retrieved from http://legal-dictionary.thefreedictionary.com/Commerce+Clause</w:t>
      </w:r>
    </w:p>
    <w:p w14:paraId="0B3FA334" w14:textId="4092D852" w:rsidR="00C379DD" w:rsidRPr="005D3F76" w:rsidRDefault="00C379DD" w:rsidP="00C379DD">
      <w:pPr>
        <w:pStyle w:val="EndNoteBibliography"/>
        <w:ind w:left="720" w:hanging="720"/>
      </w:pPr>
      <w:r w:rsidRPr="005D3F76">
        <w:t>Farmer, B. (2011). The Boston Police Strike of 1919.   Retrieved from http://www.thenewamerican.com/culture/history/item/4829-the-boston-police-strike-of-1919</w:t>
      </w:r>
    </w:p>
    <w:p w14:paraId="53D7E09F" w14:textId="77777777" w:rsidR="00C379DD" w:rsidRPr="005D3F76" w:rsidRDefault="00C379DD" w:rsidP="00C379DD">
      <w:pPr>
        <w:pStyle w:val="EndNoteBibliography"/>
        <w:ind w:left="720" w:hanging="720"/>
      </w:pPr>
      <w:r w:rsidRPr="005D3F76">
        <w:t>Finkelmeyer, T. (2011, March 23). MATC Union Feels Sting of New Bargaining Law.</w:t>
      </w:r>
      <w:r w:rsidRPr="005D3F76">
        <w:rPr>
          <w:i/>
        </w:rPr>
        <w:t xml:space="preserve"> The Capital Times,</w:t>
      </w:r>
      <w:r w:rsidRPr="005D3F76">
        <w:t xml:space="preserve"> p. 15. </w:t>
      </w:r>
    </w:p>
    <w:p w14:paraId="3F4B4FE0" w14:textId="77777777" w:rsidR="00C379DD" w:rsidRPr="005D3F76" w:rsidRDefault="00C379DD" w:rsidP="00C379DD">
      <w:pPr>
        <w:pStyle w:val="EndNoteBibliography"/>
        <w:ind w:left="720" w:hanging="720"/>
      </w:pPr>
      <w:r w:rsidRPr="005D3F76">
        <w:t>Finkelmeyer, T. (2012, September 5). UW Dean: Public K-12 Schools are for the Public Good: Q &amp; A Julie Underwodd.</w:t>
      </w:r>
      <w:r w:rsidRPr="005D3F76">
        <w:rPr>
          <w:i/>
        </w:rPr>
        <w:t xml:space="preserve"> The Capital Times,</w:t>
      </w:r>
      <w:r w:rsidRPr="005D3F76">
        <w:t xml:space="preserve"> p. 8. </w:t>
      </w:r>
    </w:p>
    <w:p w14:paraId="5659477D" w14:textId="77777777" w:rsidR="00C379DD" w:rsidRPr="005D3F76" w:rsidRDefault="00C379DD" w:rsidP="00C379DD">
      <w:pPr>
        <w:pStyle w:val="EndNoteBibliography"/>
        <w:ind w:left="720" w:hanging="720"/>
      </w:pPr>
      <w:r w:rsidRPr="005D3F76">
        <w:t xml:space="preserve">Finklestein, M. J. (Ed.) (1940). </w:t>
      </w:r>
      <w:r w:rsidRPr="005D3F76">
        <w:rPr>
          <w:i/>
        </w:rPr>
        <w:t>Academic Freedom and Tenure: Statement of Principles</w:t>
      </w:r>
      <w:r w:rsidRPr="005D3F76">
        <w:t>. Lexington, M.A.: Ginn Press.</w:t>
      </w:r>
    </w:p>
    <w:p w14:paraId="568A0DE4" w14:textId="77777777" w:rsidR="00C379DD" w:rsidRPr="005D3F76" w:rsidRDefault="00C379DD" w:rsidP="00C379DD">
      <w:pPr>
        <w:pStyle w:val="EndNoteBibliography"/>
        <w:ind w:left="720" w:hanging="720"/>
      </w:pPr>
      <w:r w:rsidRPr="005D3F76">
        <w:t xml:space="preserve">Forchtner, B. (2010). Jurgen Habermas' Language-Philosophy and the Critical Study of Language. </w:t>
      </w:r>
      <w:r w:rsidRPr="005D3F76">
        <w:rPr>
          <w:i/>
        </w:rPr>
        <w:t>Critical Approaches to Discourse Analysis across Disciplines, 4</w:t>
      </w:r>
      <w:r w:rsidRPr="005D3F76">
        <w:t xml:space="preserve">(1), 18-37. </w:t>
      </w:r>
    </w:p>
    <w:p w14:paraId="6E447711" w14:textId="77777777" w:rsidR="00C379DD" w:rsidRPr="005D3F76" w:rsidRDefault="00C379DD" w:rsidP="00C379DD">
      <w:pPr>
        <w:pStyle w:val="EndNoteBibliography"/>
        <w:ind w:left="720" w:hanging="720"/>
      </w:pPr>
      <w:r w:rsidRPr="005D3F76">
        <w:t xml:space="preserve">Foucault, M. (1977). </w:t>
      </w:r>
      <w:r w:rsidRPr="005D3F76">
        <w:rPr>
          <w:i/>
        </w:rPr>
        <w:t>Discipline and Punishment: The Birth of the Prison</w:t>
      </w:r>
      <w:r w:rsidRPr="005D3F76">
        <w:t xml:space="preserve"> (A. Sheridan, Trans.). New York: Vintage Books.</w:t>
      </w:r>
    </w:p>
    <w:p w14:paraId="23994EDB" w14:textId="77777777" w:rsidR="00C379DD" w:rsidRPr="005D3F76" w:rsidRDefault="00C379DD" w:rsidP="00C379DD">
      <w:pPr>
        <w:pStyle w:val="EndNoteBibliography"/>
        <w:ind w:left="720" w:hanging="720"/>
      </w:pPr>
      <w:r w:rsidRPr="005D3F76">
        <w:t xml:space="preserve">Foucault, M. (1980). </w:t>
      </w:r>
      <w:r w:rsidRPr="005D3F76">
        <w:rPr>
          <w:i/>
        </w:rPr>
        <w:t>Power/Knowledge</w:t>
      </w:r>
      <w:r w:rsidRPr="005D3F76">
        <w:t>. New York: Pantheon.</w:t>
      </w:r>
    </w:p>
    <w:p w14:paraId="61A9937D" w14:textId="77777777" w:rsidR="00C379DD" w:rsidRPr="005D3F76" w:rsidRDefault="00C379DD" w:rsidP="00C379DD">
      <w:pPr>
        <w:pStyle w:val="EndNoteBibliography"/>
        <w:ind w:left="720" w:hanging="720"/>
      </w:pPr>
      <w:r w:rsidRPr="005D3F76">
        <w:t xml:space="preserve">Foucault, M. (2006). </w:t>
      </w:r>
      <w:r w:rsidRPr="005D3F76">
        <w:rPr>
          <w:i/>
        </w:rPr>
        <w:t>The History of Sexuality: The Will to Knowledge</w:t>
      </w:r>
      <w:r w:rsidRPr="005D3F76">
        <w:t xml:space="preserve"> (R. Hurley, Trans.  Vol. 1). London, UK: Penguin Books Ltd.</w:t>
      </w:r>
    </w:p>
    <w:p w14:paraId="33EB62D1" w14:textId="77777777" w:rsidR="00C379DD" w:rsidRPr="005D3F76" w:rsidRDefault="00C379DD" w:rsidP="00C379DD">
      <w:pPr>
        <w:pStyle w:val="EndNoteBibliography"/>
        <w:ind w:left="720" w:hanging="720"/>
      </w:pPr>
      <w:r w:rsidRPr="005D3F76">
        <w:t xml:space="preserve">Fowler, R. (1985). Power. In T. van Dijk (Ed.), </w:t>
      </w:r>
      <w:r w:rsidRPr="005D3F76">
        <w:rPr>
          <w:i/>
        </w:rPr>
        <w:t>Handbook of Discourse Analysis</w:t>
      </w:r>
      <w:r w:rsidRPr="005D3F76">
        <w:t xml:space="preserve"> (Vol. 4, pp. 61-82). London: Academic Press.</w:t>
      </w:r>
    </w:p>
    <w:p w14:paraId="3177053D" w14:textId="77777777" w:rsidR="00C379DD" w:rsidRPr="005D3F76" w:rsidRDefault="00C379DD" w:rsidP="00C379DD">
      <w:pPr>
        <w:pStyle w:val="EndNoteBibliography"/>
        <w:ind w:left="720" w:hanging="720"/>
      </w:pPr>
      <w:r w:rsidRPr="005D3F76">
        <w:t xml:space="preserve">Fowler, R. (1991). </w:t>
      </w:r>
      <w:r w:rsidRPr="005D3F76">
        <w:rPr>
          <w:i/>
        </w:rPr>
        <w:t>Language in the News Discourse and Ideology in the Press</w:t>
      </w:r>
      <w:r w:rsidRPr="005D3F76">
        <w:t>. London: Routledge and Kegan Paul.</w:t>
      </w:r>
    </w:p>
    <w:p w14:paraId="2C0BC01F" w14:textId="77777777" w:rsidR="00C379DD" w:rsidRPr="005D3F76" w:rsidRDefault="00C379DD" w:rsidP="00C379DD">
      <w:pPr>
        <w:pStyle w:val="EndNoteBibliography"/>
        <w:ind w:left="720" w:hanging="720"/>
      </w:pPr>
      <w:r w:rsidRPr="005D3F76">
        <w:t xml:space="preserve">Fox, C. J., &amp; Miller, H. T. (1995). </w:t>
      </w:r>
      <w:r w:rsidRPr="005D3F76">
        <w:rPr>
          <w:i/>
        </w:rPr>
        <w:t>Postmodern Public: A Demonstration Toward Discourse</w:t>
      </w:r>
      <w:r w:rsidRPr="005D3F76">
        <w:t>. London, CA: Sage.</w:t>
      </w:r>
    </w:p>
    <w:p w14:paraId="08F81460" w14:textId="77777777" w:rsidR="00C379DD" w:rsidRPr="005D3F76" w:rsidRDefault="00C379DD" w:rsidP="00C379DD">
      <w:pPr>
        <w:pStyle w:val="EndNoteBibliography"/>
        <w:ind w:left="720" w:hanging="720"/>
      </w:pPr>
      <w:r w:rsidRPr="005D3F76">
        <w:t xml:space="preserve">Francis, P. (2014) </w:t>
      </w:r>
      <w:r w:rsidRPr="005D3F76">
        <w:rPr>
          <w:i/>
        </w:rPr>
        <w:t>Meeting with President Barrack Obama/Interviewer: P. B. Obama</w:t>
      </w:r>
      <w:r w:rsidRPr="005D3F76">
        <w:t>.</w:t>
      </w:r>
    </w:p>
    <w:p w14:paraId="4A568105" w14:textId="77777777" w:rsidR="00C379DD" w:rsidRPr="005D3F76" w:rsidRDefault="00C379DD" w:rsidP="00C379DD">
      <w:pPr>
        <w:pStyle w:val="EndNoteBibliography"/>
        <w:ind w:left="720" w:hanging="720"/>
      </w:pPr>
      <w:r w:rsidRPr="005D3F76">
        <w:t xml:space="preserve">Friedman, B. (1995). Public Schools: Make Them Private </w:t>
      </w:r>
      <w:r w:rsidRPr="005D3F76">
        <w:rPr>
          <w:i/>
        </w:rPr>
        <w:t>Cato Briefing Paper No. 23</w:t>
      </w:r>
      <w:r w:rsidRPr="005D3F76">
        <w:t>.</w:t>
      </w:r>
    </w:p>
    <w:p w14:paraId="6C11F26D" w14:textId="77777777" w:rsidR="00C379DD" w:rsidRPr="005D3F76" w:rsidRDefault="00C379DD" w:rsidP="00C379DD">
      <w:pPr>
        <w:pStyle w:val="EndNoteBibliography"/>
        <w:ind w:left="720" w:hanging="720"/>
      </w:pPr>
      <w:r w:rsidRPr="005D3F76">
        <w:t xml:space="preserve">Furman, J., &amp; Bordoff, J. (Eds.). (2008). </w:t>
      </w:r>
      <w:r w:rsidRPr="005D3F76">
        <w:rPr>
          <w:i/>
        </w:rPr>
        <w:t>Path to Prosperity: Hamilton Project Ideas on Income Security, Education, and Taxes</w:t>
      </w:r>
      <w:r w:rsidRPr="005D3F76">
        <w:t>. Washington D.C.: Brookings Institution Press.</w:t>
      </w:r>
    </w:p>
    <w:p w14:paraId="02152385" w14:textId="77777777" w:rsidR="00C379DD" w:rsidRPr="005D3F76" w:rsidRDefault="00C379DD" w:rsidP="00C379DD">
      <w:pPr>
        <w:pStyle w:val="EndNoteBibliography"/>
        <w:ind w:left="720" w:hanging="720"/>
      </w:pPr>
      <w:r w:rsidRPr="005D3F76">
        <w:t>Gabriel, T. (2011, March 3). Teachers Wonder, Why the Heapings of Scorn?</w:t>
      </w:r>
      <w:r w:rsidRPr="005D3F76">
        <w:rPr>
          <w:i/>
        </w:rPr>
        <w:t xml:space="preserve"> The New York Times,</w:t>
      </w:r>
      <w:r w:rsidRPr="005D3F76">
        <w:t xml:space="preserve"> p. 1. </w:t>
      </w:r>
    </w:p>
    <w:p w14:paraId="2724C364" w14:textId="77777777" w:rsidR="00C379DD" w:rsidRPr="005D3F76" w:rsidRDefault="00C379DD" w:rsidP="00C379DD">
      <w:pPr>
        <w:pStyle w:val="EndNoteBibliography"/>
        <w:ind w:left="720" w:hanging="720"/>
      </w:pPr>
      <w:r w:rsidRPr="005D3F76">
        <w:t>Gabriel, T. (2012, September 26). A Different Class Warfare.</w:t>
      </w:r>
      <w:r w:rsidRPr="005D3F76">
        <w:rPr>
          <w:i/>
        </w:rPr>
        <w:t xml:space="preserve"> The New York Times,</w:t>
      </w:r>
      <w:r w:rsidRPr="005D3F76">
        <w:t xml:space="preserve"> p. 14. </w:t>
      </w:r>
    </w:p>
    <w:p w14:paraId="6E1EFAC7" w14:textId="77777777" w:rsidR="00C379DD" w:rsidRPr="005D3F76" w:rsidRDefault="00C379DD" w:rsidP="00C379DD">
      <w:pPr>
        <w:pStyle w:val="EndNoteBibliography"/>
        <w:ind w:left="720" w:hanging="720"/>
      </w:pPr>
      <w:r w:rsidRPr="005D3F76">
        <w:t>Gamer, B. A. (Ed.) (2009) Black's Law Dictionary. Thomson West.</w:t>
      </w:r>
    </w:p>
    <w:p w14:paraId="59AF5147" w14:textId="77777777" w:rsidR="00C379DD" w:rsidRPr="005D3F76" w:rsidRDefault="00C379DD" w:rsidP="00C379DD">
      <w:pPr>
        <w:pStyle w:val="EndNoteBibliography"/>
        <w:ind w:left="720" w:hanging="720"/>
      </w:pPr>
      <w:r w:rsidRPr="005D3F76">
        <w:t xml:space="preserve">Gamson, W. A., &amp; Wolfsfeld, G. (1993). Movements and Media as Interacting Systems. </w:t>
      </w:r>
      <w:r w:rsidRPr="005D3F76">
        <w:rPr>
          <w:i/>
        </w:rPr>
        <w:t>Annals of the American Academy of Political and Social Science, 528</w:t>
      </w:r>
      <w:r w:rsidRPr="005D3F76">
        <w:t xml:space="preserve">, 114-125. </w:t>
      </w:r>
    </w:p>
    <w:p w14:paraId="388F5070" w14:textId="77777777" w:rsidR="00C379DD" w:rsidRPr="005D3F76" w:rsidRDefault="00C379DD" w:rsidP="00C379DD">
      <w:pPr>
        <w:pStyle w:val="EndNoteBibliography"/>
        <w:ind w:left="720" w:hanging="720"/>
      </w:pPr>
      <w:r w:rsidRPr="005D3F76">
        <w:t xml:space="preserve">Garret, P., &amp; Bell, A. (Eds.). (1998). </w:t>
      </w:r>
      <w:r w:rsidRPr="005D3F76">
        <w:rPr>
          <w:i/>
        </w:rPr>
        <w:t>Media and Discourse: A Critical Overview</w:t>
      </w:r>
      <w:r w:rsidRPr="005D3F76">
        <w:t>. Oxford, UK: Blackwell.</w:t>
      </w:r>
    </w:p>
    <w:p w14:paraId="4119A9E3" w14:textId="77777777" w:rsidR="00C379DD" w:rsidRPr="005D3F76" w:rsidRDefault="00C379DD" w:rsidP="00C379DD">
      <w:pPr>
        <w:pStyle w:val="EndNoteBibliography"/>
        <w:ind w:left="720" w:hanging="720"/>
      </w:pPr>
      <w:r w:rsidRPr="005D3F76">
        <w:t>Garvey, E. (2011, January 26). GOP Legislators Play Hardball, Not Beanbag.</w:t>
      </w:r>
      <w:r w:rsidRPr="005D3F76">
        <w:rPr>
          <w:i/>
        </w:rPr>
        <w:t xml:space="preserve"> The Capital Times,</w:t>
      </w:r>
      <w:r w:rsidRPr="005D3F76">
        <w:t xml:space="preserve"> p. 29. </w:t>
      </w:r>
    </w:p>
    <w:p w14:paraId="169BF1E6" w14:textId="77777777" w:rsidR="00C379DD" w:rsidRPr="005D3F76" w:rsidRDefault="00C379DD" w:rsidP="00C379DD">
      <w:pPr>
        <w:pStyle w:val="EndNoteBibliography"/>
        <w:ind w:left="720" w:hanging="720"/>
      </w:pPr>
      <w:r w:rsidRPr="005D3F76">
        <w:lastRenderedPageBreak/>
        <w:t>Garvey, E. (2012, July 11). Dems And Labor Must Stick Together - Or Lose.</w:t>
      </w:r>
      <w:r w:rsidRPr="005D3F76">
        <w:rPr>
          <w:i/>
        </w:rPr>
        <w:t xml:space="preserve"> The Capital Times,</w:t>
      </w:r>
      <w:r w:rsidRPr="005D3F76">
        <w:t xml:space="preserve"> p. 31. </w:t>
      </w:r>
    </w:p>
    <w:p w14:paraId="5534E8BF" w14:textId="77777777" w:rsidR="00C379DD" w:rsidRPr="005D3F76" w:rsidRDefault="00C379DD" w:rsidP="00C379DD">
      <w:pPr>
        <w:pStyle w:val="EndNoteBibliography"/>
        <w:ind w:left="720" w:hanging="720"/>
      </w:pPr>
      <w:r w:rsidRPr="005D3F76">
        <w:t xml:space="preserve">Gautreaux, M. (2015). Neoliberal Education Reform's Mouthpiece Education Week's Discourse on Teach for America. </w:t>
      </w:r>
      <w:r w:rsidRPr="005D3F76">
        <w:rPr>
          <w:i/>
        </w:rPr>
        <w:t>Critical Education, 6</w:t>
      </w:r>
      <w:r w:rsidRPr="005D3F76">
        <w:t xml:space="preserve">(11), 1-20. </w:t>
      </w:r>
    </w:p>
    <w:p w14:paraId="3089AD40" w14:textId="77777777" w:rsidR="00C379DD" w:rsidRPr="005D3F76" w:rsidRDefault="00C379DD" w:rsidP="00C379DD">
      <w:pPr>
        <w:pStyle w:val="EndNoteBibliography"/>
        <w:ind w:left="720" w:hanging="720"/>
      </w:pPr>
      <w:r w:rsidRPr="005D3F76">
        <w:t xml:space="preserve">Geuss, R. (1981). </w:t>
      </w:r>
      <w:r w:rsidRPr="005D3F76">
        <w:rPr>
          <w:i/>
        </w:rPr>
        <w:t>The Idea of Critical Theory: Habermas and the Frankfurt School</w:t>
      </w:r>
      <w:r w:rsidRPr="005D3F76">
        <w:t>. Cambridge: Cambridge University Press.</w:t>
      </w:r>
    </w:p>
    <w:p w14:paraId="5169B2D1" w14:textId="77777777" w:rsidR="00C379DD" w:rsidRPr="005D3F76" w:rsidRDefault="00C379DD" w:rsidP="00C379DD">
      <w:pPr>
        <w:pStyle w:val="EndNoteBibliography"/>
        <w:ind w:left="720" w:hanging="720"/>
      </w:pPr>
      <w:r w:rsidRPr="005D3F76">
        <w:t xml:space="preserve">Gillborn, D. (2014). Racism as Policy: A Critical Race Analysis of Education Reforms in the United States and England. </w:t>
      </w:r>
      <w:r w:rsidRPr="005D3F76">
        <w:rPr>
          <w:i/>
        </w:rPr>
        <w:t>The Educational Forum, 78</w:t>
      </w:r>
      <w:r w:rsidRPr="005D3F76">
        <w:t xml:space="preserve">(1), 26-41. </w:t>
      </w:r>
    </w:p>
    <w:p w14:paraId="4A075CFF" w14:textId="77777777" w:rsidR="00C379DD" w:rsidRPr="005D3F76" w:rsidRDefault="00C379DD" w:rsidP="00C379DD">
      <w:pPr>
        <w:pStyle w:val="EndNoteBibliography"/>
        <w:ind w:left="720" w:hanging="720"/>
      </w:pPr>
      <w:r w:rsidRPr="005D3F76">
        <w:t xml:space="preserve">Giroux, H. (1992). </w:t>
      </w:r>
      <w:r w:rsidRPr="005D3F76">
        <w:rPr>
          <w:i/>
        </w:rPr>
        <w:t>Border Crossings: Cultural Workers and the Politics of Education</w:t>
      </w:r>
      <w:r w:rsidRPr="005D3F76">
        <w:t>. New York: Routledge.</w:t>
      </w:r>
    </w:p>
    <w:p w14:paraId="450C96FE" w14:textId="77777777" w:rsidR="00C379DD" w:rsidRPr="005D3F76" w:rsidRDefault="00C379DD" w:rsidP="00C379DD">
      <w:pPr>
        <w:pStyle w:val="EndNoteBibliography"/>
        <w:ind w:left="720" w:hanging="720"/>
      </w:pPr>
      <w:r w:rsidRPr="005D3F76">
        <w:t xml:space="preserve">Giroux, H. (2002). The corporate war against higher education. </w:t>
      </w:r>
      <w:r w:rsidRPr="005D3F76">
        <w:rPr>
          <w:i/>
        </w:rPr>
        <w:t>Workplace, 5</w:t>
      </w:r>
      <w:r w:rsidRPr="005D3F76">
        <w:t xml:space="preserve">(1). </w:t>
      </w:r>
    </w:p>
    <w:p w14:paraId="16279B1B" w14:textId="77777777" w:rsidR="00C379DD" w:rsidRPr="005D3F76" w:rsidRDefault="00C379DD" w:rsidP="00C379DD">
      <w:pPr>
        <w:pStyle w:val="EndNoteBibliography"/>
        <w:ind w:left="720" w:hanging="720"/>
      </w:pPr>
      <w:r w:rsidRPr="005D3F76">
        <w:t xml:space="preserve">Glaser, B., &amp; Strauss, A. (1967). </w:t>
      </w:r>
      <w:r w:rsidRPr="005D3F76">
        <w:rPr>
          <w:i/>
        </w:rPr>
        <w:t>The Discovery of Grounded Theory: Strategies for Qualitative Resesarch</w:t>
      </w:r>
      <w:r w:rsidRPr="005D3F76">
        <w:t>. New York: Hawthorne.</w:t>
      </w:r>
    </w:p>
    <w:p w14:paraId="4FD7CE62" w14:textId="77777777" w:rsidR="00C379DD" w:rsidRPr="005D3F76" w:rsidRDefault="00C379DD" w:rsidP="00C379DD">
      <w:pPr>
        <w:pStyle w:val="EndNoteBibliography"/>
        <w:ind w:left="720" w:hanging="720"/>
      </w:pPr>
      <w:r w:rsidRPr="005D3F76">
        <w:t xml:space="preserve">Goldstein, R. A. (2010). Imaging the Frame: Media Representations of Teachers, Their Unions, NCLB, and Education Reform. </w:t>
      </w:r>
      <w:r w:rsidRPr="005D3F76">
        <w:rPr>
          <w:i/>
        </w:rPr>
        <w:t>Educational Policy OnlineFirst</w:t>
      </w:r>
      <w:r w:rsidRPr="005D3F76">
        <w:t xml:space="preserve">, 1-34. </w:t>
      </w:r>
    </w:p>
    <w:p w14:paraId="42260AC3" w14:textId="77777777" w:rsidR="00C379DD" w:rsidRPr="005D3F76" w:rsidRDefault="00C379DD" w:rsidP="00C379DD">
      <w:pPr>
        <w:pStyle w:val="EndNoteBibliography"/>
        <w:ind w:left="720" w:hanging="720"/>
      </w:pPr>
      <w:r w:rsidRPr="005D3F76">
        <w:t xml:space="preserve">Gramsci, A. (1971). </w:t>
      </w:r>
      <w:r w:rsidRPr="005D3F76">
        <w:rPr>
          <w:i/>
        </w:rPr>
        <w:t>Selections from the Prison Notebooks</w:t>
      </w:r>
      <w:r w:rsidRPr="005D3F76">
        <w:t>. London: Lawrence and Wishart.</w:t>
      </w:r>
    </w:p>
    <w:p w14:paraId="34D3D7F1" w14:textId="77777777" w:rsidR="00C379DD" w:rsidRPr="005D3F76" w:rsidRDefault="00C379DD" w:rsidP="00C379DD">
      <w:pPr>
        <w:pStyle w:val="EndNoteBibliography"/>
        <w:ind w:left="720" w:hanging="720"/>
      </w:pPr>
      <w:r w:rsidRPr="005D3F76">
        <w:t>Greenblatt, A. (2010). Is Teacher Tenure Still Necessary.</w:t>
      </w:r>
      <w:r w:rsidRPr="005D3F76">
        <w:rPr>
          <w:i/>
        </w:rPr>
        <w:t xml:space="preserve"> NPR</w:t>
      </w:r>
      <w:r w:rsidRPr="005D3F76">
        <w:t xml:space="preserve">. </w:t>
      </w:r>
    </w:p>
    <w:p w14:paraId="14CF0818" w14:textId="77777777" w:rsidR="00C379DD" w:rsidRPr="005D3F76" w:rsidRDefault="00C379DD" w:rsidP="00C379DD">
      <w:pPr>
        <w:pStyle w:val="EndNoteBibliography"/>
        <w:ind w:left="720" w:hanging="720"/>
      </w:pPr>
      <w:r w:rsidRPr="005D3F76">
        <w:t>Greenhouse, S. (2011, May 27). Judge Voids Law Curbing Union Rights in Wisconsin.</w:t>
      </w:r>
      <w:r w:rsidRPr="005D3F76">
        <w:rPr>
          <w:i/>
        </w:rPr>
        <w:t xml:space="preserve"> The New York Times,</w:t>
      </w:r>
      <w:r w:rsidRPr="005D3F76">
        <w:t xml:space="preserve"> p. 11. </w:t>
      </w:r>
    </w:p>
    <w:p w14:paraId="0455617A" w14:textId="77777777" w:rsidR="00C379DD" w:rsidRPr="005D3F76" w:rsidRDefault="00C379DD" w:rsidP="00C379DD">
      <w:pPr>
        <w:pStyle w:val="EndNoteBibliography"/>
        <w:ind w:left="720" w:hanging="720"/>
      </w:pPr>
      <w:r w:rsidRPr="005D3F76">
        <w:t>Greenhouse, S. (2012, September 11). In Standoff, Latest Sign of Unions Under Siege.</w:t>
      </w:r>
      <w:r w:rsidRPr="005D3F76">
        <w:rPr>
          <w:i/>
        </w:rPr>
        <w:t xml:space="preserve"> The New York Times,</w:t>
      </w:r>
      <w:r w:rsidRPr="005D3F76">
        <w:t xml:space="preserve"> p. 1. </w:t>
      </w:r>
    </w:p>
    <w:p w14:paraId="014C7FEB" w14:textId="77777777" w:rsidR="00C379DD" w:rsidRPr="005D3F76" w:rsidRDefault="00C379DD" w:rsidP="00C379DD">
      <w:pPr>
        <w:pStyle w:val="EndNoteBibliography"/>
        <w:ind w:left="720" w:hanging="720"/>
      </w:pPr>
      <w:r w:rsidRPr="005D3F76">
        <w:t>Greenhouse, S. (2013, February 14). Seeking Growth, Nurses' Federation Links to Teachers' Union.</w:t>
      </w:r>
      <w:r w:rsidRPr="005D3F76">
        <w:rPr>
          <w:i/>
        </w:rPr>
        <w:t xml:space="preserve"> The New York Times,</w:t>
      </w:r>
      <w:r w:rsidRPr="005D3F76">
        <w:t xml:space="preserve"> p. 4. </w:t>
      </w:r>
    </w:p>
    <w:p w14:paraId="5A435710" w14:textId="77777777" w:rsidR="00C379DD" w:rsidRPr="005D3F76" w:rsidRDefault="00C379DD" w:rsidP="00C379DD">
      <w:pPr>
        <w:pStyle w:val="EndNoteBibliography"/>
        <w:ind w:left="720" w:hanging="720"/>
      </w:pPr>
      <w:r w:rsidRPr="005D3F76">
        <w:t>Greenhouse, S. (2014a, November 4). Little Opposition Seen in Some Votes to Raise State Minimum Wages.</w:t>
      </w:r>
      <w:r w:rsidRPr="005D3F76">
        <w:rPr>
          <w:i/>
        </w:rPr>
        <w:t xml:space="preserve"> The New York Times,</w:t>
      </w:r>
      <w:r w:rsidRPr="005D3F76">
        <w:t xml:space="preserve"> p. 3. </w:t>
      </w:r>
    </w:p>
    <w:p w14:paraId="3212CB1E" w14:textId="77777777" w:rsidR="00C379DD" w:rsidRPr="005D3F76" w:rsidRDefault="00C379DD" w:rsidP="00C379DD">
      <w:pPr>
        <w:pStyle w:val="EndNoteBibliography"/>
        <w:ind w:left="720" w:hanging="720"/>
      </w:pPr>
      <w:r w:rsidRPr="005D3F76">
        <w:t>Greenhouse, S. (2014b, February 23). The Wisconsin Legacy.</w:t>
      </w:r>
      <w:r w:rsidRPr="005D3F76">
        <w:rPr>
          <w:i/>
        </w:rPr>
        <w:t xml:space="preserve"> The New York Times,</w:t>
      </w:r>
      <w:r w:rsidRPr="005D3F76">
        <w:t xml:space="preserve"> p. 1. </w:t>
      </w:r>
    </w:p>
    <w:p w14:paraId="4939F5D3" w14:textId="77777777" w:rsidR="00C379DD" w:rsidRPr="005D3F76" w:rsidRDefault="00C379DD" w:rsidP="00C379DD">
      <w:pPr>
        <w:pStyle w:val="EndNoteBibliography"/>
        <w:ind w:left="720" w:hanging="720"/>
      </w:pPr>
      <w:r w:rsidRPr="005D3F76">
        <w:t xml:space="preserve">Guilfoyle, K. (1995). Constructing the Meaning of Teacher Educator: The Struggle to Learn the Roles. </w:t>
      </w:r>
      <w:r w:rsidRPr="005D3F76">
        <w:rPr>
          <w:i/>
        </w:rPr>
        <w:t>Teacher Education Quarterly, 22</w:t>
      </w:r>
      <w:r w:rsidRPr="005D3F76">
        <w:t xml:space="preserve">(3), 11-26. </w:t>
      </w:r>
    </w:p>
    <w:p w14:paraId="26AD91A1" w14:textId="77777777" w:rsidR="00C379DD" w:rsidRPr="005D3F76" w:rsidRDefault="00C379DD" w:rsidP="00C379DD">
      <w:pPr>
        <w:pStyle w:val="EndNoteBibliography"/>
        <w:ind w:left="720" w:hanging="720"/>
      </w:pPr>
      <w:r w:rsidRPr="005D3F76">
        <w:t xml:space="preserve">Habermas, J. (1984). </w:t>
      </w:r>
      <w:r w:rsidRPr="005D3F76">
        <w:rPr>
          <w:i/>
        </w:rPr>
        <w:t>Theory of Communicative Action</w:t>
      </w:r>
      <w:r w:rsidRPr="005D3F76">
        <w:t xml:space="preserve"> (H. T. McCarthy, Trans.  Vol. 1): Polity Press.</w:t>
      </w:r>
    </w:p>
    <w:p w14:paraId="5CD57571" w14:textId="77777777" w:rsidR="00C379DD" w:rsidRPr="005D3F76" w:rsidRDefault="00C379DD" w:rsidP="00C379DD">
      <w:pPr>
        <w:pStyle w:val="EndNoteBibliography"/>
        <w:ind w:left="720" w:hanging="720"/>
      </w:pPr>
      <w:r w:rsidRPr="005D3F76">
        <w:t xml:space="preserve">Hackett, R. A. (2006). Is Peace Journalism Possible? Three Frameworks for Assessing Stucture and Agency in News Media. </w:t>
      </w:r>
      <w:r w:rsidRPr="005D3F76">
        <w:rPr>
          <w:i/>
        </w:rPr>
        <w:t>Conflict &amp; Communication Online, 5</w:t>
      </w:r>
      <w:r w:rsidRPr="005D3F76">
        <w:t xml:space="preserve">(2). </w:t>
      </w:r>
    </w:p>
    <w:p w14:paraId="0DE36168" w14:textId="14AE70F8" w:rsidR="00C379DD" w:rsidRPr="005D3F76" w:rsidRDefault="00C379DD" w:rsidP="00C379DD">
      <w:pPr>
        <w:pStyle w:val="EndNoteBibliography"/>
        <w:ind w:left="720" w:hanging="720"/>
      </w:pPr>
      <w:r w:rsidRPr="005D3F76">
        <w:t>Hall, R. (2015). Media Groups Call for Transparency from Obama Administration--Again.   Retrieved from http://newsbusters.org/blogs/nb/randy-hall/2015/08/12/media-groups-call-transparency-obama-administration-again</w:t>
      </w:r>
    </w:p>
    <w:p w14:paraId="0E26CA3D" w14:textId="77777777" w:rsidR="00C379DD" w:rsidRPr="005D3F76" w:rsidRDefault="00C379DD" w:rsidP="00C379DD">
      <w:pPr>
        <w:pStyle w:val="EndNoteBibliography"/>
        <w:ind w:left="720" w:hanging="720"/>
      </w:pPr>
      <w:r w:rsidRPr="005D3F76">
        <w:t xml:space="preserve">Hall, S. (1981). Cultural Studies: Two Paradigms. In T. Bennett, G. Martin, C. Mercer, &amp; J. Woollacott (Eds.), </w:t>
      </w:r>
      <w:r w:rsidRPr="005D3F76">
        <w:rPr>
          <w:i/>
        </w:rPr>
        <w:t>Culture, Ideology and Social Process</w:t>
      </w:r>
      <w:r w:rsidRPr="005D3F76">
        <w:t xml:space="preserve"> (pp. 19-37). London: Batsford Academic and Educational.</w:t>
      </w:r>
    </w:p>
    <w:p w14:paraId="25EE0FE1" w14:textId="77777777" w:rsidR="00C379DD" w:rsidRPr="005D3F76" w:rsidRDefault="00C379DD" w:rsidP="00C379DD">
      <w:pPr>
        <w:pStyle w:val="EndNoteBibliography"/>
        <w:ind w:left="720" w:hanging="720"/>
      </w:pPr>
      <w:r w:rsidRPr="005D3F76">
        <w:t xml:space="preserve">Hammersley, M. (1996). On the Foundations of Critical Discourse Analysis. </w:t>
      </w:r>
      <w:r w:rsidRPr="005D3F76">
        <w:rPr>
          <w:i/>
        </w:rPr>
        <w:t>Language and Communication, 17</w:t>
      </w:r>
      <w:r w:rsidRPr="005D3F76">
        <w:t xml:space="preserve">(3), 327-348. </w:t>
      </w:r>
    </w:p>
    <w:p w14:paraId="46404266" w14:textId="77777777" w:rsidR="00C379DD" w:rsidRPr="005D3F76" w:rsidRDefault="00C379DD" w:rsidP="00C379DD">
      <w:pPr>
        <w:pStyle w:val="EndNoteBibliography"/>
        <w:ind w:left="720" w:hanging="720"/>
      </w:pPr>
      <w:r w:rsidRPr="005D3F76">
        <w:t xml:space="preserve">Harness, M. (2013). </w:t>
      </w:r>
      <w:r w:rsidRPr="005D3F76">
        <w:rPr>
          <w:i/>
        </w:rPr>
        <w:t>Pretending Teaching is a Profession: Why Pblic School Teaching Will Never Be Considered a True Profession</w:t>
      </w:r>
      <w:r w:rsidRPr="005D3F76">
        <w:t>. Germany: LAP Lambert Academic Publishing.</w:t>
      </w:r>
    </w:p>
    <w:p w14:paraId="699870A2" w14:textId="77777777" w:rsidR="00C379DD" w:rsidRPr="005D3F76" w:rsidRDefault="00C379DD" w:rsidP="00C379DD">
      <w:pPr>
        <w:pStyle w:val="EndNoteBibliography"/>
        <w:ind w:left="720" w:hanging="720"/>
      </w:pPr>
      <w:r w:rsidRPr="005D3F76">
        <w:t xml:space="preserve">Harness, M. A. (2011). </w:t>
      </w:r>
      <w:r w:rsidRPr="005D3F76">
        <w:rPr>
          <w:i/>
        </w:rPr>
        <w:t>Pretending Teaching is a Profession: Why Public School Teaching Will Never Be Considered a True Profession.</w:t>
      </w:r>
      <w:r w:rsidRPr="005D3F76">
        <w:t xml:space="preserve"> (Master's of Science), The University of Tennessee, Knoxville, TN.   </w:t>
      </w:r>
    </w:p>
    <w:p w14:paraId="017E3D0A" w14:textId="77777777" w:rsidR="00C379DD" w:rsidRPr="005D3F76" w:rsidRDefault="00C379DD" w:rsidP="00C379DD">
      <w:pPr>
        <w:pStyle w:val="EndNoteBibliography"/>
        <w:ind w:left="720" w:hanging="720"/>
      </w:pPr>
      <w:r w:rsidRPr="005D3F76">
        <w:lastRenderedPageBreak/>
        <w:t xml:space="preserve">Herman, E. S., &amp; Chomsky, N. (1988). </w:t>
      </w:r>
      <w:r w:rsidRPr="005D3F76">
        <w:rPr>
          <w:i/>
        </w:rPr>
        <w:t>Manufactured Consent: The Political Economy of the Mass Media</w:t>
      </w:r>
      <w:r w:rsidRPr="005D3F76">
        <w:t>. NY: Pantheon Books.</w:t>
      </w:r>
    </w:p>
    <w:p w14:paraId="6ECF9A60" w14:textId="77777777" w:rsidR="00C379DD" w:rsidRPr="005D3F76" w:rsidRDefault="00C379DD" w:rsidP="00C379DD">
      <w:pPr>
        <w:pStyle w:val="EndNoteBibliography"/>
        <w:ind w:left="720" w:hanging="720"/>
      </w:pPr>
      <w:r w:rsidRPr="005D3F76">
        <w:t xml:space="preserve">Herman, E. S., &amp; Chomsky, N. (1988). </w:t>
      </w:r>
      <w:r w:rsidRPr="005D3F76">
        <w:rPr>
          <w:i/>
        </w:rPr>
        <w:t>Manufacturing Consent: The Political Economy of the Mass Media</w:t>
      </w:r>
      <w:r w:rsidRPr="005D3F76">
        <w:t>. New York: Pantheon Books.</w:t>
      </w:r>
    </w:p>
    <w:p w14:paraId="4007B615" w14:textId="77777777" w:rsidR="00C379DD" w:rsidRPr="005D3F76" w:rsidRDefault="00C379DD" w:rsidP="00C379DD">
      <w:pPr>
        <w:pStyle w:val="EndNoteBibliography"/>
        <w:ind w:left="720" w:hanging="720"/>
      </w:pPr>
      <w:r w:rsidRPr="005D3F76">
        <w:t xml:space="preserve">Hesmondhalgh, D. (2006). Bourdieu, Media, Culture &amp; Society. </w:t>
      </w:r>
      <w:r w:rsidRPr="005D3F76">
        <w:rPr>
          <w:i/>
        </w:rPr>
        <w:t>Media Culture Society, 28</w:t>
      </w:r>
      <w:r w:rsidRPr="005D3F76">
        <w:t xml:space="preserve">(211), 211-231. </w:t>
      </w:r>
    </w:p>
    <w:p w14:paraId="18047DA1" w14:textId="4F3B81FB" w:rsidR="00C379DD" w:rsidRPr="005D3F76" w:rsidRDefault="00C379DD" w:rsidP="00C379DD">
      <w:pPr>
        <w:pStyle w:val="EndNoteBibliography"/>
        <w:ind w:left="720" w:hanging="720"/>
      </w:pPr>
      <w:r w:rsidRPr="005D3F76">
        <w:t>Hetzner, A., &amp; Richards, E. (2011). Budget Cuts $834 Million from Schools.</w:t>
      </w:r>
      <w:r w:rsidRPr="005D3F76">
        <w:rPr>
          <w:i/>
        </w:rPr>
        <w:t xml:space="preserve"> Milwaukee Wiscon Journal Sentinel</w:t>
      </w:r>
      <w:r w:rsidRPr="005D3F76">
        <w:t>. Retrieved from http://www.jsonline.com/news/statepolitics/117192683.html</w:t>
      </w:r>
    </w:p>
    <w:p w14:paraId="5E9F56CC" w14:textId="77777777" w:rsidR="00C379DD" w:rsidRPr="005D3F76" w:rsidRDefault="00C379DD" w:rsidP="00C379DD">
      <w:pPr>
        <w:pStyle w:val="EndNoteBibliography"/>
        <w:ind w:left="720" w:hanging="720"/>
      </w:pPr>
      <w:r w:rsidRPr="005D3F76">
        <w:t xml:space="preserve">Husted, T. A., &amp; Kenny, L. W. (2000). Evidence on the Impact of State Government on Primary and Secondary Education and the Equity-Efficiency Trade-Off. </w:t>
      </w:r>
      <w:r w:rsidRPr="005D3F76">
        <w:rPr>
          <w:i/>
        </w:rPr>
        <w:t>The Journal of Law &amp; Economics, 43</w:t>
      </w:r>
      <w:r w:rsidRPr="005D3F76">
        <w:t xml:space="preserve">(1), 285-308. </w:t>
      </w:r>
    </w:p>
    <w:p w14:paraId="5A86719B" w14:textId="77777777" w:rsidR="00C379DD" w:rsidRPr="005D3F76" w:rsidRDefault="00C379DD" w:rsidP="00C379DD">
      <w:pPr>
        <w:pStyle w:val="EndNoteBibliography"/>
        <w:ind w:left="720" w:hanging="720"/>
      </w:pPr>
      <w:r w:rsidRPr="005D3F76">
        <w:t xml:space="preserve">Ivengar, S. (1991). </w:t>
      </w:r>
      <w:r w:rsidRPr="005D3F76">
        <w:rPr>
          <w:i/>
        </w:rPr>
        <w:t>Is Anyone Responsible? How Television Frames Political Issues</w:t>
      </w:r>
      <w:r w:rsidRPr="005D3F76">
        <w:t>. Chicago: University of Chicago Press.</w:t>
      </w:r>
    </w:p>
    <w:p w14:paraId="798E3907" w14:textId="77777777" w:rsidR="00C379DD" w:rsidRPr="005D3F76" w:rsidRDefault="00C379DD" w:rsidP="00C379DD">
      <w:pPr>
        <w:pStyle w:val="EndNoteBibliography"/>
        <w:ind w:left="720" w:hanging="720"/>
      </w:pPr>
      <w:r w:rsidRPr="005D3F76">
        <w:t xml:space="preserve">Ivengar, S. (1996). Framing Responsibility for Political Issues. </w:t>
      </w:r>
      <w:r w:rsidRPr="005D3F76">
        <w:rPr>
          <w:i/>
        </w:rPr>
        <w:t>American Academy of Political and Social Science, 546</w:t>
      </w:r>
      <w:r w:rsidRPr="005D3F76">
        <w:t xml:space="preserve">(The Media and Politics), 59-70. </w:t>
      </w:r>
    </w:p>
    <w:p w14:paraId="20008A07" w14:textId="2088ACB7" w:rsidR="00C379DD" w:rsidRPr="005D3F76" w:rsidRDefault="00C379DD" w:rsidP="00C379DD">
      <w:pPr>
        <w:pStyle w:val="EndNoteBibliography"/>
        <w:ind w:left="720" w:hanging="720"/>
      </w:pPr>
      <w:r w:rsidRPr="005D3F76">
        <w:t xml:space="preserve">Jamieson, D. (2013). American Federation of Teachers Bring Nurses' Union Onboard. </w:t>
      </w:r>
      <w:r w:rsidRPr="005D3F76">
        <w:rPr>
          <w:i/>
        </w:rPr>
        <w:t>What's Working: Small Businesses.</w:t>
      </w:r>
      <w:r w:rsidRPr="005D3F76">
        <w:t xml:space="preserve">  Retrieved from http://www.huffingtonpost.com/2013/02/14/american-federation-of-teachers-nurses-union_n_2685298.html</w:t>
      </w:r>
    </w:p>
    <w:p w14:paraId="1F439321" w14:textId="77777777" w:rsidR="00C379DD" w:rsidRPr="005D3F76" w:rsidRDefault="00C379DD" w:rsidP="00C379DD">
      <w:pPr>
        <w:pStyle w:val="EndNoteBibliography"/>
        <w:ind w:left="720" w:hanging="720"/>
      </w:pPr>
      <w:r w:rsidRPr="005D3F76">
        <w:t xml:space="preserve">Jones, P. (2007). Why There is No Such Thing as "Critical Discourse Analysis". </w:t>
      </w:r>
      <w:r w:rsidRPr="005D3F76">
        <w:rPr>
          <w:i/>
        </w:rPr>
        <w:t>Language and Communication, 27</w:t>
      </w:r>
      <w:r w:rsidRPr="005D3F76">
        <w:t xml:space="preserve">, 337-368. </w:t>
      </w:r>
    </w:p>
    <w:p w14:paraId="2D83ACEB" w14:textId="77777777" w:rsidR="00C379DD" w:rsidRPr="005D3F76" w:rsidRDefault="00C379DD" w:rsidP="00C379DD">
      <w:pPr>
        <w:pStyle w:val="EndNoteBibliography"/>
        <w:ind w:left="720" w:hanging="720"/>
      </w:pPr>
      <w:r w:rsidRPr="005D3F76">
        <w:t xml:space="preserve">Kearney, R. C., &amp; Mareschal, P. M. (2014). </w:t>
      </w:r>
      <w:r w:rsidRPr="005D3F76">
        <w:rPr>
          <w:i/>
        </w:rPr>
        <w:t>Labor Relations in the Public Sector</w:t>
      </w:r>
      <w:r w:rsidRPr="005D3F76">
        <w:t xml:space="preserve"> (5th ed.). Boca Raton, FL: Taylor &amp; Francis Group.</w:t>
      </w:r>
    </w:p>
    <w:p w14:paraId="48016194" w14:textId="77777777" w:rsidR="00C379DD" w:rsidRPr="005D3F76" w:rsidRDefault="00C379DD" w:rsidP="00C379DD">
      <w:pPr>
        <w:pStyle w:val="EndNoteBibliography"/>
        <w:ind w:left="720" w:hanging="720"/>
      </w:pPr>
      <w:r w:rsidRPr="005D3F76">
        <w:t xml:space="preserve">Klare, K. E. (1977-1978). Judicial Deradicalization of the Wagner Act and the Origins of Modern Legal Consciousness, 1937-1941. </w:t>
      </w:r>
      <w:r w:rsidRPr="005D3F76">
        <w:rPr>
          <w:i/>
        </w:rPr>
        <w:t>Minnesota Law Review, 62</w:t>
      </w:r>
      <w:r w:rsidRPr="005D3F76">
        <w:t xml:space="preserve">(265). </w:t>
      </w:r>
    </w:p>
    <w:p w14:paraId="6FE2C12B" w14:textId="77777777" w:rsidR="00C379DD" w:rsidRPr="005D3F76" w:rsidRDefault="00C379DD" w:rsidP="00C379DD">
      <w:pPr>
        <w:pStyle w:val="EndNoteBibliography"/>
        <w:ind w:left="720" w:hanging="720"/>
      </w:pPr>
      <w:r w:rsidRPr="005D3F76">
        <w:t xml:space="preserve">Kohlenberg, R. D., &amp; Greene, J. P. (2012). Unions and the Public Interest: Is collective bargaining for teachers good for students? </w:t>
      </w:r>
      <w:r w:rsidRPr="005D3F76">
        <w:rPr>
          <w:i/>
        </w:rPr>
        <w:t>Education Next, 12</w:t>
      </w:r>
      <w:r w:rsidRPr="005D3F76">
        <w:t xml:space="preserve">(1), 1-9. </w:t>
      </w:r>
    </w:p>
    <w:p w14:paraId="11D445A5" w14:textId="77777777" w:rsidR="00C379DD" w:rsidRPr="005D3F76" w:rsidRDefault="00C379DD" w:rsidP="00C379DD">
      <w:pPr>
        <w:pStyle w:val="EndNoteBibliography"/>
        <w:ind w:left="720" w:hanging="720"/>
      </w:pPr>
      <w:r w:rsidRPr="005D3F76">
        <w:t xml:space="preserve">Kress, G. (1985). Ideological Structures in Discourse. In T. van Dijk (Ed.), </w:t>
      </w:r>
      <w:r w:rsidRPr="005D3F76">
        <w:rPr>
          <w:i/>
        </w:rPr>
        <w:t>Handbook of Discourse Analysis</w:t>
      </w:r>
      <w:r w:rsidRPr="005D3F76">
        <w:t xml:space="preserve"> (pp. 27-42). London: Academic Press.</w:t>
      </w:r>
    </w:p>
    <w:p w14:paraId="0BB6AE71" w14:textId="77777777" w:rsidR="00C379DD" w:rsidRPr="005D3F76" w:rsidRDefault="00C379DD" w:rsidP="00C379DD">
      <w:pPr>
        <w:pStyle w:val="EndNoteBibliography"/>
        <w:ind w:left="720" w:hanging="720"/>
      </w:pPr>
      <w:r w:rsidRPr="005D3F76">
        <w:t xml:space="preserve">Kumashiro, K. K. (2012). </w:t>
      </w:r>
      <w:r w:rsidRPr="005D3F76">
        <w:rPr>
          <w:i/>
        </w:rPr>
        <w:t>Bad Teacher! How Blaming Teachers Distorts the Bigger Picture</w:t>
      </w:r>
      <w:r w:rsidRPr="005D3F76">
        <w:t>. New York, New York: Teachers College Press.</w:t>
      </w:r>
    </w:p>
    <w:p w14:paraId="3D400B71" w14:textId="77777777" w:rsidR="00C379DD" w:rsidRPr="005D3F76" w:rsidRDefault="00C379DD" w:rsidP="00C379DD">
      <w:pPr>
        <w:pStyle w:val="EndNoteBibliography"/>
        <w:ind w:left="720" w:hanging="720"/>
      </w:pPr>
      <w:r w:rsidRPr="005D3F76">
        <w:t xml:space="preserve">Ladd, H. F. (2002). School Vouchers: A Critical View. </w:t>
      </w:r>
      <w:r w:rsidRPr="005D3F76">
        <w:rPr>
          <w:i/>
        </w:rPr>
        <w:t>The Journal of Economic Perspectives, 16</w:t>
      </w:r>
      <w:r w:rsidRPr="005D3F76">
        <w:t xml:space="preserve">(4), 3-24. </w:t>
      </w:r>
    </w:p>
    <w:p w14:paraId="34127A82" w14:textId="77777777" w:rsidR="00C379DD" w:rsidRPr="005D3F76" w:rsidRDefault="00C379DD" w:rsidP="00C379DD">
      <w:pPr>
        <w:pStyle w:val="EndNoteBibliography"/>
        <w:ind w:left="720" w:hanging="720"/>
      </w:pPr>
      <w:r w:rsidRPr="005D3F76">
        <w:t xml:space="preserve">Lakoff, G. (1992). The Contemporary Theory of Metaphor. In A. Ortony (Ed.), </w:t>
      </w:r>
      <w:r w:rsidRPr="005D3F76">
        <w:rPr>
          <w:i/>
        </w:rPr>
        <w:t>Metaphor and Thought</w:t>
      </w:r>
      <w:r w:rsidRPr="005D3F76">
        <w:t>. Cambridge: University Press.</w:t>
      </w:r>
    </w:p>
    <w:p w14:paraId="4CA46401" w14:textId="77777777" w:rsidR="00C379DD" w:rsidRPr="005D3F76" w:rsidRDefault="00C379DD" w:rsidP="00C379DD">
      <w:pPr>
        <w:pStyle w:val="EndNoteBibliography"/>
        <w:ind w:left="720" w:hanging="720"/>
      </w:pPr>
      <w:r w:rsidRPr="005D3F76">
        <w:t xml:space="preserve">Lakoff, G., &amp; Johnson, M. (1980). </w:t>
      </w:r>
      <w:r w:rsidRPr="005D3F76">
        <w:rPr>
          <w:i/>
        </w:rPr>
        <w:t>Metaphors We Live By</w:t>
      </w:r>
      <w:r w:rsidRPr="005D3F76">
        <w:t>. Chicago and Londone: The University of Chicago Press.</w:t>
      </w:r>
    </w:p>
    <w:p w14:paraId="4D55DF16" w14:textId="5FE6E635" w:rsidR="00C379DD" w:rsidRPr="005D3F76" w:rsidRDefault="00C379DD" w:rsidP="00C379DD">
      <w:pPr>
        <w:pStyle w:val="EndNoteBibliography"/>
        <w:ind w:left="720" w:hanging="720"/>
      </w:pPr>
      <w:r w:rsidRPr="005D3F76">
        <w:t>Lawnix. (2008-2015). Commerce Clause--The Commerce Power of Congress.   Retrieved from http://www.lawnix.com/cases/commerce-clause.html</w:t>
      </w:r>
    </w:p>
    <w:p w14:paraId="57128878" w14:textId="77777777" w:rsidR="00C379DD" w:rsidRPr="005D3F76" w:rsidRDefault="00C379DD" w:rsidP="00C379DD">
      <w:pPr>
        <w:pStyle w:val="EndNoteBibliography"/>
        <w:ind w:left="720" w:hanging="720"/>
      </w:pPr>
      <w:r w:rsidRPr="005D3F76">
        <w:t xml:space="preserve">Leighley, J. E. (2004a). </w:t>
      </w:r>
      <w:r w:rsidRPr="005D3F76">
        <w:rPr>
          <w:i/>
        </w:rPr>
        <w:t>Mass Media and Politics</w:t>
      </w:r>
      <w:r w:rsidRPr="005D3F76">
        <w:t>. New York: Houghton Miffin Company.</w:t>
      </w:r>
    </w:p>
    <w:p w14:paraId="0E538C72" w14:textId="77777777" w:rsidR="00C379DD" w:rsidRPr="005D3F76" w:rsidRDefault="00C379DD" w:rsidP="00C379DD">
      <w:pPr>
        <w:pStyle w:val="EndNoteBibliography"/>
        <w:ind w:left="720" w:hanging="720"/>
      </w:pPr>
      <w:r w:rsidRPr="005D3F76">
        <w:t xml:space="preserve">Leighley, J. E. (2004b). </w:t>
      </w:r>
      <w:r w:rsidRPr="005D3F76">
        <w:rPr>
          <w:i/>
        </w:rPr>
        <w:t>Mass Media and Politics: A Social Science Perspective</w:t>
      </w:r>
      <w:r w:rsidRPr="005D3F76">
        <w:t>. New York: Houghton Mifflin Company.</w:t>
      </w:r>
    </w:p>
    <w:p w14:paraId="4EC0A255" w14:textId="77777777" w:rsidR="00C379DD" w:rsidRPr="005D3F76" w:rsidRDefault="00C379DD" w:rsidP="00C379DD">
      <w:pPr>
        <w:pStyle w:val="EndNoteBibliography"/>
        <w:ind w:left="720" w:hanging="720"/>
      </w:pPr>
      <w:r w:rsidRPr="005D3F76">
        <w:t xml:space="preserve">Levin, Y., &amp; Clyne, M. (Eds.). (2012). </w:t>
      </w:r>
      <w:r w:rsidRPr="005D3F76">
        <w:rPr>
          <w:i/>
        </w:rPr>
        <w:t>A Time for Governing Policy Solutions from the Pages of National Affairs</w:t>
      </w:r>
      <w:r w:rsidRPr="005D3F76">
        <w:t>. New York and London: Encounter Books.</w:t>
      </w:r>
    </w:p>
    <w:p w14:paraId="2A09FA98" w14:textId="77777777" w:rsidR="00C379DD" w:rsidRPr="005D3F76" w:rsidRDefault="00C379DD" w:rsidP="00C379DD">
      <w:pPr>
        <w:pStyle w:val="EndNoteBibliography"/>
        <w:ind w:left="720" w:hanging="720"/>
      </w:pPr>
      <w:r w:rsidRPr="005D3F76">
        <w:lastRenderedPageBreak/>
        <w:t xml:space="preserve">Levy, F., &amp; Temin, P. (2007). </w:t>
      </w:r>
      <w:r w:rsidRPr="005D3F76">
        <w:rPr>
          <w:i/>
        </w:rPr>
        <w:t>Inequality and Institutions in 20th Century America</w:t>
      </w:r>
      <w:r w:rsidRPr="005D3F76">
        <w:t xml:space="preserve">. Working Paper No. 13106. NBER. NBER. </w:t>
      </w:r>
    </w:p>
    <w:p w14:paraId="42A2D293" w14:textId="08E6EA7F" w:rsidR="00C379DD" w:rsidRPr="005D3F76" w:rsidRDefault="00C379DD" w:rsidP="00C379DD">
      <w:pPr>
        <w:pStyle w:val="EndNoteBibliography"/>
        <w:ind w:left="720" w:hanging="720"/>
      </w:pPr>
      <w:r w:rsidRPr="005D3F76">
        <w:t>LexisNexis. (2016). LexisNexis for Law Schools.   Retrieved from https://www.lexisnexis.com/lawschool/lsp/p/studenthome.aspx?lc=LawSchoolPortal/Signin</w:t>
      </w:r>
    </w:p>
    <w:p w14:paraId="66817543" w14:textId="77777777" w:rsidR="00C379DD" w:rsidRPr="005D3F76" w:rsidRDefault="00C379DD" w:rsidP="00C379DD">
      <w:pPr>
        <w:pStyle w:val="EndNoteBibliography"/>
        <w:ind w:left="720" w:hanging="720"/>
      </w:pPr>
      <w:r w:rsidRPr="005D3F76">
        <w:t xml:space="preserve">Lillian, D. L. (2008). Modality, Persuasion and Manipulation in Canadian Conservative Discourse. </w:t>
      </w:r>
      <w:r w:rsidRPr="005D3F76">
        <w:rPr>
          <w:i/>
        </w:rPr>
        <w:t>Critical Approaches to Discourse Analysis across Disciplines, 2</w:t>
      </w:r>
      <w:r w:rsidRPr="005D3F76">
        <w:t xml:space="preserve">(1), 1-16. </w:t>
      </w:r>
    </w:p>
    <w:p w14:paraId="34FCE7F5" w14:textId="77777777" w:rsidR="00C379DD" w:rsidRPr="005D3F76" w:rsidRDefault="00C379DD" w:rsidP="00C379DD">
      <w:pPr>
        <w:pStyle w:val="EndNoteBibliography"/>
        <w:ind w:left="720" w:hanging="720"/>
      </w:pPr>
      <w:r w:rsidRPr="005D3F76">
        <w:t xml:space="preserve">Luke, C. (2005). Capital and knowledge flows: Global higher education markets. </w:t>
      </w:r>
      <w:r w:rsidRPr="005D3F76">
        <w:rPr>
          <w:i/>
        </w:rPr>
        <w:t>Asia Pacific Journal of Education, 25</w:t>
      </w:r>
      <w:r w:rsidRPr="005D3F76">
        <w:t xml:space="preserve">(2), 159-174. </w:t>
      </w:r>
    </w:p>
    <w:p w14:paraId="2904D9EC" w14:textId="77777777" w:rsidR="00C379DD" w:rsidRPr="005D3F76" w:rsidRDefault="00C379DD" w:rsidP="00C379DD">
      <w:pPr>
        <w:pStyle w:val="EndNoteBibliography"/>
        <w:ind w:left="720" w:hanging="720"/>
      </w:pPr>
      <w:r w:rsidRPr="005D3F76">
        <w:t xml:space="preserve">Machin, D., &amp; Mayr, A. (2012). </w:t>
      </w:r>
      <w:r w:rsidRPr="005D3F76">
        <w:rPr>
          <w:i/>
        </w:rPr>
        <w:t>How to Do Critical Discourse Analysis</w:t>
      </w:r>
      <w:r w:rsidRPr="005D3F76">
        <w:t>. Thousand Oaks, CA: Sage Publishers Incorporated.</w:t>
      </w:r>
    </w:p>
    <w:p w14:paraId="4EC6BAC6" w14:textId="77777777" w:rsidR="00C379DD" w:rsidRPr="005D3F76" w:rsidRDefault="00C379DD" w:rsidP="00C379DD">
      <w:pPr>
        <w:pStyle w:val="EndNoteBibliography"/>
        <w:ind w:left="720" w:hanging="720"/>
      </w:pPr>
      <w:r w:rsidRPr="005D3F76">
        <w:t xml:space="preserve">Macleod, T., &amp; Palmer, M. (2014). Post-Structuralism. In T. Teo (Ed.), </w:t>
      </w:r>
      <w:r w:rsidRPr="005D3F76">
        <w:rPr>
          <w:i/>
        </w:rPr>
        <w:t xml:space="preserve">Encyclopedia </w:t>
      </w:r>
      <w:r w:rsidRPr="005D3F76">
        <w:t>(pp. 1460-1466): Springer.</w:t>
      </w:r>
    </w:p>
    <w:p w14:paraId="202B05D8" w14:textId="77777777" w:rsidR="00C379DD" w:rsidRPr="005D3F76" w:rsidRDefault="00C379DD" w:rsidP="00C379DD">
      <w:pPr>
        <w:pStyle w:val="EndNoteBibliography"/>
        <w:ind w:left="720" w:hanging="720"/>
      </w:pPr>
      <w:r w:rsidRPr="005D3F76">
        <w:t xml:space="preserve">McCartin, J. A. (2008). "A Wagner Act for Public Employees:" Labor's Deferred Dream and the Rise of Conservatism, 1970-1976. </w:t>
      </w:r>
      <w:r w:rsidRPr="005D3F76">
        <w:rPr>
          <w:i/>
        </w:rPr>
        <w:t>The Journal of American History, 95</w:t>
      </w:r>
      <w:r w:rsidRPr="005D3F76">
        <w:t xml:space="preserve">(1). </w:t>
      </w:r>
    </w:p>
    <w:p w14:paraId="6BF29F8C" w14:textId="77777777" w:rsidR="00C379DD" w:rsidRPr="005D3F76" w:rsidRDefault="00C379DD" w:rsidP="00C379DD">
      <w:pPr>
        <w:pStyle w:val="EndNoteBibliography"/>
        <w:ind w:left="720" w:hanging="720"/>
      </w:pPr>
      <w:r w:rsidRPr="005D3F76">
        <w:t xml:space="preserve">Media Research Center. (2007). </w:t>
      </w:r>
      <w:r w:rsidRPr="005D3F76">
        <w:rPr>
          <w:i/>
        </w:rPr>
        <w:t>Exhibit 2-13: Rasmussen Reports on Media Bias, 2007</w:t>
      </w:r>
      <w:r w:rsidRPr="005D3F76">
        <w:t xml:space="preserve"> (Exhibit 2-13). Retrieved from </w:t>
      </w:r>
    </w:p>
    <w:p w14:paraId="550325E5" w14:textId="16A26171" w:rsidR="00C379DD" w:rsidRPr="005D3F76" w:rsidRDefault="00C379DD" w:rsidP="00C379DD">
      <w:pPr>
        <w:pStyle w:val="EndNoteBibliography"/>
        <w:ind w:left="720" w:hanging="720"/>
      </w:pPr>
      <w:r w:rsidRPr="005D3F76">
        <w:t>Merriam-Webster. (2015). Hegemony.   Retrieved from http://www.merriam-webster.com/dictionary/hegemony</w:t>
      </w:r>
    </w:p>
    <w:p w14:paraId="27F440B3" w14:textId="77777777" w:rsidR="00C379DD" w:rsidRPr="005D3F76" w:rsidRDefault="00C379DD" w:rsidP="00C379DD">
      <w:pPr>
        <w:pStyle w:val="EndNoteBibliography"/>
        <w:ind w:left="720" w:hanging="720"/>
      </w:pPr>
      <w:r w:rsidRPr="005D3F76">
        <w:t xml:space="preserve">Merriam, S. B. (2009). </w:t>
      </w:r>
      <w:r w:rsidRPr="005D3F76">
        <w:rPr>
          <w:i/>
        </w:rPr>
        <w:t>Qualitative Research: A Guide to Design and Implementation</w:t>
      </w:r>
      <w:r w:rsidRPr="005D3F76">
        <w:t>. San Francisco, CA: Josey-Bass.</w:t>
      </w:r>
    </w:p>
    <w:p w14:paraId="127FF8DD" w14:textId="208A75C6" w:rsidR="00C379DD" w:rsidRPr="005D3F76" w:rsidRDefault="00C379DD" w:rsidP="00C379DD">
      <w:pPr>
        <w:pStyle w:val="EndNoteBibliography"/>
        <w:ind w:left="720" w:hanging="720"/>
      </w:pPr>
      <w:r w:rsidRPr="005D3F76">
        <w:t>Ministry of Education Te Tahuhu O Te Matauranga. (2015). Media Studies: Genre.   Retrieved from http://media-studies.tki.org.nz/Teaching-media-studies/Media-concepts/Genre</w:t>
      </w:r>
    </w:p>
    <w:p w14:paraId="500D9385" w14:textId="77777777" w:rsidR="00C379DD" w:rsidRPr="005D3F76" w:rsidRDefault="00C379DD" w:rsidP="00C379DD">
      <w:pPr>
        <w:pStyle w:val="EndNoteBibliography"/>
        <w:ind w:left="720" w:hanging="720"/>
      </w:pPr>
      <w:r w:rsidRPr="005D3F76">
        <w:t xml:space="preserve">Moe, T. M. (2006). Political Control and the Power of the Agent. </w:t>
      </w:r>
      <w:r w:rsidRPr="005D3F76">
        <w:rPr>
          <w:i/>
        </w:rPr>
        <w:t>Journal of Law, Economics, &amp; Organization, 22</w:t>
      </w:r>
      <w:r w:rsidRPr="005D3F76">
        <w:t xml:space="preserve">(1), 1-29. </w:t>
      </w:r>
    </w:p>
    <w:p w14:paraId="7F208774" w14:textId="77777777" w:rsidR="00C379DD" w:rsidRPr="005D3F76" w:rsidRDefault="00C379DD" w:rsidP="00C379DD">
      <w:pPr>
        <w:pStyle w:val="EndNoteBibliography"/>
        <w:ind w:left="720" w:hanging="720"/>
      </w:pPr>
      <w:r w:rsidRPr="005D3F76">
        <w:t xml:space="preserve">Moe, T. M. (2011). Teachers Unions and the Public Schools </w:t>
      </w:r>
      <w:r w:rsidRPr="005D3F76">
        <w:rPr>
          <w:i/>
        </w:rPr>
        <w:t>Special interest: Teachers, Unions and Aerica's Public Schools</w:t>
      </w:r>
      <w:r w:rsidRPr="005D3F76">
        <w:t>. Washington D.C.: Brookings Institute Press.</w:t>
      </w:r>
    </w:p>
    <w:p w14:paraId="068E0794" w14:textId="77777777" w:rsidR="00C379DD" w:rsidRPr="005D3F76" w:rsidRDefault="00C379DD" w:rsidP="00C379DD">
      <w:pPr>
        <w:pStyle w:val="EndNoteBibliography"/>
        <w:ind w:left="720" w:hanging="720"/>
      </w:pPr>
      <w:r w:rsidRPr="005D3F76">
        <w:t xml:space="preserve">Molina, A. (1997). Issues and Challenges in the Evolution of Multimedia: The Case of the Newspaper. </w:t>
      </w:r>
      <w:r w:rsidRPr="005D3F76">
        <w:rPr>
          <w:i/>
        </w:rPr>
        <w:t>Futures, 29</w:t>
      </w:r>
      <w:r w:rsidRPr="005D3F76">
        <w:t xml:space="preserve">(3), 193-211. </w:t>
      </w:r>
    </w:p>
    <w:p w14:paraId="633DCE5B" w14:textId="77777777" w:rsidR="00C379DD" w:rsidRPr="005D3F76" w:rsidRDefault="00C379DD" w:rsidP="00C379DD">
      <w:pPr>
        <w:pStyle w:val="EndNoteBibliography"/>
        <w:ind w:left="720" w:hanging="720"/>
      </w:pPr>
      <w:r w:rsidRPr="005D3F76">
        <w:t xml:space="preserve">Moreno, P. (2011). The Hisory of Public-Sector Unionism. </w:t>
      </w:r>
      <w:r w:rsidRPr="005D3F76">
        <w:rPr>
          <w:i/>
        </w:rPr>
        <w:t>Free Market Forum</w:t>
      </w:r>
      <w:r w:rsidRPr="005D3F76">
        <w:t xml:space="preserve">. Retrieved from </w:t>
      </w:r>
    </w:p>
    <w:p w14:paraId="21238F9C" w14:textId="77777777" w:rsidR="00C379DD" w:rsidRPr="005D3F76" w:rsidRDefault="00C379DD" w:rsidP="00C379DD">
      <w:pPr>
        <w:pStyle w:val="EndNoteBibliography"/>
        <w:ind w:left="720" w:hanging="720"/>
      </w:pPr>
      <w:r w:rsidRPr="005D3F76">
        <w:t xml:space="preserve">Murphy, M. (1990). </w:t>
      </w:r>
      <w:r w:rsidRPr="005D3F76">
        <w:rPr>
          <w:i/>
        </w:rPr>
        <w:t>Blackboard Unions: The AFT and the NEA, 1900-1980</w:t>
      </w:r>
      <w:r w:rsidRPr="005D3F76">
        <w:t>. New York: Cornell University Press.</w:t>
      </w:r>
    </w:p>
    <w:p w14:paraId="0A0C14CF" w14:textId="20ABF247" w:rsidR="00C379DD" w:rsidRPr="005D3F76" w:rsidRDefault="00C379DD" w:rsidP="00C379DD">
      <w:pPr>
        <w:pStyle w:val="EndNoteBibliography"/>
        <w:ind w:left="720" w:hanging="720"/>
      </w:pPr>
      <w:r w:rsidRPr="005D3F76">
        <w:t>National Education Association. (2014). Great Public Schools for Every Student.   Retrieved from www.nea.org</w:t>
      </w:r>
    </w:p>
    <w:p w14:paraId="2F4B0508" w14:textId="1269DC7F" w:rsidR="00C379DD" w:rsidRPr="005D3F76" w:rsidRDefault="00C379DD" w:rsidP="00C379DD">
      <w:pPr>
        <w:pStyle w:val="EndNoteBibliography"/>
        <w:ind w:left="720" w:hanging="720"/>
      </w:pPr>
      <w:r w:rsidRPr="005D3F76">
        <w:t xml:space="preserve">National Right to Work Foundation. (2015). Right to Work Frequently Asked Questions. </w:t>
      </w:r>
      <w:r w:rsidRPr="005D3F76">
        <w:rPr>
          <w:i/>
        </w:rPr>
        <w:t>Right To Work.</w:t>
      </w:r>
      <w:r w:rsidRPr="005D3F76">
        <w:t xml:space="preserve">  Retrieved from http://www.nrtw.org/b/rtw_faq.htm</w:t>
      </w:r>
    </w:p>
    <w:p w14:paraId="7F85BC5D" w14:textId="77777777" w:rsidR="00C379DD" w:rsidRPr="005D3F76" w:rsidRDefault="00C379DD" w:rsidP="00C379DD">
      <w:pPr>
        <w:pStyle w:val="EndNoteBibliography"/>
        <w:ind w:left="720" w:hanging="720"/>
      </w:pPr>
      <w:r w:rsidRPr="005D3F76">
        <w:t xml:space="preserve">Nelson, F. H., &amp; Gould, J. C. (1988). Teachers' unions and excellence in education: Comment. </w:t>
      </w:r>
      <w:r w:rsidRPr="005D3F76">
        <w:rPr>
          <w:i/>
        </w:rPr>
        <w:t>Journal of Labor Research, 9</w:t>
      </w:r>
      <w:r w:rsidRPr="005D3F76">
        <w:t xml:space="preserve">(4), 379-387. </w:t>
      </w:r>
    </w:p>
    <w:p w14:paraId="12D7CF85" w14:textId="77777777" w:rsidR="00C379DD" w:rsidRPr="005D3F76" w:rsidRDefault="00C379DD" w:rsidP="00C379DD">
      <w:pPr>
        <w:pStyle w:val="EndNoteBibliography"/>
        <w:ind w:left="720" w:hanging="720"/>
      </w:pPr>
      <w:r w:rsidRPr="005D3F76">
        <w:t>Nichols, J. (2014, April 23). Bold Words, Bold Deeds for Public Education.</w:t>
      </w:r>
      <w:r w:rsidRPr="005D3F76">
        <w:rPr>
          <w:i/>
        </w:rPr>
        <w:t xml:space="preserve"> The Capital Times,</w:t>
      </w:r>
      <w:r w:rsidRPr="005D3F76">
        <w:t xml:space="preserve"> p. 27. </w:t>
      </w:r>
    </w:p>
    <w:p w14:paraId="60104BD2" w14:textId="77777777" w:rsidR="00C379DD" w:rsidRPr="005D3F76" w:rsidRDefault="00C379DD" w:rsidP="00C379DD">
      <w:pPr>
        <w:pStyle w:val="EndNoteBibliography"/>
        <w:ind w:left="720" w:hanging="720"/>
      </w:pPr>
      <w:r w:rsidRPr="005D3F76">
        <w:t>No Child Left Behind Elementary and Secondary Education Act, Pub. L. No. PL 107-110 (2001).</w:t>
      </w:r>
    </w:p>
    <w:p w14:paraId="6EF29DF0" w14:textId="77777777" w:rsidR="00C379DD" w:rsidRPr="005D3F76" w:rsidRDefault="00C379DD" w:rsidP="00C379DD">
      <w:pPr>
        <w:pStyle w:val="EndNoteBibliography"/>
        <w:ind w:left="720" w:hanging="720"/>
      </w:pPr>
      <w:r w:rsidRPr="005D3F76">
        <w:t>No Child Left Behind Race to the Top Fund,  (2011).</w:t>
      </w:r>
    </w:p>
    <w:p w14:paraId="1DB0D12E" w14:textId="38AA3422" w:rsidR="00C379DD" w:rsidRPr="005D3F76" w:rsidRDefault="00C379DD" w:rsidP="00C379DD">
      <w:pPr>
        <w:pStyle w:val="EndNoteBibliography"/>
        <w:ind w:left="720" w:hanging="720"/>
      </w:pPr>
      <w:r w:rsidRPr="005D3F76">
        <w:t>O'Farrell, C. (2007). Michel Foucault Key Concepts.   Retrieved from http://www.michel-foucault.com/concepts/index.html#pk</w:t>
      </w:r>
    </w:p>
    <w:p w14:paraId="6FBD6593" w14:textId="77777777" w:rsidR="00C379DD" w:rsidRPr="005D3F76" w:rsidRDefault="00C379DD" w:rsidP="00C379DD">
      <w:pPr>
        <w:pStyle w:val="EndNoteBibliography"/>
        <w:ind w:left="720" w:hanging="720"/>
      </w:pPr>
      <w:r w:rsidRPr="005D3F76">
        <w:lastRenderedPageBreak/>
        <w:t>Okrent, D. (2004, July 25, 2004). Is the New York Times a Liberal Newspaper?</w:t>
      </w:r>
      <w:r w:rsidRPr="005D3F76">
        <w:rPr>
          <w:i/>
        </w:rPr>
        <w:t xml:space="preserve"> The New York Times</w:t>
      </w:r>
      <w:r w:rsidRPr="005D3F76">
        <w:t xml:space="preserve">. </w:t>
      </w:r>
    </w:p>
    <w:p w14:paraId="10FF6895" w14:textId="2AB38DF1" w:rsidR="00C379DD" w:rsidRPr="005D3F76" w:rsidRDefault="00C379DD" w:rsidP="00C379DD">
      <w:pPr>
        <w:pStyle w:val="EndNoteBibliography"/>
        <w:ind w:left="720" w:hanging="720"/>
      </w:pPr>
      <w:r w:rsidRPr="005D3F76">
        <w:t>Oxford Dictionaries. (2016). Neo-Marxist.   Retrieved from http://www.oxforddictionaries.com/definition/english/neo-marxist</w:t>
      </w:r>
    </w:p>
    <w:p w14:paraId="03914CD2" w14:textId="77777777" w:rsidR="00C379DD" w:rsidRPr="005D3F76" w:rsidRDefault="00C379DD" w:rsidP="00C379DD">
      <w:pPr>
        <w:pStyle w:val="EndNoteBibliography"/>
        <w:ind w:left="720" w:hanging="720"/>
      </w:pPr>
      <w:r w:rsidRPr="005D3F76">
        <w:t xml:space="preserve">Parenti, M. (2009). Inventing Reality: The Politics of News Media. In L. Ringel (Ed.), </w:t>
      </w:r>
      <w:r w:rsidRPr="005D3F76">
        <w:rPr>
          <w:i/>
        </w:rPr>
        <w:t>Media and Politics</w:t>
      </w:r>
      <w:r w:rsidRPr="005D3F76">
        <w:t>. Baltimore: Lanahan Publishers Inc.</w:t>
      </w:r>
    </w:p>
    <w:p w14:paraId="4CB793AC" w14:textId="05E37788" w:rsidR="00C379DD" w:rsidRPr="005D3F76" w:rsidRDefault="00C379DD" w:rsidP="00C379DD">
      <w:pPr>
        <w:pStyle w:val="EndNoteBibliography"/>
        <w:ind w:left="720" w:hanging="720"/>
      </w:pPr>
      <w:r w:rsidRPr="005D3F76">
        <w:t xml:space="preserve">Pearson, M. (Producer). (2012, September 2, 2015). Wins, Losses and Draws School Strike. </w:t>
      </w:r>
      <w:r w:rsidRPr="005D3F76">
        <w:rPr>
          <w:i/>
        </w:rPr>
        <w:t>News</w:t>
      </w:r>
      <w:r w:rsidRPr="005D3F76">
        <w:t>. Retrieved from http://www.cnn.com/2012/09/19/us/illinois-chicago-teachers-strike/</w:t>
      </w:r>
    </w:p>
    <w:p w14:paraId="11C5499A" w14:textId="77777777" w:rsidR="00C379DD" w:rsidRPr="005D3F76" w:rsidRDefault="00C379DD" w:rsidP="00C379DD">
      <w:pPr>
        <w:pStyle w:val="EndNoteBibliography"/>
        <w:ind w:left="720" w:hanging="720"/>
      </w:pPr>
      <w:r w:rsidRPr="005D3F76">
        <w:t xml:space="preserve">Penagopoulos, C., &amp; Francia, P. L. (2008). The Polls--Trends: Labor Unions in the United States. </w:t>
      </w:r>
      <w:r w:rsidRPr="005D3F76">
        <w:rPr>
          <w:i/>
        </w:rPr>
        <w:t>Public Opinion Quarterly, 72</w:t>
      </w:r>
      <w:r w:rsidRPr="005D3F76">
        <w:t xml:space="preserve">(1), 134-159. </w:t>
      </w:r>
    </w:p>
    <w:p w14:paraId="5C1A4872" w14:textId="1C2C93CB" w:rsidR="00C379DD" w:rsidRPr="005D3F76" w:rsidRDefault="00C379DD" w:rsidP="00C379DD">
      <w:pPr>
        <w:pStyle w:val="EndNoteBibliography"/>
        <w:ind w:left="720" w:hanging="720"/>
      </w:pPr>
      <w:r w:rsidRPr="005D3F76">
        <w:t xml:space="preserve">Peters, G., &amp; Wooley, J. T. (1999-2016). Franklin D. Roosevelt Letter on the Resolution of Federation of Federal Emloyees Against Strikes in Federal Service. </w:t>
      </w:r>
      <w:r w:rsidRPr="005D3F76">
        <w:rPr>
          <w:i/>
        </w:rPr>
        <w:t>The American Presidency Project.</w:t>
      </w:r>
      <w:r w:rsidRPr="005D3F76">
        <w:t xml:space="preserve">  Retrieved from http://www.presidency.ucsb.edu/ws/?pid=15445</w:t>
      </w:r>
    </w:p>
    <w:p w14:paraId="1B6218B2" w14:textId="77777777" w:rsidR="00C379DD" w:rsidRPr="005D3F76" w:rsidRDefault="00C379DD" w:rsidP="00C379DD">
      <w:pPr>
        <w:pStyle w:val="EndNoteBibliography"/>
        <w:ind w:left="720" w:hanging="720"/>
      </w:pPr>
      <w:r w:rsidRPr="005D3F76">
        <w:t>Pew Research Center U.S. Politics &amp; Policy. (2011). More Side with Wisconsin Unions than Governor Obama, GOP Leaders Would Share Blame in Gov't Shutdown. Washington D.C.: Pew Research Center.</w:t>
      </w:r>
    </w:p>
    <w:p w14:paraId="2653F81F" w14:textId="77777777" w:rsidR="00C379DD" w:rsidRPr="005D3F76" w:rsidRDefault="00C379DD" w:rsidP="00C379DD">
      <w:pPr>
        <w:pStyle w:val="EndNoteBibliography"/>
        <w:ind w:left="720" w:hanging="720"/>
      </w:pPr>
      <w:r w:rsidRPr="005D3F76">
        <w:t xml:space="preserve">Piazza, P. (2014a). The Media Got it Wrong! A Critical Discourse Analysis of Change to the Educational Policy Making Arena. </w:t>
      </w:r>
      <w:r w:rsidRPr="005D3F76">
        <w:rPr>
          <w:i/>
        </w:rPr>
        <w:t>education policy analysis archives, 22</w:t>
      </w:r>
      <w:r w:rsidRPr="005D3F76">
        <w:t xml:space="preserve">(36), 1-23. </w:t>
      </w:r>
    </w:p>
    <w:p w14:paraId="550BB9BD" w14:textId="77777777" w:rsidR="00C379DD" w:rsidRPr="005D3F76" w:rsidRDefault="00C379DD" w:rsidP="00C379DD">
      <w:pPr>
        <w:pStyle w:val="EndNoteBibliography"/>
        <w:ind w:left="720" w:hanging="720"/>
      </w:pPr>
      <w:r w:rsidRPr="005D3F76">
        <w:t xml:space="preserve">Piazza, P. (2014b). The Media Got it Wrong! A Critical Discourse Analysis of Changes to the Educational Policy Making Arena. </w:t>
      </w:r>
      <w:r w:rsidRPr="005D3F76">
        <w:rPr>
          <w:i/>
        </w:rPr>
        <w:t>edcuation policy analysis archives, 22</w:t>
      </w:r>
      <w:r w:rsidRPr="005D3F76">
        <w:t xml:space="preserve">(36). </w:t>
      </w:r>
    </w:p>
    <w:p w14:paraId="096668AF" w14:textId="77777777" w:rsidR="00C379DD" w:rsidRPr="005D3F76" w:rsidRDefault="00C379DD" w:rsidP="00C379DD">
      <w:pPr>
        <w:pStyle w:val="EndNoteBibliography"/>
        <w:ind w:left="720" w:hanging="720"/>
      </w:pPr>
      <w:r w:rsidRPr="005D3F76">
        <w:t xml:space="preserve">Puette, W. (1992). </w:t>
      </w:r>
      <w:r w:rsidRPr="005D3F76">
        <w:rPr>
          <w:i/>
        </w:rPr>
        <w:t>Through Jaundiced Eyes How the Media View Organized Labor</w:t>
      </w:r>
      <w:r w:rsidRPr="005D3F76">
        <w:t>. Ithaca, New York: Cornell University.</w:t>
      </w:r>
    </w:p>
    <w:p w14:paraId="75A4885B" w14:textId="77777777" w:rsidR="00C379DD" w:rsidRPr="005D3F76" w:rsidRDefault="00C379DD" w:rsidP="00C379DD">
      <w:pPr>
        <w:pStyle w:val="EndNoteBibliography"/>
        <w:ind w:left="720" w:hanging="720"/>
      </w:pPr>
      <w:r w:rsidRPr="005D3F76">
        <w:t xml:space="preserve">Quantz, R. A. (1985). The Complex Visions of Female Teachers and the Failure of Unionization in the 1930's: An Oral History. </w:t>
      </w:r>
      <w:r w:rsidRPr="005D3F76">
        <w:rPr>
          <w:i/>
        </w:rPr>
        <w:t>History of Education Quarterly, 25</w:t>
      </w:r>
      <w:r w:rsidRPr="005D3F76">
        <w:t xml:space="preserve">(4), 439-458. </w:t>
      </w:r>
    </w:p>
    <w:p w14:paraId="22136E9F" w14:textId="59927116" w:rsidR="00C379DD" w:rsidRPr="005D3F76" w:rsidRDefault="00C379DD" w:rsidP="00C379DD">
      <w:pPr>
        <w:pStyle w:val="EndNoteBibliography"/>
        <w:ind w:left="720" w:hanging="720"/>
      </w:pPr>
      <w:r w:rsidRPr="005D3F76">
        <w:t>Raskin, M. (1968). Picket Lines: Public Employees.</w:t>
      </w:r>
      <w:r w:rsidRPr="005D3F76">
        <w:rPr>
          <w:i/>
        </w:rPr>
        <w:t xml:space="preserve"> New York Times</w:t>
      </w:r>
      <w:r w:rsidRPr="005D3F76">
        <w:t>. Retrieved from http://www.nypl.org/sites/default/files/archivalcollections/pdf/mss17805.pdf</w:t>
      </w:r>
    </w:p>
    <w:p w14:paraId="13712A12" w14:textId="77777777" w:rsidR="00C379DD" w:rsidRPr="005D3F76" w:rsidRDefault="00C379DD" w:rsidP="00C379DD">
      <w:pPr>
        <w:pStyle w:val="EndNoteBibliography"/>
        <w:ind w:left="720" w:hanging="720"/>
      </w:pPr>
      <w:r w:rsidRPr="005D3F76">
        <w:t xml:space="preserve">Ravitch, D. (2015). Does the Public Want to Get Rid of Unions? </w:t>
      </w:r>
    </w:p>
    <w:p w14:paraId="5ECC570C" w14:textId="77777777" w:rsidR="00C379DD" w:rsidRPr="005D3F76" w:rsidRDefault="00C379DD" w:rsidP="00C379DD">
      <w:pPr>
        <w:pStyle w:val="EndNoteBibliography"/>
        <w:ind w:left="720" w:hanging="720"/>
      </w:pPr>
      <w:r w:rsidRPr="005D3F76">
        <w:t>Rebecca Friedrichs, et al, Petitioners v. California Teachers Association, et al., No. 136 S. Ct. 566  (Supreme Court of United States 2016). Stay.</w:t>
      </w:r>
    </w:p>
    <w:p w14:paraId="52931238" w14:textId="77777777" w:rsidR="00C379DD" w:rsidRPr="005D3F76" w:rsidRDefault="00C379DD" w:rsidP="00C379DD">
      <w:pPr>
        <w:pStyle w:val="EndNoteBibliography"/>
        <w:ind w:left="720" w:hanging="720"/>
      </w:pPr>
      <w:r w:rsidRPr="005D3F76">
        <w:t xml:space="preserve">Richardson, J. E. (2007). </w:t>
      </w:r>
      <w:r w:rsidRPr="005D3F76">
        <w:rPr>
          <w:i/>
        </w:rPr>
        <w:t>Analysing Newspapers: An Approach to Critical Discourse Analysis</w:t>
      </w:r>
      <w:r w:rsidRPr="005D3F76">
        <w:t>. New York, New York: Palgrave Macmillion.</w:t>
      </w:r>
    </w:p>
    <w:p w14:paraId="534F9581" w14:textId="77777777" w:rsidR="00C379DD" w:rsidRPr="005D3F76" w:rsidRDefault="00C379DD" w:rsidP="00C379DD">
      <w:pPr>
        <w:pStyle w:val="EndNoteBibliography"/>
        <w:ind w:left="720" w:hanging="720"/>
      </w:pPr>
      <w:r w:rsidRPr="005D3F76">
        <w:t>Richmond, T. (2013). Majority of School Unions Survive: The Recertification Rate Was Roughly 80 Percent, According to a Tally by The Associated Press.</w:t>
      </w:r>
      <w:r w:rsidRPr="005D3F76">
        <w:rPr>
          <w:i/>
        </w:rPr>
        <w:t xml:space="preserve"> Wisconsin State Journal,</w:t>
      </w:r>
      <w:r w:rsidRPr="005D3F76">
        <w:t xml:space="preserve"> p. A3. </w:t>
      </w:r>
    </w:p>
    <w:p w14:paraId="115A8761" w14:textId="77777777" w:rsidR="00C379DD" w:rsidRPr="005D3F76" w:rsidRDefault="00C379DD" w:rsidP="00C379DD">
      <w:pPr>
        <w:pStyle w:val="EndNoteBibliography"/>
        <w:ind w:left="720" w:hanging="720"/>
      </w:pPr>
      <w:r w:rsidRPr="005D3F76">
        <w:t>Rickert, C. (2011a, March 19). Education Solutions Will Have to Wait.</w:t>
      </w:r>
      <w:r w:rsidRPr="005D3F76">
        <w:rPr>
          <w:i/>
        </w:rPr>
        <w:t xml:space="preserve"> Wisconsin State Journal,</w:t>
      </w:r>
      <w:r w:rsidRPr="005D3F76">
        <w:t xml:space="preserve"> p. A2. </w:t>
      </w:r>
    </w:p>
    <w:p w14:paraId="43C13A15" w14:textId="77777777" w:rsidR="00C379DD" w:rsidRPr="005D3F76" w:rsidRDefault="00C379DD" w:rsidP="00C379DD">
      <w:pPr>
        <w:pStyle w:val="EndNoteBibliography"/>
        <w:ind w:left="720" w:hanging="720"/>
      </w:pPr>
      <w:r w:rsidRPr="005D3F76">
        <w:t>Rickert, C. (2011b, October 15). Teachers Unions, Welcome to the Debate.</w:t>
      </w:r>
      <w:r w:rsidRPr="005D3F76">
        <w:rPr>
          <w:i/>
        </w:rPr>
        <w:t xml:space="preserve"> Wisconsin State Journal,</w:t>
      </w:r>
      <w:r w:rsidRPr="005D3F76">
        <w:t xml:space="preserve"> p. A3. </w:t>
      </w:r>
    </w:p>
    <w:p w14:paraId="721A05B3" w14:textId="77777777" w:rsidR="00C379DD" w:rsidRPr="005D3F76" w:rsidRDefault="00C379DD" w:rsidP="00C379DD">
      <w:pPr>
        <w:pStyle w:val="EndNoteBibliography"/>
        <w:ind w:left="720" w:hanging="720"/>
      </w:pPr>
      <w:r w:rsidRPr="005D3F76">
        <w:t>Rickert, C. (2011c, February 13). Union Plan Too Late to Help Schools.</w:t>
      </w:r>
      <w:r w:rsidRPr="005D3F76">
        <w:rPr>
          <w:i/>
        </w:rPr>
        <w:t xml:space="preserve"> Wisconsin State Journal,</w:t>
      </w:r>
      <w:r w:rsidRPr="005D3F76">
        <w:t xml:space="preserve"> p. C1. </w:t>
      </w:r>
    </w:p>
    <w:p w14:paraId="6877232E" w14:textId="77777777" w:rsidR="00C379DD" w:rsidRPr="005D3F76" w:rsidRDefault="00C379DD" w:rsidP="00C379DD">
      <w:pPr>
        <w:pStyle w:val="EndNoteBibliography"/>
        <w:ind w:left="720" w:hanging="720"/>
      </w:pPr>
      <w:r w:rsidRPr="005D3F76">
        <w:t>Rickert, C. (2011d, December 20). Unions Sideline Individual Decisions.</w:t>
      </w:r>
      <w:r w:rsidRPr="005D3F76">
        <w:rPr>
          <w:i/>
        </w:rPr>
        <w:t xml:space="preserve"> Wisconsin State Journal,</w:t>
      </w:r>
      <w:r w:rsidRPr="005D3F76">
        <w:t xml:space="preserve"> p. A3. </w:t>
      </w:r>
    </w:p>
    <w:p w14:paraId="3935FF6A" w14:textId="77777777" w:rsidR="00C379DD" w:rsidRPr="005D3F76" w:rsidRDefault="00C379DD" w:rsidP="00C379DD">
      <w:pPr>
        <w:pStyle w:val="EndNoteBibliography"/>
        <w:ind w:left="720" w:hanging="720"/>
      </w:pPr>
      <w:r w:rsidRPr="005D3F76">
        <w:t>Rickert, C. (2013a, Feburary 24). Best Teachers Shouldn't Even Need Protections.</w:t>
      </w:r>
      <w:r w:rsidRPr="005D3F76">
        <w:rPr>
          <w:i/>
        </w:rPr>
        <w:t xml:space="preserve"> Wisconsin State Journal,</w:t>
      </w:r>
      <w:r w:rsidRPr="005D3F76">
        <w:t xml:space="preserve"> p. C1. </w:t>
      </w:r>
    </w:p>
    <w:p w14:paraId="417F71FD" w14:textId="77777777" w:rsidR="00C379DD" w:rsidRPr="005D3F76" w:rsidRDefault="00C379DD" w:rsidP="00C379DD">
      <w:pPr>
        <w:pStyle w:val="EndNoteBibliography"/>
        <w:ind w:left="720" w:hanging="720"/>
      </w:pPr>
      <w:r w:rsidRPr="005D3F76">
        <w:t>Rickert, C. (2013b). Change is Only Path to Better Schools.</w:t>
      </w:r>
      <w:r w:rsidRPr="005D3F76">
        <w:rPr>
          <w:i/>
        </w:rPr>
        <w:t xml:space="preserve"> Wisconsin State Journal,</w:t>
      </w:r>
      <w:r w:rsidRPr="005D3F76">
        <w:t xml:space="preserve"> p. A3. </w:t>
      </w:r>
    </w:p>
    <w:p w14:paraId="6C85876E" w14:textId="77777777" w:rsidR="00C379DD" w:rsidRPr="005D3F76" w:rsidRDefault="00C379DD" w:rsidP="00C379DD">
      <w:pPr>
        <w:pStyle w:val="EndNoteBibliography"/>
        <w:ind w:left="720" w:hanging="720"/>
      </w:pPr>
      <w:r w:rsidRPr="005D3F76">
        <w:lastRenderedPageBreak/>
        <w:t>Rickert, C. (2015, August 11). Madison Schools Resistant to Change.</w:t>
      </w:r>
      <w:r w:rsidRPr="005D3F76">
        <w:rPr>
          <w:i/>
        </w:rPr>
        <w:t xml:space="preserve"> Wisconsin State Journal,</w:t>
      </w:r>
      <w:r w:rsidRPr="005D3F76">
        <w:t xml:space="preserve"> p. A3. </w:t>
      </w:r>
    </w:p>
    <w:p w14:paraId="55A51F98" w14:textId="77777777" w:rsidR="00C379DD" w:rsidRPr="005D3F76" w:rsidRDefault="00C379DD" w:rsidP="00C379DD">
      <w:pPr>
        <w:pStyle w:val="EndNoteBibliography"/>
        <w:ind w:left="720" w:hanging="720"/>
      </w:pPr>
      <w:r w:rsidRPr="005D3F76">
        <w:t xml:space="preserve">Ringel, L. S. (Ed.) (2009). </w:t>
      </w:r>
      <w:r w:rsidRPr="005D3F76">
        <w:rPr>
          <w:i/>
        </w:rPr>
        <w:t>The Lanahan Readings in Media and Politics</w:t>
      </w:r>
      <w:r w:rsidRPr="005D3F76">
        <w:t>. Baltimore: Lanahan Publishing Inc.</w:t>
      </w:r>
    </w:p>
    <w:p w14:paraId="0C265A51" w14:textId="77777777" w:rsidR="00C379DD" w:rsidRPr="005D3F76" w:rsidRDefault="00C379DD" w:rsidP="00C379DD">
      <w:pPr>
        <w:pStyle w:val="EndNoteBibliography"/>
        <w:ind w:left="720" w:hanging="720"/>
      </w:pPr>
      <w:r w:rsidRPr="005D3F76">
        <w:t xml:space="preserve">Ringer, L. S. (2009). </w:t>
      </w:r>
      <w:r w:rsidRPr="005D3F76">
        <w:rPr>
          <w:i/>
        </w:rPr>
        <w:t>The Lahahan Readings in Media and Politics</w:t>
      </w:r>
      <w:r w:rsidRPr="005D3F76">
        <w:t>. Baltimore: Lanahan Publishers Inc.</w:t>
      </w:r>
    </w:p>
    <w:p w14:paraId="602FFF14" w14:textId="77777777" w:rsidR="00C379DD" w:rsidRPr="005D3F76" w:rsidRDefault="00C379DD" w:rsidP="00C379DD">
      <w:pPr>
        <w:pStyle w:val="EndNoteBibliography"/>
        <w:ind w:left="720" w:hanging="720"/>
      </w:pPr>
      <w:r w:rsidRPr="005D3F76">
        <w:t xml:space="preserve">Risatti, H. (2007). </w:t>
      </w:r>
      <w:r w:rsidRPr="005D3F76">
        <w:rPr>
          <w:i/>
        </w:rPr>
        <w:t>A Theory of Craft: Function and Aesthetic Expression</w:t>
      </w:r>
      <w:r w:rsidRPr="005D3F76">
        <w:t>. North Carolina: The University of North Carolina Press.</w:t>
      </w:r>
    </w:p>
    <w:p w14:paraId="04E5F0D7" w14:textId="77777777" w:rsidR="00C379DD" w:rsidRPr="005D3F76" w:rsidRDefault="00C379DD" w:rsidP="00C379DD">
      <w:pPr>
        <w:pStyle w:val="EndNoteBibliography"/>
        <w:ind w:left="720" w:hanging="720"/>
      </w:pPr>
      <w:r w:rsidRPr="005D3F76">
        <w:t xml:space="preserve">Rizvi, F., &amp; Lingard, B. (2010). </w:t>
      </w:r>
      <w:r w:rsidRPr="005D3F76">
        <w:rPr>
          <w:i/>
        </w:rPr>
        <w:t>Globalizing Education Policy</w:t>
      </w:r>
      <w:r w:rsidRPr="005D3F76">
        <w:t>. London: Routledge.</w:t>
      </w:r>
    </w:p>
    <w:p w14:paraId="4661F95C" w14:textId="7A1DBBC6" w:rsidR="00C379DD" w:rsidRPr="005D3F76" w:rsidRDefault="00C379DD" w:rsidP="00C379DD">
      <w:pPr>
        <w:pStyle w:val="EndNoteBibliography"/>
        <w:ind w:left="720" w:hanging="720"/>
      </w:pPr>
      <w:r w:rsidRPr="005D3F76">
        <w:t>Robbins, C. (2013). How Billionaire David Koch Gets PBS to Dance, Monkey Dance.   Retrieved from http://gothamist.com/2013/05/20/how_billionaire_david_koch_gets_pbs.php</w:t>
      </w:r>
    </w:p>
    <w:p w14:paraId="48EDDA89" w14:textId="77777777" w:rsidR="00C379DD" w:rsidRPr="005D3F76" w:rsidRDefault="00C379DD" w:rsidP="00C379DD">
      <w:pPr>
        <w:pStyle w:val="EndNoteBibliography"/>
        <w:ind w:left="720" w:hanging="720"/>
      </w:pPr>
      <w:r w:rsidRPr="005D3F76">
        <w:t xml:space="preserve">Rotherman, A. (2008). The Translators: The Media and School Choice Research. </w:t>
      </w:r>
      <w:r w:rsidRPr="005D3F76">
        <w:rPr>
          <w:i/>
        </w:rPr>
        <w:t>Phi Delta Kappan, 89</w:t>
      </w:r>
      <w:r w:rsidRPr="005D3F76">
        <w:t xml:space="preserve">, 376-379. </w:t>
      </w:r>
    </w:p>
    <w:p w14:paraId="3DF8CE17" w14:textId="77777777" w:rsidR="00C379DD" w:rsidRPr="005D3F76" w:rsidRDefault="00C379DD" w:rsidP="00C379DD">
      <w:pPr>
        <w:pStyle w:val="EndNoteBibliography"/>
        <w:ind w:left="720" w:hanging="720"/>
      </w:pPr>
      <w:r w:rsidRPr="005D3F76">
        <w:t>Ruttenberg, J. (2014, October 19). Money Talks.</w:t>
      </w:r>
      <w:r w:rsidRPr="005D3F76">
        <w:rPr>
          <w:i/>
        </w:rPr>
        <w:t xml:space="preserve"> The New York Times,</w:t>
      </w:r>
      <w:r w:rsidRPr="005D3F76">
        <w:t xml:space="preserve"> p. 26. </w:t>
      </w:r>
    </w:p>
    <w:p w14:paraId="64BAB537" w14:textId="77777777" w:rsidR="00C379DD" w:rsidRPr="005D3F76" w:rsidRDefault="00C379DD" w:rsidP="00C379DD">
      <w:pPr>
        <w:pStyle w:val="EndNoteBibliography"/>
        <w:ind w:left="720" w:hanging="720"/>
      </w:pPr>
      <w:r w:rsidRPr="005D3F76">
        <w:t xml:space="preserve">Saldana, J. M. (2013). </w:t>
      </w:r>
      <w:r w:rsidRPr="005D3F76">
        <w:rPr>
          <w:i/>
        </w:rPr>
        <w:t>The Coding Manual for Qualitative Research</w:t>
      </w:r>
      <w:r w:rsidRPr="005D3F76">
        <w:t xml:space="preserve"> (Second ed.). New York: Sage Publishing.</w:t>
      </w:r>
    </w:p>
    <w:p w14:paraId="0F0264BD" w14:textId="77777777" w:rsidR="00C379DD" w:rsidRPr="005D3F76" w:rsidRDefault="00C379DD" w:rsidP="00C379DD">
      <w:pPr>
        <w:pStyle w:val="EndNoteBibliography"/>
        <w:ind w:left="720" w:hanging="720"/>
      </w:pPr>
      <w:r w:rsidRPr="005D3F76">
        <w:t xml:space="preserve">Sawchuk, S. (2013). Understanding NEA's Current Membership Numbers. </w:t>
      </w:r>
      <w:r w:rsidRPr="005D3F76">
        <w:rPr>
          <w:i/>
        </w:rPr>
        <w:t>Education Week</w:t>
      </w:r>
      <w:r w:rsidRPr="005D3F76">
        <w:t>.</w:t>
      </w:r>
    </w:p>
    <w:p w14:paraId="0A25F18A" w14:textId="77777777" w:rsidR="00C379DD" w:rsidRPr="005D3F76" w:rsidRDefault="00C379DD" w:rsidP="00C379DD">
      <w:pPr>
        <w:pStyle w:val="EndNoteBibliography"/>
        <w:ind w:left="720" w:hanging="720"/>
      </w:pPr>
      <w:r w:rsidRPr="005D3F76">
        <w:t xml:space="preserve">Schneider, A. L., &amp; Ingram, H. (1997). </w:t>
      </w:r>
      <w:r w:rsidRPr="005D3F76">
        <w:rPr>
          <w:i/>
        </w:rPr>
        <w:t>Policy Design for Democracy</w:t>
      </w:r>
      <w:r w:rsidRPr="005D3F76">
        <w:t>. Kansas: University of Kansas.</w:t>
      </w:r>
    </w:p>
    <w:p w14:paraId="35D477A9" w14:textId="77777777" w:rsidR="00C379DD" w:rsidRPr="005D3F76" w:rsidRDefault="00C379DD" w:rsidP="00C379DD">
      <w:pPr>
        <w:pStyle w:val="EndNoteBibliography"/>
        <w:ind w:left="720" w:hanging="720"/>
      </w:pPr>
      <w:r w:rsidRPr="005D3F76">
        <w:t>Schneider, P. (2012, December 12, 2012). Education Forum Shows Divide Persists Over Achievement Gap Strategy; Madison.</w:t>
      </w:r>
      <w:r w:rsidRPr="005D3F76">
        <w:rPr>
          <w:i/>
        </w:rPr>
        <w:t xml:space="preserve"> Wisconsin State Journal</w:t>
      </w:r>
      <w:r w:rsidRPr="005D3F76">
        <w:t xml:space="preserve">. </w:t>
      </w:r>
    </w:p>
    <w:p w14:paraId="2BC9D08D" w14:textId="77777777" w:rsidR="00C379DD" w:rsidRPr="005D3F76" w:rsidRDefault="00C379DD" w:rsidP="00C379DD">
      <w:pPr>
        <w:pStyle w:val="EndNoteBibliography"/>
        <w:ind w:left="720" w:hanging="720"/>
      </w:pPr>
      <w:r w:rsidRPr="005D3F76">
        <w:t>Schneider, P. (2013a, June 19). Cheatham Calls for Accountability at Every Level: Schools.</w:t>
      </w:r>
      <w:r w:rsidRPr="005D3F76">
        <w:rPr>
          <w:i/>
        </w:rPr>
        <w:t xml:space="preserve"> The Capital Times,</w:t>
      </w:r>
      <w:r w:rsidRPr="005D3F76">
        <w:t xml:space="preserve"> p. 15. </w:t>
      </w:r>
    </w:p>
    <w:p w14:paraId="0E01C0C7" w14:textId="77777777" w:rsidR="00C379DD" w:rsidRPr="005D3F76" w:rsidRDefault="00C379DD" w:rsidP="00C379DD">
      <w:pPr>
        <w:pStyle w:val="EndNoteBibliography"/>
        <w:ind w:left="720" w:hanging="720"/>
      </w:pPr>
      <w:r w:rsidRPr="005D3F76">
        <w:t>Schneider, P. (2013b, May 22). 'Not Yet:' Cheatham Sayon on Contract Talks: Schools.</w:t>
      </w:r>
      <w:r w:rsidRPr="005D3F76">
        <w:rPr>
          <w:i/>
        </w:rPr>
        <w:t xml:space="preserve"> The Capital Times,</w:t>
      </w:r>
      <w:r w:rsidRPr="005D3F76">
        <w:t xml:space="preserve"> p. 15. </w:t>
      </w:r>
    </w:p>
    <w:p w14:paraId="727E9723" w14:textId="77777777" w:rsidR="00C379DD" w:rsidRPr="005D3F76" w:rsidRDefault="00C379DD" w:rsidP="00C379DD">
      <w:pPr>
        <w:pStyle w:val="EndNoteBibliography"/>
        <w:ind w:left="720" w:hanging="720"/>
      </w:pPr>
      <w:r w:rsidRPr="005D3F76">
        <w:t>Schneider, P. (2014, October 15). New Poll Shows Parents Divded on Teachers Unions: Schools.</w:t>
      </w:r>
      <w:r w:rsidRPr="005D3F76">
        <w:rPr>
          <w:i/>
        </w:rPr>
        <w:t xml:space="preserve"> The Capital Times,</w:t>
      </w:r>
      <w:r w:rsidRPr="005D3F76">
        <w:t xml:space="preserve"> p. 10. </w:t>
      </w:r>
    </w:p>
    <w:p w14:paraId="27DBD59A" w14:textId="77777777" w:rsidR="00C379DD" w:rsidRPr="005D3F76" w:rsidRDefault="00C379DD" w:rsidP="00C379DD">
      <w:pPr>
        <w:pStyle w:val="EndNoteBibliography"/>
        <w:ind w:left="720" w:hanging="720"/>
      </w:pPr>
      <w:r w:rsidRPr="005D3F76">
        <w:t xml:space="preserve">Scneider, A. L., &amp; Ingram, H. (1997). </w:t>
      </w:r>
      <w:r w:rsidRPr="005D3F76">
        <w:rPr>
          <w:i/>
        </w:rPr>
        <w:t>Policy Design for Democracy</w:t>
      </w:r>
      <w:r w:rsidRPr="005D3F76">
        <w:t>. Kansas: University of Kansas.</w:t>
      </w:r>
    </w:p>
    <w:p w14:paraId="49A6C910" w14:textId="77777777" w:rsidR="00C379DD" w:rsidRPr="005D3F76" w:rsidRDefault="00C379DD" w:rsidP="00C379DD">
      <w:pPr>
        <w:pStyle w:val="EndNoteBibliography"/>
        <w:ind w:left="720" w:hanging="720"/>
      </w:pPr>
      <w:r w:rsidRPr="005D3F76">
        <w:t xml:space="preserve">Section 14 (b) of Taft-Hartley Act Held to Authorize State Court Enforcement of State Agency Shop Prohibiition. (1962). </w:t>
      </w:r>
      <w:r w:rsidRPr="005D3F76">
        <w:rPr>
          <w:i/>
        </w:rPr>
        <w:t>Columbia Law Review, 62</w:t>
      </w:r>
      <w:r w:rsidRPr="005D3F76">
        <w:t xml:space="preserve">(3), 538-543. </w:t>
      </w:r>
    </w:p>
    <w:p w14:paraId="1E8E016C" w14:textId="710A69A4" w:rsidR="00C379DD" w:rsidRPr="005D3F76" w:rsidRDefault="00C379DD" w:rsidP="00C379DD">
      <w:pPr>
        <w:pStyle w:val="EndNoteBibliography"/>
        <w:ind w:left="720" w:hanging="720"/>
      </w:pPr>
      <w:r w:rsidRPr="005D3F76">
        <w:t>Sentinal, L. (2008). Capital Times to Stop Printing Daily Newspaper (RIP Liberal Media).   Retrieved from http://www.freerepublic.com/focus/f-news/1966822/posts</w:t>
      </w:r>
    </w:p>
    <w:p w14:paraId="5B5E6AE4" w14:textId="77777777" w:rsidR="00C379DD" w:rsidRPr="005D3F76" w:rsidRDefault="00C379DD" w:rsidP="00C379DD">
      <w:pPr>
        <w:pStyle w:val="EndNoteBibliography"/>
        <w:ind w:left="720" w:hanging="720"/>
      </w:pPr>
      <w:r w:rsidRPr="005D3F76">
        <w:t xml:space="preserve">Sidanius, J., &amp; Pratto, F. (1999). </w:t>
      </w:r>
      <w:r w:rsidRPr="005D3F76">
        <w:rPr>
          <w:i/>
        </w:rPr>
        <w:t>Social Dominance: An Intergroup Theory of Social Hierarchy and Oppression</w:t>
      </w:r>
      <w:r w:rsidRPr="005D3F76">
        <w:t>. Cambridge: Cambridge University Press.</w:t>
      </w:r>
    </w:p>
    <w:p w14:paraId="7AD63DA3" w14:textId="77777777" w:rsidR="00C379DD" w:rsidRPr="005D3F76" w:rsidRDefault="00C379DD" w:rsidP="00C379DD">
      <w:pPr>
        <w:pStyle w:val="EndNoteBibliography"/>
        <w:ind w:left="720" w:hanging="720"/>
      </w:pPr>
      <w:r w:rsidRPr="005D3F76">
        <w:t>Simmons, D. (2011, February 27). Anatonmy of a Protest: It Began with a Simple March and Evolved into a National Fight for Labor Rights Today. We Dissect the Movement: State Budget Crisis.</w:t>
      </w:r>
      <w:r w:rsidRPr="005D3F76">
        <w:rPr>
          <w:i/>
        </w:rPr>
        <w:t xml:space="preserve"> Wisconsin State Journal,</w:t>
      </w:r>
      <w:r w:rsidRPr="005D3F76">
        <w:t xml:space="preserve"> p. A1. </w:t>
      </w:r>
    </w:p>
    <w:p w14:paraId="6F859617" w14:textId="4B2D6175" w:rsidR="00C379DD" w:rsidRPr="005D3F76" w:rsidRDefault="00C379DD" w:rsidP="00C379DD">
      <w:pPr>
        <w:pStyle w:val="EndNoteBibliography"/>
        <w:ind w:left="720" w:hanging="720"/>
      </w:pPr>
      <w:r w:rsidRPr="005D3F76">
        <w:t xml:space="preserve">Simmons, D. (2014). The Wisconsin State Journal and Madison: A 'Trusted Relationship' for 175 Years. </w:t>
      </w:r>
      <w:r w:rsidRPr="005D3F76">
        <w:rPr>
          <w:i/>
        </w:rPr>
        <w:t>The 12 Gifts to Our Readers Series.</w:t>
      </w:r>
      <w:r w:rsidRPr="005D3F76">
        <w:t xml:space="preserve">  Retrieved from http://host.madison.com/wsj/news/local/a-long-shared-history-the-wisconsin-state-journal-s-th/collection_663a4db9-8f16-5517-9e69-d6279974a135.html</w:t>
      </w:r>
    </w:p>
    <w:p w14:paraId="795AFEB2" w14:textId="77777777" w:rsidR="00C379DD" w:rsidRPr="005D3F76" w:rsidRDefault="00C379DD" w:rsidP="00C379DD">
      <w:pPr>
        <w:pStyle w:val="EndNoteBibliography"/>
        <w:ind w:left="720" w:hanging="720"/>
      </w:pPr>
      <w:r w:rsidRPr="005D3F76">
        <w:t xml:space="preserve">Simon, A., &amp; Xenos, M. (2000). Media Framing and Effective Public Deliberation. </w:t>
      </w:r>
      <w:r w:rsidRPr="005D3F76">
        <w:rPr>
          <w:i/>
        </w:rPr>
        <w:t>Political Communication, 17</w:t>
      </w:r>
      <w:r w:rsidRPr="005D3F76">
        <w:t xml:space="preserve">(4), 363-378. </w:t>
      </w:r>
    </w:p>
    <w:p w14:paraId="15C13F9B" w14:textId="64CDE186" w:rsidR="00C379DD" w:rsidRPr="005D3F76" w:rsidRDefault="00C379DD" w:rsidP="00C379DD">
      <w:pPr>
        <w:pStyle w:val="EndNoteBibliography"/>
        <w:ind w:left="720" w:hanging="720"/>
      </w:pPr>
      <w:r w:rsidRPr="005D3F76">
        <w:lastRenderedPageBreak/>
        <w:t>Singer, A. (2016). This is Bad! Attack on Teacher Unions is an Attack on Students, Workers and Democracy.  Retrieved from http://www.huffingtonpost.com/alan-singer/this-is-bad-attack-on-tea_b_8977606.html</w:t>
      </w:r>
    </w:p>
    <w:p w14:paraId="1AB8897D" w14:textId="77777777" w:rsidR="00C379DD" w:rsidRPr="005D3F76" w:rsidRDefault="00C379DD" w:rsidP="00C379DD">
      <w:pPr>
        <w:pStyle w:val="EndNoteBibliography"/>
        <w:ind w:left="720" w:hanging="720"/>
      </w:pPr>
      <w:r w:rsidRPr="005D3F76">
        <w:t xml:space="preserve">Skyrme, J. (2014). </w:t>
      </w:r>
      <w:r w:rsidRPr="005D3F76">
        <w:rPr>
          <w:i/>
        </w:rPr>
        <w:t>Contextual Admissions and Social Justice in Selective English Higher Edcuation Institutions.</w:t>
      </w:r>
      <w:r w:rsidRPr="005D3F76">
        <w:t xml:space="preserve"> (Doctor in Education), The University of Manchester, Manchester.   </w:t>
      </w:r>
    </w:p>
    <w:p w14:paraId="11A55E3B" w14:textId="77777777" w:rsidR="00C379DD" w:rsidRPr="005D3F76" w:rsidRDefault="00C379DD" w:rsidP="00C379DD">
      <w:pPr>
        <w:pStyle w:val="EndNoteBibliography"/>
        <w:ind w:left="720" w:hanging="720"/>
      </w:pPr>
      <w:r w:rsidRPr="005D3F76">
        <w:t xml:space="preserve">Slater, J. E. (2004). </w:t>
      </w:r>
      <w:r w:rsidRPr="005D3F76">
        <w:rPr>
          <w:i/>
        </w:rPr>
        <w:t>Public Workers: government Employee Unions, the Law, and the State 1900-62</w:t>
      </w:r>
      <w:r w:rsidRPr="005D3F76">
        <w:t>. Ithica: I.L.R.</w:t>
      </w:r>
    </w:p>
    <w:p w14:paraId="10171137" w14:textId="77777777" w:rsidR="00C379DD" w:rsidRPr="005D3F76" w:rsidRDefault="00C379DD" w:rsidP="00C379DD">
      <w:pPr>
        <w:pStyle w:val="EndNoteBibliography"/>
        <w:ind w:left="720" w:hanging="720"/>
      </w:pPr>
      <w:r w:rsidRPr="005D3F76">
        <w:t xml:space="preserve">Slater, P. (1977). </w:t>
      </w:r>
      <w:r w:rsidRPr="005D3F76">
        <w:rPr>
          <w:i/>
        </w:rPr>
        <w:t>Origin and Significance of the Frankfurt School: A Marxist Perspective</w:t>
      </w:r>
      <w:r w:rsidRPr="005D3F76">
        <w:t>. London: Routledge &amp; Kegan paul.</w:t>
      </w:r>
    </w:p>
    <w:p w14:paraId="67B5EE54" w14:textId="77777777" w:rsidR="00C379DD" w:rsidRPr="005D3F76" w:rsidRDefault="00C379DD" w:rsidP="00C379DD">
      <w:pPr>
        <w:pStyle w:val="EndNoteBibliography"/>
        <w:ind w:left="720" w:hanging="720"/>
      </w:pPr>
      <w:r w:rsidRPr="005D3F76">
        <w:t xml:space="preserve">Smith, R. A. (1948). The Taft-Hartley Act and State Jurisdiction over Labor Relations. </w:t>
      </w:r>
      <w:r w:rsidRPr="005D3F76">
        <w:rPr>
          <w:i/>
        </w:rPr>
        <w:t>Michigan Law Review, 46</w:t>
      </w:r>
      <w:r w:rsidRPr="005D3F76">
        <w:t xml:space="preserve">(5), 593-624. </w:t>
      </w:r>
    </w:p>
    <w:p w14:paraId="013E5825" w14:textId="77777777" w:rsidR="00C379DD" w:rsidRPr="005D3F76" w:rsidRDefault="00C379DD" w:rsidP="00C379DD">
      <w:pPr>
        <w:pStyle w:val="EndNoteBibliography"/>
        <w:ind w:left="720" w:hanging="720"/>
      </w:pPr>
      <w:r w:rsidRPr="005D3F76">
        <w:t xml:space="preserve">Soderlund, G. (2002). Covering Urban Vice: The New York Times, "White Slavery," and the Construction of Journalistic Knowledge. </w:t>
      </w:r>
      <w:r w:rsidRPr="005D3F76">
        <w:rPr>
          <w:i/>
        </w:rPr>
        <w:t>Critical Studies in Media Communication, 19</w:t>
      </w:r>
      <w:r w:rsidRPr="005D3F76">
        <w:t xml:space="preserve">(4), 438-460. </w:t>
      </w:r>
    </w:p>
    <w:p w14:paraId="4C29A6FD" w14:textId="77777777" w:rsidR="00C379DD" w:rsidRPr="005D3F76" w:rsidRDefault="00C379DD" w:rsidP="00C379DD">
      <w:pPr>
        <w:pStyle w:val="EndNoteBibliography"/>
        <w:ind w:left="720" w:hanging="720"/>
      </w:pPr>
      <w:r w:rsidRPr="005D3F76">
        <w:t xml:space="preserve">Spero, S. D. (1948). </w:t>
      </w:r>
      <w:r w:rsidRPr="005D3F76">
        <w:rPr>
          <w:i/>
        </w:rPr>
        <w:t>Government as Employer</w:t>
      </w:r>
      <w:r w:rsidRPr="005D3F76">
        <w:t>. New York: Remsen Press.</w:t>
      </w:r>
    </w:p>
    <w:p w14:paraId="2EA72ED6" w14:textId="77777777" w:rsidR="00C379DD" w:rsidRPr="005D3F76" w:rsidRDefault="00C379DD" w:rsidP="00C379DD">
      <w:pPr>
        <w:pStyle w:val="EndNoteBibliography"/>
        <w:ind w:left="720" w:hanging="720"/>
      </w:pPr>
      <w:r w:rsidRPr="005D3F76">
        <w:t>Stein, J. (2012). Wisconsin Teachers' Benefits Cuts Championed By Scott Walker Offset Much Of School-Aid Losses. New York, NY: HPMG News.</w:t>
      </w:r>
    </w:p>
    <w:p w14:paraId="00C15A28" w14:textId="77777777" w:rsidR="00C379DD" w:rsidRPr="005D3F76" w:rsidRDefault="00C379DD" w:rsidP="00C379DD">
      <w:pPr>
        <w:pStyle w:val="EndNoteBibliography"/>
        <w:ind w:left="720" w:hanging="720"/>
      </w:pPr>
      <w:r w:rsidRPr="005D3F76">
        <w:t>Stein, J., &amp; Kissinger, M. (2015). Scott Walker Signs Right-to-Work Bill.</w:t>
      </w:r>
      <w:r w:rsidRPr="005D3F76">
        <w:rPr>
          <w:i/>
        </w:rPr>
        <w:t xml:space="preserve"> WiscoMilwaukee-Wisconsin Journal Sentinel</w:t>
      </w:r>
      <w:r w:rsidRPr="005D3F76">
        <w:t xml:space="preserve">. </w:t>
      </w:r>
    </w:p>
    <w:p w14:paraId="3D8F25EA" w14:textId="77777777" w:rsidR="00C379DD" w:rsidRPr="005D3F76" w:rsidRDefault="00C379DD" w:rsidP="00C379DD">
      <w:pPr>
        <w:pStyle w:val="EndNoteBibliography"/>
        <w:ind w:left="720" w:hanging="720"/>
      </w:pPr>
      <w:r w:rsidRPr="005D3F76">
        <w:t xml:space="preserve">Stone, D. A. (1989). Casual Stories and the Formation of Policy Agendas. </w:t>
      </w:r>
      <w:r w:rsidRPr="005D3F76">
        <w:rPr>
          <w:i/>
        </w:rPr>
        <w:t>Political Science Quarterly, 104</w:t>
      </w:r>
      <w:r w:rsidRPr="005D3F76">
        <w:t xml:space="preserve">(2), 281-300. </w:t>
      </w:r>
    </w:p>
    <w:p w14:paraId="36781BDE" w14:textId="77777777" w:rsidR="00C379DD" w:rsidRPr="005D3F76" w:rsidRDefault="00C379DD" w:rsidP="00C379DD">
      <w:pPr>
        <w:pStyle w:val="EndNoteBibliography"/>
        <w:ind w:left="720" w:hanging="720"/>
      </w:pPr>
      <w:r w:rsidRPr="005D3F76">
        <w:t>Strauss, V. (2015). What the Heck is Going on with Wisconsin Public Education?</w:t>
      </w:r>
      <w:r w:rsidRPr="005D3F76">
        <w:rPr>
          <w:i/>
        </w:rPr>
        <w:t xml:space="preserve"> The Washington Post</w:t>
      </w:r>
      <w:r w:rsidRPr="005D3F76">
        <w:t xml:space="preserve">. </w:t>
      </w:r>
    </w:p>
    <w:p w14:paraId="7281CCFD" w14:textId="77777777" w:rsidR="00C379DD" w:rsidRPr="005D3F76" w:rsidRDefault="00C379DD" w:rsidP="00C379DD">
      <w:pPr>
        <w:pStyle w:val="EndNoteBibliography"/>
        <w:ind w:left="720" w:hanging="720"/>
      </w:pPr>
      <w:r w:rsidRPr="005D3F76">
        <w:t xml:space="preserve">Swalwell, K. (2014). Teachers' Unions are Not Bad for Kids. In P. C. Gorski &amp; K. Zenkov (Eds.), </w:t>
      </w:r>
      <w:r w:rsidRPr="005D3F76">
        <w:rPr>
          <w:i/>
        </w:rPr>
        <w:t>Big Lies of School Reform: Finding Better Solutions for the Future of Public Education</w:t>
      </w:r>
      <w:r w:rsidRPr="005D3F76">
        <w:t>. New York, NY: Routledge.</w:t>
      </w:r>
    </w:p>
    <w:p w14:paraId="66091D40" w14:textId="77777777" w:rsidR="00C379DD" w:rsidRPr="005D3F76" w:rsidRDefault="00C379DD" w:rsidP="00C379DD">
      <w:pPr>
        <w:pStyle w:val="EndNoteBibliography"/>
        <w:ind w:left="720" w:hanging="720"/>
      </w:pPr>
      <w:r w:rsidRPr="005D3F76">
        <w:t xml:space="preserve">Sweetland, H. (2014). Rotten Apples Its Nearly Impossible to Fire a Bad Teacher Some Tech Millionaires May Have Found a Way to Change That. </w:t>
      </w:r>
      <w:r w:rsidRPr="005D3F76">
        <w:rPr>
          <w:i/>
        </w:rPr>
        <w:t>Time Magazine</w:t>
      </w:r>
      <w:r w:rsidRPr="005D3F76">
        <w:t>.</w:t>
      </w:r>
    </w:p>
    <w:p w14:paraId="4490735E" w14:textId="77777777" w:rsidR="00C379DD" w:rsidRPr="005D3F76" w:rsidRDefault="00C379DD" w:rsidP="00C379DD">
      <w:pPr>
        <w:pStyle w:val="EndNoteBibliography"/>
        <w:ind w:left="720" w:hanging="720"/>
      </w:pPr>
      <w:r w:rsidRPr="005D3F76">
        <w:t xml:space="preserve">The Editors of Encyclopedia Britannica. (2015). The New York Times American Newspaper </w:t>
      </w:r>
      <w:r w:rsidRPr="005D3F76">
        <w:rPr>
          <w:i/>
        </w:rPr>
        <w:t>Encyclopaedia Britannica</w:t>
      </w:r>
      <w:r w:rsidRPr="005D3F76">
        <w:t>. England: Encyclopaedia Britanica Inc.</w:t>
      </w:r>
    </w:p>
    <w:p w14:paraId="69A4335D" w14:textId="461F48B7" w:rsidR="00C379DD" w:rsidRPr="005D3F76" w:rsidRDefault="00C379DD" w:rsidP="00C379DD">
      <w:pPr>
        <w:pStyle w:val="EndNoteBibliography"/>
        <w:ind w:left="720" w:hanging="720"/>
      </w:pPr>
      <w:r w:rsidRPr="005D3F76">
        <w:t>The History Channel (Producer). (2016, January 2016). Watergate Scandal Introducction. Retrieved from http://www.history.com/topics/watergate</w:t>
      </w:r>
    </w:p>
    <w:p w14:paraId="2A454DE3" w14:textId="49CBBA2A" w:rsidR="00C379DD" w:rsidRPr="005D3F76" w:rsidRDefault="00C379DD" w:rsidP="00C379DD">
      <w:pPr>
        <w:pStyle w:val="EndNoteBibliography"/>
        <w:ind w:left="720" w:hanging="720"/>
      </w:pPr>
      <w:r w:rsidRPr="005D3F76">
        <w:t>The New York Times. (2016).   Retrieved from http://www.nytimes.com/</w:t>
      </w:r>
    </w:p>
    <w:p w14:paraId="3C7E06B5" w14:textId="77777777" w:rsidR="00C379DD" w:rsidRPr="005D3F76" w:rsidRDefault="00C379DD" w:rsidP="00C379DD">
      <w:pPr>
        <w:pStyle w:val="EndNoteBibliography"/>
        <w:ind w:left="720" w:hanging="720"/>
      </w:pPr>
      <w:r w:rsidRPr="005D3F76">
        <w:t xml:space="preserve">Tierney, W. G. (1997). Tenure and Community Academe. </w:t>
      </w:r>
      <w:r w:rsidRPr="005D3F76">
        <w:rPr>
          <w:i/>
        </w:rPr>
        <w:t>Educational Researcher, 26</w:t>
      </w:r>
      <w:r w:rsidRPr="005D3F76">
        <w:t xml:space="preserve">(8), 17-23. </w:t>
      </w:r>
    </w:p>
    <w:p w14:paraId="595E5EB4" w14:textId="60063B50" w:rsidR="00C379DD" w:rsidRPr="005D3F76" w:rsidRDefault="00C379DD" w:rsidP="00C379DD">
      <w:pPr>
        <w:pStyle w:val="EndNoteBibliography"/>
        <w:ind w:left="720" w:hanging="720"/>
      </w:pPr>
      <w:r w:rsidRPr="005D3F76">
        <w:t>The Times in Print for Tuesday, May 10, 2016. (2016).   Retrieved from http://www.nytimes.com/pages/todayspaper/index.html</w:t>
      </w:r>
    </w:p>
    <w:p w14:paraId="06583F93" w14:textId="77777777" w:rsidR="00C379DD" w:rsidRPr="005D3F76" w:rsidRDefault="00C379DD" w:rsidP="00C379DD">
      <w:pPr>
        <w:pStyle w:val="EndNoteBibliography"/>
        <w:ind w:left="720" w:hanging="720"/>
      </w:pPr>
      <w:r w:rsidRPr="005D3F76">
        <w:t xml:space="preserve">Torres, C. A., Cho, S., Kachur, J., Loyo, A., Mollis, M., Nagao, A., &amp; Thompson, J. (2000). </w:t>
      </w:r>
      <w:r w:rsidRPr="005D3F76">
        <w:rPr>
          <w:i/>
        </w:rPr>
        <w:t>Political Capital, Teachers' Unions and the State. Value Conflicts and Collaborative Strategies in Educational Reform in the United States, Canada, Japan, Korea, Mexico, and Argentina</w:t>
      </w:r>
      <w:r w:rsidRPr="005D3F76">
        <w:t xml:space="preserve">. Retrieved from </w:t>
      </w:r>
    </w:p>
    <w:p w14:paraId="3A10905F" w14:textId="77777777" w:rsidR="00C379DD" w:rsidRPr="005D3F76" w:rsidRDefault="00C379DD" w:rsidP="00C379DD">
      <w:pPr>
        <w:pStyle w:val="EndNoteBibliography"/>
        <w:ind w:left="720" w:hanging="720"/>
      </w:pPr>
      <w:r w:rsidRPr="005D3F76">
        <w:t>Troller, S. (2011a, July 6). Bullish About Public Education: Superintendent Tony Evers Has Emerged a Fierce Advocate of Schools in the Face of Massive Cuts and Privatization Efforts.</w:t>
      </w:r>
      <w:r w:rsidRPr="005D3F76">
        <w:rPr>
          <w:i/>
        </w:rPr>
        <w:t xml:space="preserve"> The Capital Times,</w:t>
      </w:r>
      <w:r w:rsidRPr="005D3F76">
        <w:t xml:space="preserve"> p. 18. </w:t>
      </w:r>
    </w:p>
    <w:p w14:paraId="398C479F" w14:textId="77777777" w:rsidR="00C379DD" w:rsidRPr="005D3F76" w:rsidRDefault="00C379DD" w:rsidP="00C379DD">
      <w:pPr>
        <w:pStyle w:val="EndNoteBibliography"/>
        <w:ind w:left="720" w:hanging="720"/>
      </w:pPr>
      <w:r w:rsidRPr="005D3F76">
        <w:t>Troller, S. (2011b, January 19). 'Silent Majority' Raps Union Response to Glendale Report.</w:t>
      </w:r>
      <w:r w:rsidRPr="005D3F76">
        <w:rPr>
          <w:i/>
        </w:rPr>
        <w:t xml:space="preserve"> The Capital Times,</w:t>
      </w:r>
      <w:r w:rsidRPr="005D3F76">
        <w:t xml:space="preserve"> p. 11. </w:t>
      </w:r>
    </w:p>
    <w:p w14:paraId="1A1BE313" w14:textId="18F3FBF6" w:rsidR="00C379DD" w:rsidRPr="005D3F76" w:rsidRDefault="00C379DD" w:rsidP="00C379DD">
      <w:pPr>
        <w:pStyle w:val="EndNoteBibliography"/>
        <w:ind w:left="720" w:hanging="720"/>
      </w:pPr>
      <w:r w:rsidRPr="005D3F76">
        <w:lastRenderedPageBreak/>
        <w:t xml:space="preserve">Troy, G. (2009). The Age of Reagan. </w:t>
      </w:r>
      <w:r w:rsidRPr="005D3F76">
        <w:rPr>
          <w:i/>
        </w:rPr>
        <w:t>The Gilder Lehrman Institute of American History</w:t>
      </w:r>
      <w:r w:rsidRPr="005D3F76">
        <w:t>. Retrieved from http://www.gilderlehrman.org/history-by-era/essays/age-reagan</w:t>
      </w:r>
    </w:p>
    <w:p w14:paraId="11A5947B" w14:textId="6E965E19" w:rsidR="00C379DD" w:rsidRPr="005D3F76" w:rsidRDefault="00C379DD" w:rsidP="00C379DD">
      <w:pPr>
        <w:pStyle w:val="EndNoteBibliography"/>
        <w:ind w:left="720" w:hanging="720"/>
      </w:pPr>
      <w:r w:rsidRPr="005D3F76">
        <w:t xml:space="preserve">U. S. Department of Education. (1983). </w:t>
      </w:r>
      <w:r w:rsidRPr="005D3F76">
        <w:rPr>
          <w:i/>
        </w:rPr>
        <w:t>A Nation at Risk</w:t>
      </w:r>
      <w:r w:rsidRPr="005D3F76">
        <w:t>. Retrieved from Washington D.C.: http://www2.ed.gov/pubs/NatAtRisk/risk.html</w:t>
      </w:r>
    </w:p>
    <w:p w14:paraId="1CC44143" w14:textId="77777777" w:rsidR="00C379DD" w:rsidRPr="005D3F76" w:rsidRDefault="00C379DD" w:rsidP="00C379DD">
      <w:pPr>
        <w:pStyle w:val="EndNoteBibliography"/>
        <w:ind w:left="720" w:hanging="720"/>
      </w:pPr>
      <w:r w:rsidRPr="005D3F76">
        <w:t xml:space="preserve">U. S. Department of Labor Bureau of Labor Statistics. (2016). </w:t>
      </w:r>
      <w:r w:rsidRPr="005D3F76">
        <w:rPr>
          <w:i/>
        </w:rPr>
        <w:t>Economic New Release</w:t>
      </w:r>
      <w:r w:rsidRPr="005D3F76">
        <w:t>. Washington D.C.: Bureau of Labor Statistics.</w:t>
      </w:r>
    </w:p>
    <w:p w14:paraId="4F5F49C1" w14:textId="77777777" w:rsidR="00C379DD" w:rsidRPr="005D3F76" w:rsidRDefault="00C379DD" w:rsidP="00C379DD">
      <w:pPr>
        <w:pStyle w:val="EndNoteBibliography"/>
        <w:ind w:left="720" w:hanging="720"/>
      </w:pPr>
      <w:r w:rsidRPr="005D3F76">
        <w:t xml:space="preserve">U.S. Department of Labor. (2016). </w:t>
      </w:r>
      <w:r w:rsidRPr="005D3F76">
        <w:rPr>
          <w:i/>
        </w:rPr>
        <w:t>Union Members Summary</w:t>
      </w:r>
      <w:r w:rsidRPr="005D3F76">
        <w:t xml:space="preserve">. Retrieved from Washington D.C.: </w:t>
      </w:r>
    </w:p>
    <w:p w14:paraId="554DBC6A" w14:textId="77777777" w:rsidR="00C379DD" w:rsidRPr="005D3F76" w:rsidRDefault="00C379DD" w:rsidP="00C379DD">
      <w:pPr>
        <w:pStyle w:val="EndNoteBibliography"/>
        <w:ind w:left="720" w:hanging="720"/>
      </w:pPr>
      <w:r w:rsidRPr="005D3F76">
        <w:t xml:space="preserve">van Dijk, T. (1993). Principles of Critical Discourse Analysis. </w:t>
      </w:r>
      <w:r w:rsidRPr="005D3F76">
        <w:rPr>
          <w:i/>
        </w:rPr>
        <w:t>Discourse and Society</w:t>
      </w:r>
      <w:r w:rsidRPr="005D3F76">
        <w:t xml:space="preserve">. </w:t>
      </w:r>
    </w:p>
    <w:p w14:paraId="5D7D2B04" w14:textId="77777777" w:rsidR="00C379DD" w:rsidRPr="005D3F76" w:rsidRDefault="00C379DD" w:rsidP="00C379DD">
      <w:pPr>
        <w:pStyle w:val="EndNoteBibliography"/>
        <w:ind w:left="720" w:hanging="720"/>
      </w:pPr>
      <w:r w:rsidRPr="005D3F76">
        <w:t xml:space="preserve">van Dijk, T. (1998). </w:t>
      </w:r>
      <w:r w:rsidRPr="005D3F76">
        <w:rPr>
          <w:i/>
        </w:rPr>
        <w:t>Ideology: A Multidisciplinary Approach</w:t>
      </w:r>
      <w:r w:rsidRPr="005D3F76">
        <w:t>. London: Sage.</w:t>
      </w:r>
    </w:p>
    <w:p w14:paraId="20E989E5" w14:textId="77777777" w:rsidR="00C379DD" w:rsidRPr="005D3F76" w:rsidRDefault="00C379DD" w:rsidP="00C379DD">
      <w:pPr>
        <w:pStyle w:val="EndNoteBibliography"/>
        <w:ind w:left="720" w:hanging="720"/>
      </w:pPr>
      <w:r w:rsidRPr="005D3F76">
        <w:t xml:space="preserve">van Dijk, T. (2001). Principles of critical discourse analysis. In M. Wetherwell (Ed.), </w:t>
      </w:r>
      <w:r w:rsidRPr="005D3F76">
        <w:rPr>
          <w:i/>
        </w:rPr>
        <w:t>Discourse theory and practice</w:t>
      </w:r>
      <w:r w:rsidRPr="005D3F76">
        <w:t xml:space="preserve"> (pp. 300-318). U.K.: The Open university.</w:t>
      </w:r>
    </w:p>
    <w:p w14:paraId="6E79D51C" w14:textId="77777777" w:rsidR="00C379DD" w:rsidRPr="005D3F76" w:rsidRDefault="00C379DD" w:rsidP="00C379DD">
      <w:pPr>
        <w:pStyle w:val="EndNoteBibliography"/>
        <w:ind w:left="720" w:hanging="720"/>
      </w:pPr>
      <w:r w:rsidRPr="005D3F76">
        <w:t xml:space="preserve">van Dijk, T. (2008). Critical Discourse Analysis. In D. Schiffrin, D. Tannen, &amp; H. E. Hamiliton (Eds.), </w:t>
      </w:r>
      <w:r w:rsidRPr="005D3F76">
        <w:rPr>
          <w:i/>
        </w:rPr>
        <w:t>The Handbook of Discourse Analysis</w:t>
      </w:r>
      <w:r w:rsidRPr="005D3F76">
        <w:t>. Malden, Massachusetts: Blackwell Publishers Ltd.</w:t>
      </w:r>
    </w:p>
    <w:p w14:paraId="1C786FD8" w14:textId="77777777" w:rsidR="00C379DD" w:rsidRPr="005D3F76" w:rsidRDefault="00C379DD" w:rsidP="00C379DD">
      <w:pPr>
        <w:pStyle w:val="EndNoteBibliography"/>
        <w:ind w:left="720" w:hanging="720"/>
      </w:pPr>
      <w:r w:rsidRPr="005D3F76">
        <w:t xml:space="preserve">van Dijk, T. (2009). </w:t>
      </w:r>
      <w:r w:rsidRPr="005D3F76">
        <w:rPr>
          <w:i/>
        </w:rPr>
        <w:t>Society and Discourse: How Social Contexts Influence Talk and Text</w:t>
      </w:r>
      <w:r w:rsidRPr="005D3F76">
        <w:t>. Leiden: Cambridge University Press.</w:t>
      </w:r>
    </w:p>
    <w:p w14:paraId="43220C5C" w14:textId="77777777" w:rsidR="00C379DD" w:rsidRPr="005D3F76" w:rsidRDefault="00C379DD" w:rsidP="00C379DD">
      <w:pPr>
        <w:pStyle w:val="EndNoteBibliography"/>
        <w:ind w:left="720" w:hanging="720"/>
      </w:pPr>
      <w:r w:rsidRPr="005D3F76">
        <w:t xml:space="preserve">van Dijk, T. (Ed.) (1985). </w:t>
      </w:r>
      <w:r w:rsidRPr="005D3F76">
        <w:rPr>
          <w:i/>
        </w:rPr>
        <w:t>Handbook of Discourse Analysis</w:t>
      </w:r>
      <w:r w:rsidRPr="005D3F76">
        <w:t xml:space="preserve"> (Vol. 4). Cleveland, OH: Academic Press.</w:t>
      </w:r>
    </w:p>
    <w:p w14:paraId="729937A9" w14:textId="77777777" w:rsidR="00C379DD" w:rsidRPr="005D3F76" w:rsidRDefault="00C379DD" w:rsidP="00C379DD">
      <w:pPr>
        <w:pStyle w:val="EndNoteBibliography"/>
        <w:ind w:left="720" w:hanging="720"/>
      </w:pPr>
      <w:r w:rsidRPr="005D3F76">
        <w:t>Verburg, S. (2011, December 25). New Work Rules Set in as Contracts Lapse: Administrators, Workers Are Adjusting to a Different Employment Landscape: Public Employee Unions Post-Collective Bargaining.</w:t>
      </w:r>
      <w:r w:rsidRPr="005D3F76">
        <w:rPr>
          <w:i/>
        </w:rPr>
        <w:t xml:space="preserve"> Wisconsin State Journal,</w:t>
      </w:r>
      <w:r w:rsidRPr="005D3F76">
        <w:t xml:space="preserve"> p. A1. </w:t>
      </w:r>
    </w:p>
    <w:p w14:paraId="1868CBF5" w14:textId="77777777" w:rsidR="00C379DD" w:rsidRPr="005D3F76" w:rsidRDefault="00C379DD" w:rsidP="00C379DD">
      <w:pPr>
        <w:pStyle w:val="EndNoteBibliography"/>
        <w:ind w:left="720" w:hanging="720"/>
      </w:pPr>
      <w:r w:rsidRPr="005D3F76">
        <w:t>Verburg, S. (2012, June 10). Public Unions Face Uncertain Future: Ther Leaders Vow to Continue Fighting Despite Reduced Dues and Cuts in Their Staff: Recall Aftermath.</w:t>
      </w:r>
      <w:r w:rsidRPr="005D3F76">
        <w:rPr>
          <w:i/>
        </w:rPr>
        <w:t xml:space="preserve"> Wisconsin State Journal,</w:t>
      </w:r>
      <w:r w:rsidRPr="005D3F76">
        <w:t xml:space="preserve"> p. C1. </w:t>
      </w:r>
    </w:p>
    <w:p w14:paraId="4FC13C2C" w14:textId="77777777" w:rsidR="00C379DD" w:rsidRPr="005D3F76" w:rsidRDefault="00C379DD" w:rsidP="00C379DD">
      <w:pPr>
        <w:pStyle w:val="EndNoteBibliography"/>
        <w:ind w:left="720" w:hanging="720"/>
      </w:pPr>
      <w:r w:rsidRPr="005D3F76">
        <w:t>Wagner Act of 1935,  § 2 (1935).</w:t>
      </w:r>
    </w:p>
    <w:p w14:paraId="29176451" w14:textId="2436FBAE" w:rsidR="00C379DD" w:rsidRPr="005D3F76" w:rsidRDefault="00C379DD" w:rsidP="00C379DD">
      <w:pPr>
        <w:pStyle w:val="EndNoteBibliography"/>
        <w:ind w:left="720" w:hanging="720"/>
      </w:pPr>
      <w:r w:rsidRPr="005D3F76">
        <w:t xml:space="preserve">Wagner Act of 1935. (2015). </w:t>
      </w:r>
      <w:r w:rsidRPr="005D3F76">
        <w:rPr>
          <w:i/>
        </w:rPr>
        <w:t>Public Civics Online.</w:t>
      </w:r>
      <w:r w:rsidRPr="005D3F76">
        <w:t xml:space="preserve">  Retrieved from http://www.civics-online.org/library/formatted/texts/wagner_act.html</w:t>
      </w:r>
    </w:p>
    <w:p w14:paraId="4A105039" w14:textId="77777777" w:rsidR="00C379DD" w:rsidRPr="005D3F76" w:rsidRDefault="00C379DD" w:rsidP="00C379DD">
      <w:pPr>
        <w:pStyle w:val="EndNoteBibliography"/>
        <w:ind w:left="720" w:hanging="720"/>
      </w:pPr>
      <w:r w:rsidRPr="005D3F76">
        <w:t xml:space="preserve">Wallace, M. (Ed.) (1997). </w:t>
      </w:r>
      <w:r w:rsidRPr="005D3F76">
        <w:rPr>
          <w:i/>
        </w:rPr>
        <w:t>Guided by an Unseen Hand: The Mass Media and Education Policy</w:t>
      </w:r>
      <w:r w:rsidRPr="005D3F76">
        <w:t>. London: Continuum.</w:t>
      </w:r>
    </w:p>
    <w:p w14:paraId="165B1FC8" w14:textId="77777777" w:rsidR="00C379DD" w:rsidRPr="005D3F76" w:rsidRDefault="00C379DD" w:rsidP="00C379DD">
      <w:pPr>
        <w:pStyle w:val="EndNoteBibliography"/>
        <w:ind w:left="720" w:hanging="720"/>
      </w:pPr>
      <w:r w:rsidRPr="005D3F76">
        <w:t xml:space="preserve">Waugh, L. R., Catalano, T., Masaeed, K. A., Do, T. H., &amp; Renigar, P. G. (2015). Critical Discourse Analysis: Definition, Approaches, Relation to Pragmatics, Critique and Trends </w:t>
      </w:r>
      <w:r w:rsidRPr="005D3F76">
        <w:rPr>
          <w:i/>
        </w:rPr>
        <w:t>Perspective in Pragmatics, Philosophy &amp; Psychology</w:t>
      </w:r>
      <w:r w:rsidRPr="005D3F76">
        <w:t xml:space="preserve"> (Vol. 4th, pp. 71-135). New York: Springer.</w:t>
      </w:r>
    </w:p>
    <w:p w14:paraId="2A8CC179" w14:textId="77777777" w:rsidR="00C379DD" w:rsidRPr="005D3F76" w:rsidRDefault="00C379DD" w:rsidP="00C379DD">
      <w:pPr>
        <w:pStyle w:val="EndNoteBibliography"/>
        <w:ind w:left="720" w:hanging="720"/>
      </w:pPr>
      <w:r w:rsidRPr="005D3F76">
        <w:t xml:space="preserve">Weisberger, B. A. (1994). </w:t>
      </w:r>
      <w:r w:rsidRPr="005D3F76">
        <w:rPr>
          <w:i/>
        </w:rPr>
        <w:t>The La Follettes of Wisconsin: Love and Politics in Progressive America</w:t>
      </w:r>
      <w:r w:rsidRPr="005D3F76">
        <w:t>. Madison, Wisconsin: University of Wisconsin Press.</w:t>
      </w:r>
    </w:p>
    <w:p w14:paraId="5F5ECAE9" w14:textId="77777777" w:rsidR="00C379DD" w:rsidRPr="005D3F76" w:rsidRDefault="00C379DD" w:rsidP="00C379DD">
      <w:pPr>
        <w:pStyle w:val="EndNoteBibliography"/>
        <w:ind w:left="720" w:hanging="720"/>
      </w:pPr>
      <w:r w:rsidRPr="005D3F76">
        <w:t xml:space="preserve">Wellington, H. H., &amp; Winter Jr., R. K. (1969). The Limits of Collective Bargaining in Public Employment. </w:t>
      </w:r>
      <w:r w:rsidRPr="005D3F76">
        <w:rPr>
          <w:i/>
        </w:rPr>
        <w:t>The Yale Law Journal, 78</w:t>
      </w:r>
      <w:r w:rsidRPr="005D3F76">
        <w:t xml:space="preserve">(7), 1107-1127. </w:t>
      </w:r>
    </w:p>
    <w:p w14:paraId="123D9CF7" w14:textId="77777777" w:rsidR="00C379DD" w:rsidRPr="005D3F76" w:rsidRDefault="00C379DD" w:rsidP="00C379DD">
      <w:pPr>
        <w:pStyle w:val="EndNoteBibliography"/>
        <w:ind w:left="720" w:hanging="720"/>
      </w:pPr>
      <w:r w:rsidRPr="005D3F76">
        <w:t xml:space="preserve">Wenner, M. (2007). The war against war metaphors. </w:t>
      </w:r>
      <w:r w:rsidRPr="005D3F76">
        <w:rPr>
          <w:i/>
        </w:rPr>
        <w:t>The Scientist</w:t>
      </w:r>
      <w:r w:rsidRPr="005D3F76">
        <w:t>.</w:t>
      </w:r>
    </w:p>
    <w:p w14:paraId="12AB3978" w14:textId="77777777" w:rsidR="00C379DD" w:rsidRPr="005D3F76" w:rsidRDefault="00C379DD" w:rsidP="00C379DD">
      <w:pPr>
        <w:pStyle w:val="EndNoteBibliography"/>
        <w:ind w:left="720" w:hanging="720"/>
      </w:pPr>
      <w:r w:rsidRPr="005D3F76">
        <w:t>West, M. (2008). Bargaining with Authority: The Political Origins of Public Sector Bargaining. Paper presented at the Policy History.</w:t>
      </w:r>
    </w:p>
    <w:p w14:paraId="770DC995" w14:textId="77777777" w:rsidR="00C379DD" w:rsidRPr="005D3F76" w:rsidRDefault="00C379DD" w:rsidP="00C379DD">
      <w:pPr>
        <w:pStyle w:val="EndNoteBibliography"/>
        <w:ind w:left="720" w:hanging="720"/>
      </w:pPr>
      <w:r w:rsidRPr="005D3F76">
        <w:t xml:space="preserve">Widdowson, H. (1998). The Theory and Practice of Critical Discourse Analysis. </w:t>
      </w:r>
      <w:r w:rsidRPr="005D3F76">
        <w:rPr>
          <w:i/>
        </w:rPr>
        <w:t>Applied Lingustics, 19</w:t>
      </w:r>
      <w:r w:rsidRPr="005D3F76">
        <w:t xml:space="preserve">(1), 136-151. </w:t>
      </w:r>
    </w:p>
    <w:p w14:paraId="529C2F44" w14:textId="77777777" w:rsidR="00C379DD" w:rsidRPr="005D3F76" w:rsidRDefault="00C379DD" w:rsidP="00C379DD">
      <w:pPr>
        <w:pStyle w:val="EndNoteBibliography"/>
        <w:ind w:left="720" w:hanging="720"/>
      </w:pPr>
      <w:r w:rsidRPr="005D3F76">
        <w:t xml:space="preserve">Wilfred, U. I., &amp; Slabbert, A. D. (2009). A Relationship Between Current Globalisation, Unemployment, Inequality and Poverty. </w:t>
      </w:r>
      <w:r w:rsidRPr="005D3F76">
        <w:rPr>
          <w:i/>
        </w:rPr>
        <w:t>International Journal of Social Economics, 36</w:t>
      </w:r>
      <w:r w:rsidRPr="005D3F76">
        <w:t xml:space="preserve">(1/2), 37-46. </w:t>
      </w:r>
    </w:p>
    <w:p w14:paraId="505A0916" w14:textId="77777777" w:rsidR="00C379DD" w:rsidRPr="005D3F76" w:rsidRDefault="00C379DD" w:rsidP="00C379DD">
      <w:pPr>
        <w:pStyle w:val="EndNoteBibliography"/>
        <w:ind w:left="720" w:hanging="720"/>
      </w:pPr>
      <w:r w:rsidRPr="005D3F76">
        <w:t xml:space="preserve">Willisams, R. (1975). </w:t>
      </w:r>
      <w:r w:rsidRPr="005D3F76">
        <w:rPr>
          <w:i/>
        </w:rPr>
        <w:t>Television: Technology and Cultural Form</w:t>
      </w:r>
      <w:r w:rsidRPr="005D3F76">
        <w:t>. New York: Shocken Books.</w:t>
      </w:r>
    </w:p>
    <w:p w14:paraId="1B37868E" w14:textId="77777777" w:rsidR="00C379DD" w:rsidRPr="005D3F76" w:rsidRDefault="00C379DD" w:rsidP="00C379DD">
      <w:pPr>
        <w:pStyle w:val="EndNoteBibliography"/>
        <w:ind w:left="720" w:hanging="720"/>
      </w:pPr>
      <w:r w:rsidRPr="005D3F76">
        <w:lastRenderedPageBreak/>
        <w:t>Wisconsin ACT 10, Assembly Bill 11  (2011 March 11, 2011).</w:t>
      </w:r>
    </w:p>
    <w:p w14:paraId="74616E30" w14:textId="3F8B8CA2" w:rsidR="00C379DD" w:rsidRPr="005D3F76" w:rsidRDefault="00C379DD" w:rsidP="00C379DD">
      <w:pPr>
        <w:pStyle w:val="EndNoteBibliography"/>
        <w:ind w:left="720" w:hanging="720"/>
      </w:pPr>
      <w:r w:rsidRPr="005D3F76">
        <w:t xml:space="preserve">Wisconsin Historical Society. (1996-2016). The Career of Robert M. La Follette. </w:t>
      </w:r>
      <w:r w:rsidRPr="005D3F76">
        <w:rPr>
          <w:i/>
        </w:rPr>
        <w:t>Turning Points in Wisconsin History.</w:t>
      </w:r>
      <w:r w:rsidRPr="005D3F76">
        <w:t xml:space="preserve">  Retrieved from http://www.wisconsinhistory.org/turningpoints/tp-035/</w:t>
      </w:r>
    </w:p>
    <w:p w14:paraId="5042FE16" w14:textId="0CB9CD5A" w:rsidR="00C379DD" w:rsidRPr="005D3F76" w:rsidRDefault="00C379DD" w:rsidP="00C379DD">
      <w:pPr>
        <w:pStyle w:val="EndNoteBibliography"/>
        <w:ind w:left="720" w:hanging="720"/>
      </w:pPr>
      <w:r w:rsidRPr="005D3F76">
        <w:t>Wisconsin State Journal. (2016). Top News Today.   Retrieved from http://host.madison.com/wsj/</w:t>
      </w:r>
    </w:p>
    <w:p w14:paraId="0C0AA31C" w14:textId="77777777" w:rsidR="00C379DD" w:rsidRPr="005D3F76" w:rsidRDefault="00C379DD" w:rsidP="00C379DD">
      <w:pPr>
        <w:pStyle w:val="EndNoteBibliography"/>
        <w:ind w:left="720" w:hanging="720"/>
      </w:pPr>
      <w:r w:rsidRPr="005D3F76">
        <w:t xml:space="preserve">Wodak, R., &amp; Meyer, M. (2009). Critical Discourse Analysis: History, Agenda, Theory and Methodology. In R. Wodak &amp; M. Meyer (Eds.), </w:t>
      </w:r>
      <w:r w:rsidRPr="005D3F76">
        <w:rPr>
          <w:i/>
        </w:rPr>
        <w:t>Methods of Critical Discourse Analysis</w:t>
      </w:r>
      <w:r w:rsidRPr="005D3F76">
        <w:t xml:space="preserve"> (2nd ed., pp. 1-33). Thousand Oaks, CA: Sage.</w:t>
      </w:r>
    </w:p>
    <w:p w14:paraId="5E98D6BC" w14:textId="77777777" w:rsidR="00C379DD" w:rsidRPr="005D3F76" w:rsidRDefault="00C379DD" w:rsidP="00C379DD">
      <w:pPr>
        <w:pStyle w:val="EndNoteBibliography"/>
        <w:ind w:left="720" w:hanging="720"/>
      </w:pPr>
      <w:r w:rsidRPr="005D3F76">
        <w:t xml:space="preserve">Wodak, R., &amp; Meyer, M. (2009). </w:t>
      </w:r>
      <w:r w:rsidRPr="005D3F76">
        <w:rPr>
          <w:i/>
        </w:rPr>
        <w:t>Critical Discourse Analysis: History, Agenda, Theory, and Methodology</w:t>
      </w:r>
      <w:r w:rsidRPr="005D3F76">
        <w:t xml:space="preserve"> (Vol. 2). London: Sage.</w:t>
      </w:r>
    </w:p>
    <w:p w14:paraId="500198E2" w14:textId="77777777" w:rsidR="00C379DD" w:rsidRPr="005D3F76" w:rsidRDefault="00C379DD" w:rsidP="00C379DD">
      <w:pPr>
        <w:pStyle w:val="EndNoteBibliography"/>
        <w:ind w:left="720" w:hanging="720"/>
      </w:pPr>
      <w:r w:rsidRPr="005D3F76">
        <w:t>Wohlstetter, P., Nayfack, M. B., &amp; Mora-Flores, E. (2008). Charter Schools and "Customer" Satisfaction: Lessons from Field Testing a Parent Survey</w:t>
      </w:r>
      <w:r w:rsidRPr="005D3F76">
        <w:tab/>
      </w:r>
      <w:r w:rsidRPr="005D3F76">
        <w:rPr>
          <w:i/>
        </w:rPr>
        <w:t>School Choice, 2</w:t>
      </w:r>
      <w:r w:rsidRPr="005D3F76">
        <w:t xml:space="preserve">(1), 66-82. </w:t>
      </w:r>
    </w:p>
    <w:p w14:paraId="5404BD1B" w14:textId="77777777" w:rsidR="00C379DD" w:rsidRPr="005D3F76" w:rsidRDefault="00C379DD" w:rsidP="00C379DD">
      <w:pPr>
        <w:pStyle w:val="EndNoteBibliography"/>
        <w:ind w:left="720" w:hanging="720"/>
      </w:pPr>
      <w:r w:rsidRPr="005D3F76">
        <w:t>Wolf, R. (2016). Public Employee Unions Dodge a Supreme Court Bullet.</w:t>
      </w:r>
      <w:r w:rsidRPr="005D3F76">
        <w:rPr>
          <w:i/>
        </w:rPr>
        <w:t xml:space="preserve"> USA Today</w:t>
      </w:r>
      <w:r w:rsidRPr="005D3F76">
        <w:t xml:space="preserve">. </w:t>
      </w:r>
    </w:p>
    <w:p w14:paraId="27859C5B" w14:textId="77777777" w:rsidR="00C379DD" w:rsidRPr="005D3F76" w:rsidRDefault="00C379DD" w:rsidP="00C379DD">
      <w:pPr>
        <w:pStyle w:val="EndNoteBibliography"/>
        <w:ind w:left="720" w:hanging="720"/>
      </w:pPr>
      <w:r w:rsidRPr="005D3F76">
        <w:t xml:space="preserve">Wood, L. A., &amp; Kroger, R. O. (2000). </w:t>
      </w:r>
      <w:r w:rsidRPr="005D3F76">
        <w:rPr>
          <w:i/>
        </w:rPr>
        <w:t>Doing Discourse Analysis Methods for Studying Action in Talk and Text</w:t>
      </w:r>
      <w:r w:rsidRPr="005D3F76">
        <w:t>. Thousand Oaks, CA: Sage Publishing Inc.</w:t>
      </w:r>
    </w:p>
    <w:p w14:paraId="6F5E72D9" w14:textId="77777777" w:rsidR="00C379DD" w:rsidRPr="005D3F76" w:rsidRDefault="00C379DD" w:rsidP="00C379DD">
      <w:pPr>
        <w:pStyle w:val="EndNoteBibliography"/>
        <w:ind w:left="720" w:hanging="720"/>
      </w:pPr>
      <w:r w:rsidRPr="005D3F76">
        <w:t xml:space="preserve">Woodring, P., &amp; Scaslos, J. (Eds.). (1962). </w:t>
      </w:r>
      <w:r w:rsidRPr="005D3F76">
        <w:rPr>
          <w:i/>
        </w:rPr>
        <w:t>The New York Teachers' Strike</w:t>
      </w:r>
      <w:r w:rsidRPr="005D3F76">
        <w:t>. New York.</w:t>
      </w:r>
    </w:p>
    <w:p w14:paraId="0ADE6068" w14:textId="7AC56BB4" w:rsidR="00C379DD" w:rsidRPr="005D3F76" w:rsidRDefault="00C379DD" w:rsidP="00C379DD">
      <w:pPr>
        <w:pStyle w:val="EndNoteBibliography"/>
        <w:ind w:left="720" w:hanging="720"/>
      </w:pPr>
      <w:r w:rsidRPr="005D3F76">
        <w:t>Woolley, J., &amp; Peters, G. (1962). John F. Kennedy XXXV President of the United States: 1961-1963 Executive Order 10988-Employee-Management Cooperation in the Federal Service.   Retrieved from http://www.presidency.ucsb.edu/ws/index.php?pid=58926</w:t>
      </w:r>
    </w:p>
    <w:p w14:paraId="2603B9A3" w14:textId="77777777" w:rsidR="00C379DD" w:rsidRPr="005D3F76" w:rsidRDefault="00C379DD" w:rsidP="00C379DD">
      <w:pPr>
        <w:pStyle w:val="EndNoteBibliography"/>
        <w:ind w:left="720" w:hanging="720"/>
      </w:pPr>
      <w:r w:rsidRPr="005D3F76">
        <w:t>Yaccino, S. (2013, November 12). Wisconsin Supreme Court Hears Arguments on Collective Bargaining Law.</w:t>
      </w:r>
      <w:r w:rsidRPr="005D3F76">
        <w:rPr>
          <w:i/>
        </w:rPr>
        <w:t xml:space="preserve"> The New York Times,</w:t>
      </w:r>
      <w:r w:rsidRPr="005D3F76">
        <w:t xml:space="preserve"> p. 15. </w:t>
      </w:r>
    </w:p>
    <w:p w14:paraId="1D54D167" w14:textId="77777777" w:rsidR="00C379DD" w:rsidRPr="005D3F76" w:rsidRDefault="00C379DD" w:rsidP="00C379DD">
      <w:pPr>
        <w:pStyle w:val="EndNoteBibliography"/>
        <w:ind w:left="720" w:hanging="720"/>
      </w:pPr>
      <w:r w:rsidRPr="005D3F76">
        <w:t xml:space="preserve">Zaller, J. (1992). </w:t>
      </w:r>
      <w:r w:rsidRPr="005D3F76">
        <w:rPr>
          <w:i/>
        </w:rPr>
        <w:t>The Nature of Origins of Mass Opinion</w:t>
      </w:r>
      <w:r w:rsidRPr="005D3F76">
        <w:t>. Cambridge, UK: Cambridge University Press.</w:t>
      </w:r>
    </w:p>
    <w:p w14:paraId="57FAEA1D" w14:textId="77777777" w:rsidR="00C379DD" w:rsidRPr="005D3F76" w:rsidRDefault="00C379DD" w:rsidP="00C379DD">
      <w:pPr>
        <w:pStyle w:val="EndNoteBibliography"/>
        <w:ind w:left="720" w:hanging="720"/>
      </w:pPr>
      <w:r w:rsidRPr="005D3F76">
        <w:t xml:space="preserve">Zeichner, K. (2006). Reflections of a University-Based Teacher Educator on the Future of College-and-University-Based Teacher Education. </w:t>
      </w:r>
      <w:r w:rsidRPr="005D3F76">
        <w:rPr>
          <w:i/>
        </w:rPr>
        <w:t>Journal of Teacher Education, 57</w:t>
      </w:r>
      <w:r w:rsidRPr="005D3F76">
        <w:t xml:space="preserve">(3), 326-340. </w:t>
      </w:r>
    </w:p>
    <w:p w14:paraId="682AE5CB" w14:textId="77777777" w:rsidR="00C379DD" w:rsidRPr="005D3F76" w:rsidRDefault="00C379DD" w:rsidP="00C379DD">
      <w:pPr>
        <w:pStyle w:val="EndNoteBibliography"/>
        <w:ind w:left="720" w:hanging="720"/>
      </w:pPr>
      <w:r w:rsidRPr="005D3F76">
        <w:t>Zeleny, J. (2012, June 4). Recall Battle in Wisconsin May Snarl Obama Camp.</w:t>
      </w:r>
      <w:r w:rsidRPr="005D3F76">
        <w:rPr>
          <w:i/>
        </w:rPr>
        <w:t xml:space="preserve"> The New York Times,</w:t>
      </w:r>
      <w:r w:rsidRPr="005D3F76">
        <w:t xml:space="preserve"> p. 12. </w:t>
      </w:r>
    </w:p>
    <w:p w14:paraId="24DFAD94" w14:textId="77777777" w:rsidR="00C379DD" w:rsidRPr="005D3F76" w:rsidRDefault="00C379DD" w:rsidP="00C379DD">
      <w:pPr>
        <w:pStyle w:val="EndNoteBibliography"/>
        <w:ind w:left="720" w:hanging="720"/>
      </w:pPr>
      <w:r w:rsidRPr="005D3F76">
        <w:t>Zweifel, A. (2015, March 25). Politicians Dish Out the Lies, and We Let Them: Plain Talk.</w:t>
      </w:r>
      <w:r w:rsidRPr="005D3F76">
        <w:rPr>
          <w:i/>
        </w:rPr>
        <w:t xml:space="preserve"> The Capital Times,</w:t>
      </w:r>
      <w:r w:rsidRPr="005D3F76">
        <w:t xml:space="preserve"> p. 40. </w:t>
      </w:r>
    </w:p>
    <w:p w14:paraId="51DAFC04" w14:textId="77777777" w:rsidR="00C379DD" w:rsidRPr="005D3F76" w:rsidRDefault="00C379DD" w:rsidP="00C379DD">
      <w:pPr>
        <w:pStyle w:val="EndNoteBibliography"/>
        <w:ind w:left="720" w:hanging="720"/>
      </w:pPr>
      <w:r w:rsidRPr="005D3F76">
        <w:t>Zweifel, D. (2011, December 14). Walker Brings Unions Together.</w:t>
      </w:r>
      <w:r w:rsidRPr="005D3F76">
        <w:rPr>
          <w:i/>
        </w:rPr>
        <w:t xml:space="preserve"> The Capital Times,</w:t>
      </w:r>
      <w:r w:rsidRPr="005D3F76">
        <w:t xml:space="preserve"> p. 26. </w:t>
      </w:r>
    </w:p>
    <w:p w14:paraId="6F13B87C" w14:textId="77777777" w:rsidR="00C379DD" w:rsidRPr="005D3F76" w:rsidRDefault="00C379DD" w:rsidP="00C379DD">
      <w:pPr>
        <w:pStyle w:val="EndNoteBibliography"/>
        <w:ind w:left="720" w:hanging="720"/>
      </w:pPr>
      <w:r w:rsidRPr="005D3F76">
        <w:t>Zweifel, D. (2015, July 1). Rumors of Teachers Unions' Death Greatly Exaggerated: Plain Talk.</w:t>
      </w:r>
      <w:r w:rsidRPr="005D3F76">
        <w:rPr>
          <w:i/>
        </w:rPr>
        <w:t xml:space="preserve"> The Capital Times,</w:t>
      </w:r>
      <w:r w:rsidRPr="005D3F76">
        <w:t xml:space="preserve"> p. 4D. </w:t>
      </w:r>
    </w:p>
    <w:p w14:paraId="3173452B" w14:textId="64CEDD7C" w:rsidR="0012433F" w:rsidRPr="005D3F76" w:rsidRDefault="00DC6D2F" w:rsidP="00010A7D">
      <w:pPr>
        <w:pStyle w:val="EndNoteBibliography"/>
        <w:ind w:left="720" w:hanging="720"/>
        <w:rPr>
          <w:szCs w:val="24"/>
        </w:rPr>
        <w:sectPr w:rsidR="0012433F" w:rsidRPr="005D3F76" w:rsidSect="003D72CB">
          <w:endnotePr>
            <w:numRestart w:val="eachSect"/>
          </w:endnotePr>
          <w:pgSz w:w="12240" w:h="15840"/>
          <w:pgMar w:top="1440" w:right="1440" w:bottom="1440" w:left="1440" w:header="720" w:footer="720" w:gutter="0"/>
          <w:cols w:space="720"/>
          <w:docGrid w:linePitch="360"/>
        </w:sectPr>
      </w:pPr>
      <w:r w:rsidRPr="005D3F76">
        <w:rPr>
          <w:szCs w:val="24"/>
        </w:rPr>
        <w:fldChar w:fldCharType="end"/>
      </w:r>
    </w:p>
    <w:p w14:paraId="2E3140BD" w14:textId="01EE9BA4" w:rsidR="0012433F" w:rsidRPr="005D3F76" w:rsidRDefault="00A3521D" w:rsidP="006F28A3">
      <w:pPr>
        <w:pStyle w:val="Heading1"/>
        <w:rPr>
          <w:rFonts w:cs="Times New Roman"/>
        </w:rPr>
      </w:pPr>
      <w:bookmarkStart w:id="32" w:name="_Toc462843652"/>
      <w:r w:rsidRPr="005D3F76">
        <w:rPr>
          <w:rFonts w:cs="Times New Roman"/>
        </w:rPr>
        <w:lastRenderedPageBreak/>
        <w:t>APPENDICES</w:t>
      </w:r>
      <w:bookmarkEnd w:id="32"/>
    </w:p>
    <w:p w14:paraId="5FD811A6" w14:textId="00174E78" w:rsidR="0012433F" w:rsidRPr="005D3F76" w:rsidRDefault="0012433F" w:rsidP="00C379DD">
      <w:pPr>
        <w:spacing w:line="259" w:lineRule="auto"/>
        <w:rPr>
          <w:rFonts w:cs="Times New Roman"/>
          <w:szCs w:val="24"/>
        </w:rPr>
      </w:pPr>
      <w:r w:rsidRPr="005D3F76">
        <w:rPr>
          <w:rFonts w:cs="Times New Roman"/>
        </w:rPr>
        <w:br w:type="page"/>
      </w:r>
    </w:p>
    <w:p w14:paraId="36CF1390" w14:textId="3BBD7261" w:rsidR="001B1E2A" w:rsidRPr="005D3F76" w:rsidRDefault="001B1E2A" w:rsidP="001B1E2A">
      <w:pPr>
        <w:pStyle w:val="Heading2"/>
        <w:rPr>
          <w:rFonts w:cs="Times New Roman"/>
        </w:rPr>
      </w:pPr>
      <w:bookmarkStart w:id="33" w:name="_Toc462843653"/>
      <w:r w:rsidRPr="005D3F76">
        <w:rPr>
          <w:rFonts w:cs="Times New Roman"/>
        </w:rPr>
        <w:lastRenderedPageBreak/>
        <w:t>Appendix A</w:t>
      </w:r>
      <w:r w:rsidR="00EA34B9" w:rsidRPr="005D3F76">
        <w:rPr>
          <w:rFonts w:cs="Times New Roman"/>
        </w:rPr>
        <w:t xml:space="preserve">: </w:t>
      </w:r>
      <w:r w:rsidRPr="005D3F76">
        <w:rPr>
          <w:rFonts w:cs="Times New Roman"/>
        </w:rPr>
        <w:t>Newspaper Articles</w:t>
      </w:r>
      <w:bookmarkEnd w:id="33"/>
    </w:p>
    <w:p w14:paraId="081C0B05" w14:textId="7959B482" w:rsidR="0012433F" w:rsidRPr="005D3F76" w:rsidRDefault="0012433F" w:rsidP="00F3590C">
      <w:pPr>
        <w:spacing w:line="240" w:lineRule="auto"/>
        <w:rPr>
          <w:rFonts w:cs="Times New Roman"/>
          <w:szCs w:val="24"/>
        </w:rPr>
      </w:pPr>
      <w:r w:rsidRPr="005D3F76">
        <w:rPr>
          <w:rFonts w:cs="Times New Roman"/>
          <w:szCs w:val="24"/>
        </w:rPr>
        <w:t xml:space="preserve">Table 2: </w:t>
      </w:r>
      <w:r w:rsidRPr="005D3F76">
        <w:rPr>
          <w:rFonts w:cs="Times New Roman"/>
          <w:i/>
          <w:szCs w:val="24"/>
        </w:rPr>
        <w:t>New York Times</w:t>
      </w:r>
      <w:r w:rsidRPr="005D3F76">
        <w:rPr>
          <w:rFonts w:cs="Times New Roman"/>
          <w:szCs w:val="24"/>
        </w:rPr>
        <w:t xml:space="preserve"> Articles</w:t>
      </w:r>
    </w:p>
    <w:tbl>
      <w:tblPr>
        <w:tblStyle w:val="TableGrid"/>
        <w:tblW w:w="0" w:type="auto"/>
        <w:tblLook w:val="04A0" w:firstRow="1" w:lastRow="0" w:firstColumn="1" w:lastColumn="0" w:noHBand="0" w:noVBand="1"/>
      </w:tblPr>
      <w:tblGrid>
        <w:gridCol w:w="4585"/>
        <w:gridCol w:w="1648"/>
        <w:gridCol w:w="3117"/>
      </w:tblGrid>
      <w:tr w:rsidR="0012433F" w:rsidRPr="005D3F76" w14:paraId="02393C6A" w14:textId="77777777" w:rsidTr="0012433F">
        <w:tc>
          <w:tcPr>
            <w:tcW w:w="4585" w:type="dxa"/>
          </w:tcPr>
          <w:p w14:paraId="36DF6B66" w14:textId="77777777" w:rsidR="0012433F" w:rsidRPr="005D3F76" w:rsidRDefault="0012433F" w:rsidP="0012433F">
            <w:pPr>
              <w:spacing w:after="120" w:line="240" w:lineRule="auto"/>
              <w:jc w:val="center"/>
              <w:rPr>
                <w:rFonts w:cs="Times New Roman"/>
                <w:b/>
                <w:szCs w:val="24"/>
              </w:rPr>
            </w:pPr>
            <w:r w:rsidRPr="005D3F76">
              <w:rPr>
                <w:rFonts w:cs="Times New Roman"/>
                <w:b/>
                <w:szCs w:val="24"/>
              </w:rPr>
              <w:t>Title</w:t>
            </w:r>
          </w:p>
        </w:tc>
        <w:tc>
          <w:tcPr>
            <w:tcW w:w="1648" w:type="dxa"/>
          </w:tcPr>
          <w:p w14:paraId="342804D1" w14:textId="77777777" w:rsidR="0012433F" w:rsidRPr="005D3F76" w:rsidRDefault="0012433F" w:rsidP="0012433F">
            <w:pPr>
              <w:spacing w:after="120" w:line="240" w:lineRule="auto"/>
              <w:jc w:val="center"/>
              <w:rPr>
                <w:rFonts w:cs="Times New Roman"/>
                <w:b/>
                <w:szCs w:val="24"/>
              </w:rPr>
            </w:pPr>
            <w:r w:rsidRPr="005D3F76">
              <w:rPr>
                <w:rFonts w:cs="Times New Roman"/>
                <w:b/>
                <w:szCs w:val="24"/>
              </w:rPr>
              <w:t>Date</w:t>
            </w:r>
          </w:p>
        </w:tc>
        <w:tc>
          <w:tcPr>
            <w:tcW w:w="3117" w:type="dxa"/>
          </w:tcPr>
          <w:p w14:paraId="7E4D9AD1" w14:textId="77777777" w:rsidR="0012433F" w:rsidRPr="005D3F76" w:rsidRDefault="0012433F" w:rsidP="0012433F">
            <w:pPr>
              <w:spacing w:after="120" w:line="240" w:lineRule="auto"/>
              <w:jc w:val="center"/>
              <w:rPr>
                <w:rFonts w:cs="Times New Roman"/>
                <w:b/>
                <w:szCs w:val="24"/>
              </w:rPr>
            </w:pPr>
            <w:r w:rsidRPr="005D3F76">
              <w:rPr>
                <w:rFonts w:cs="Times New Roman"/>
                <w:b/>
                <w:szCs w:val="24"/>
              </w:rPr>
              <w:t>Author</w:t>
            </w:r>
          </w:p>
        </w:tc>
      </w:tr>
      <w:tr w:rsidR="0012433F" w:rsidRPr="005D3F76" w14:paraId="00DA05EF" w14:textId="77777777" w:rsidTr="0012433F">
        <w:tc>
          <w:tcPr>
            <w:tcW w:w="4585" w:type="dxa"/>
          </w:tcPr>
          <w:p w14:paraId="68CF64FB" w14:textId="77777777" w:rsidR="0012433F" w:rsidRPr="005D3F76" w:rsidRDefault="0012433F" w:rsidP="0012433F">
            <w:pPr>
              <w:spacing w:after="120" w:line="240" w:lineRule="auto"/>
              <w:rPr>
                <w:rFonts w:cs="Times New Roman"/>
                <w:szCs w:val="24"/>
              </w:rPr>
            </w:pPr>
            <w:r w:rsidRPr="005D3F76">
              <w:rPr>
                <w:rFonts w:cs="Times New Roman"/>
                <w:szCs w:val="24"/>
              </w:rPr>
              <w:t>“When I Run Out of Fights to Have, I’ll Stop Fighting”</w:t>
            </w:r>
          </w:p>
        </w:tc>
        <w:tc>
          <w:tcPr>
            <w:tcW w:w="1648" w:type="dxa"/>
          </w:tcPr>
          <w:p w14:paraId="7761CD0C" w14:textId="77777777" w:rsidR="0012433F" w:rsidRPr="005D3F76" w:rsidRDefault="0012433F" w:rsidP="0012433F">
            <w:pPr>
              <w:spacing w:after="120" w:line="240" w:lineRule="auto"/>
              <w:jc w:val="center"/>
              <w:rPr>
                <w:rFonts w:cs="Times New Roman"/>
                <w:szCs w:val="24"/>
              </w:rPr>
            </w:pPr>
            <w:r w:rsidRPr="005D3F76">
              <w:rPr>
                <w:rFonts w:cs="Times New Roman"/>
                <w:szCs w:val="24"/>
              </w:rPr>
              <w:t>02/27/2011</w:t>
            </w:r>
          </w:p>
        </w:tc>
        <w:tc>
          <w:tcPr>
            <w:tcW w:w="3117" w:type="dxa"/>
          </w:tcPr>
          <w:p w14:paraId="7E042A5C" w14:textId="77777777" w:rsidR="0012433F" w:rsidRPr="005D3F76" w:rsidRDefault="0012433F" w:rsidP="0012433F">
            <w:pPr>
              <w:spacing w:after="120" w:line="240" w:lineRule="auto"/>
              <w:jc w:val="center"/>
              <w:rPr>
                <w:rFonts w:cs="Times New Roman"/>
                <w:szCs w:val="24"/>
              </w:rPr>
            </w:pPr>
            <w:r w:rsidRPr="005D3F76">
              <w:rPr>
                <w:rFonts w:cs="Times New Roman"/>
                <w:szCs w:val="24"/>
              </w:rPr>
              <w:t>Matt Bai</w:t>
            </w:r>
            <w:r w:rsidRPr="005D3F76">
              <w:rPr>
                <w:rFonts w:cs="Times New Roman"/>
                <w:szCs w:val="24"/>
              </w:rPr>
              <w:fldChar w:fldCharType="begin"/>
            </w:r>
            <w:r w:rsidRPr="005D3F76">
              <w:rPr>
                <w:rFonts w:cs="Times New Roman"/>
                <w:szCs w:val="24"/>
              </w:rPr>
              <w:instrText xml:space="preserve"> ADDIN EN.CITE &lt;EndNote&gt;&lt;Cite Hidden="1"&gt;&lt;Author&gt;Bai&lt;/Author&gt;&lt;Year&gt;2011&lt;/Year&gt;&lt;RecNum&gt;87&lt;/RecNum&gt;&lt;record&gt;&lt;rec-number&gt;87&lt;/rec-number&gt;&lt;foreign-keys&gt;&lt;key app="EN" db-id="etwareaz8xpxz3et59b50d9vxrata9z2w2zt" timestamp="1455564891"&gt;87&lt;/key&gt;&lt;/foreign-keys&gt;&lt;ref-type name="Newspaper Article"&gt;23&lt;/ref-type&gt;&lt;contributors&gt;&lt;authors&gt;&lt;author&gt;Matt Bai&lt;/author&gt;&lt;/authors&gt;&lt;/contributors&gt;&lt;titles&gt;&lt;title&gt;When I Run Out of Fights to Have, I&amp;apos;ll Stop Fighting&lt;/title&gt;&lt;secondary-title&gt;The New York Times&lt;/secondary-title&gt;&lt;/titles&gt;&lt;pages&gt;32&lt;/pages&gt;&lt;section&gt;Magazine Desk&lt;/section&gt;&lt;dates&gt;&lt;year&gt;2011&lt;/year&gt;&lt;pub-dates&gt;&lt;date&gt;February 27&lt;/date&gt;&lt;/pub-dates&gt;&lt;/dates&gt;&lt;pub-location&gt;New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5E4958B2" w14:textId="77777777" w:rsidTr="0012433F">
        <w:tc>
          <w:tcPr>
            <w:tcW w:w="4585" w:type="dxa"/>
          </w:tcPr>
          <w:p w14:paraId="472254B3" w14:textId="77777777" w:rsidR="0012433F" w:rsidRPr="005D3F76" w:rsidRDefault="0012433F" w:rsidP="0012433F">
            <w:pPr>
              <w:spacing w:after="120" w:line="240" w:lineRule="auto"/>
              <w:rPr>
                <w:rFonts w:cs="Times New Roman"/>
                <w:szCs w:val="24"/>
              </w:rPr>
            </w:pPr>
            <w:r w:rsidRPr="005D3F76">
              <w:rPr>
                <w:rFonts w:cs="Times New Roman"/>
                <w:szCs w:val="24"/>
              </w:rPr>
              <w:t>“Role for Teachers Is Seen In Solving Schools’ Crises</w:t>
            </w:r>
          </w:p>
        </w:tc>
        <w:tc>
          <w:tcPr>
            <w:tcW w:w="1648" w:type="dxa"/>
          </w:tcPr>
          <w:p w14:paraId="0B183DAF" w14:textId="77777777" w:rsidR="0012433F" w:rsidRPr="005D3F76" w:rsidRDefault="0012433F" w:rsidP="0012433F">
            <w:pPr>
              <w:spacing w:after="120" w:line="240" w:lineRule="auto"/>
              <w:jc w:val="center"/>
              <w:rPr>
                <w:rFonts w:cs="Times New Roman"/>
                <w:szCs w:val="24"/>
              </w:rPr>
            </w:pPr>
            <w:r w:rsidRPr="005D3F76">
              <w:rPr>
                <w:rFonts w:cs="Times New Roman"/>
                <w:szCs w:val="24"/>
              </w:rPr>
              <w:t>02/16/2011</w:t>
            </w:r>
          </w:p>
        </w:tc>
        <w:tc>
          <w:tcPr>
            <w:tcW w:w="3117" w:type="dxa"/>
          </w:tcPr>
          <w:p w14:paraId="3C031BAC" w14:textId="77777777" w:rsidR="0012433F" w:rsidRPr="005D3F76" w:rsidRDefault="0012433F" w:rsidP="0012433F">
            <w:pPr>
              <w:spacing w:after="120" w:line="240" w:lineRule="auto"/>
              <w:jc w:val="center"/>
              <w:rPr>
                <w:rFonts w:cs="Times New Roman"/>
                <w:szCs w:val="24"/>
              </w:rPr>
            </w:pPr>
            <w:r w:rsidRPr="005D3F76">
              <w:rPr>
                <w:rFonts w:cs="Times New Roman"/>
                <w:szCs w:val="24"/>
              </w:rPr>
              <w:t>Sam Dillon</w:t>
            </w:r>
            <w:r w:rsidRPr="005D3F76">
              <w:rPr>
                <w:rFonts w:cs="Times New Roman"/>
                <w:szCs w:val="24"/>
              </w:rPr>
              <w:fldChar w:fldCharType="begin"/>
            </w:r>
            <w:r w:rsidRPr="005D3F76">
              <w:rPr>
                <w:rFonts w:cs="Times New Roman"/>
                <w:szCs w:val="24"/>
              </w:rPr>
              <w:instrText xml:space="preserve"> ADDIN EN.CITE &lt;EndNote&gt;&lt;Cite Hidden="1"&gt;&lt;Author&gt;Dillon&lt;/Author&gt;&lt;Year&gt;2011&lt;/Year&gt;&lt;RecNum&gt;86&lt;/RecNum&gt;&lt;record&gt;&lt;rec-number&gt;86&lt;/rec-number&gt;&lt;foreign-keys&gt;&lt;key app="EN" db-id="etwareaz8xpxz3et59b50d9vxrata9z2w2zt" timestamp="1455564817"&gt;86&lt;/key&gt;&lt;/foreign-keys&gt;&lt;ref-type name="Newspaper Article"&gt;23&lt;/ref-type&gt;&lt;contributors&gt;&lt;authors&gt;&lt;author&gt;Sam Dillon&lt;/author&gt;&lt;/authors&gt;&lt;/contributors&gt;&lt;titles&gt;&lt;title&gt;Role for Teachers is Seen in Solving Schools&amp;apos; Crises&lt;/title&gt;&lt;secondary-title&gt;The New York Times&lt;/secondary-title&gt;&lt;/titles&gt;&lt;pages&gt;15&lt;/pages&gt;&lt;section&gt;National Desk&lt;/section&gt;&lt;dates&gt;&lt;year&gt;2011&lt;/year&gt;&lt;pub-dates&gt;&lt;date&gt;February 16&lt;/date&gt;&lt;/pub-dates&gt;&lt;/dates&gt;&lt;pub-location&gt;New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30348506" w14:textId="77777777" w:rsidTr="0012433F">
        <w:tc>
          <w:tcPr>
            <w:tcW w:w="4585" w:type="dxa"/>
          </w:tcPr>
          <w:p w14:paraId="3EDC7BE2" w14:textId="77777777" w:rsidR="0012433F" w:rsidRPr="005D3F76" w:rsidRDefault="0012433F" w:rsidP="0012433F">
            <w:pPr>
              <w:spacing w:after="120" w:line="240" w:lineRule="auto"/>
              <w:rPr>
                <w:rFonts w:cs="Times New Roman"/>
                <w:szCs w:val="24"/>
              </w:rPr>
            </w:pPr>
            <w:r w:rsidRPr="005D3F76">
              <w:rPr>
                <w:rFonts w:cs="Times New Roman"/>
                <w:szCs w:val="24"/>
              </w:rPr>
              <w:t>“Limit Pay, Not Unions”</w:t>
            </w:r>
          </w:p>
        </w:tc>
        <w:tc>
          <w:tcPr>
            <w:tcW w:w="1648" w:type="dxa"/>
          </w:tcPr>
          <w:p w14:paraId="2B895110" w14:textId="77777777" w:rsidR="0012433F" w:rsidRPr="005D3F76" w:rsidRDefault="0012433F" w:rsidP="0012433F">
            <w:pPr>
              <w:spacing w:after="120" w:line="240" w:lineRule="auto"/>
              <w:jc w:val="center"/>
              <w:rPr>
                <w:rFonts w:cs="Times New Roman"/>
                <w:szCs w:val="24"/>
              </w:rPr>
            </w:pPr>
            <w:r w:rsidRPr="005D3F76">
              <w:rPr>
                <w:rFonts w:cs="Times New Roman"/>
                <w:szCs w:val="24"/>
              </w:rPr>
              <w:t>02/28/2011</w:t>
            </w:r>
          </w:p>
        </w:tc>
        <w:tc>
          <w:tcPr>
            <w:tcW w:w="3117" w:type="dxa"/>
          </w:tcPr>
          <w:p w14:paraId="4DF7A2FC" w14:textId="77777777" w:rsidR="0012433F" w:rsidRPr="005D3F76" w:rsidRDefault="0012433F" w:rsidP="0012433F">
            <w:pPr>
              <w:spacing w:after="120" w:line="240" w:lineRule="auto"/>
              <w:jc w:val="center"/>
              <w:rPr>
                <w:rFonts w:cs="Times New Roman"/>
                <w:szCs w:val="24"/>
              </w:rPr>
            </w:pPr>
            <w:r w:rsidRPr="005D3F76">
              <w:rPr>
                <w:rFonts w:cs="Times New Roman"/>
                <w:szCs w:val="24"/>
              </w:rPr>
              <w:t>Michael R. Bloomberg</w:t>
            </w:r>
            <w:r w:rsidRPr="005D3F76">
              <w:rPr>
                <w:rFonts w:cs="Times New Roman"/>
                <w:szCs w:val="24"/>
              </w:rPr>
              <w:fldChar w:fldCharType="begin"/>
            </w:r>
            <w:r w:rsidRPr="005D3F76">
              <w:rPr>
                <w:rFonts w:cs="Times New Roman"/>
                <w:szCs w:val="24"/>
              </w:rPr>
              <w:instrText xml:space="preserve"> ADDIN EN.CITE &lt;EndNote&gt;&lt;Cite Hidden="1"&gt;&lt;Author&gt;Bloomberg&lt;/Author&gt;&lt;Year&gt;2011&lt;/Year&gt;&lt;RecNum&gt;88&lt;/RecNum&gt;&lt;record&gt;&lt;rec-number&gt;88&lt;/rec-number&gt;&lt;foreign-keys&gt;&lt;key app="EN" db-id="etwareaz8xpxz3et59b50d9vxrata9z2w2zt" timestamp="1455565004"&gt;88&lt;/key&gt;&lt;/foreign-keys&gt;&lt;ref-type name="Newspaper Article"&gt;23&lt;/ref-type&gt;&lt;contributors&gt;&lt;authors&gt;&lt;author&gt;Michael R. Bloomberg&lt;/author&gt;&lt;/authors&gt;&lt;/contributors&gt;&lt;titles&gt;&lt;title&gt;Limit Pay, Not Unions&lt;/title&gt;&lt;secondary-title&gt;The New York Times&lt;/secondary-title&gt;&lt;/titles&gt;&lt;pages&gt;23&lt;/pages&gt;&lt;section&gt;Editorial Desk&lt;/section&gt;&lt;dates&gt;&lt;year&gt;2011&lt;/year&gt;&lt;pub-dates&gt;&lt;date&gt;February 28&lt;/date&gt;&lt;/pub-dates&gt;&lt;/dates&gt;&lt;pub-location&gt;New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336BB8AE" w14:textId="77777777" w:rsidTr="0012433F">
        <w:tc>
          <w:tcPr>
            <w:tcW w:w="4585" w:type="dxa"/>
          </w:tcPr>
          <w:p w14:paraId="69E00B19" w14:textId="77777777" w:rsidR="0012433F" w:rsidRPr="005D3F76" w:rsidRDefault="0012433F" w:rsidP="0012433F">
            <w:pPr>
              <w:spacing w:after="120" w:line="240" w:lineRule="auto"/>
              <w:rPr>
                <w:rFonts w:cs="Times New Roman"/>
                <w:szCs w:val="24"/>
              </w:rPr>
            </w:pPr>
            <w:r w:rsidRPr="005D3F76">
              <w:rPr>
                <w:rFonts w:cs="Times New Roman"/>
                <w:szCs w:val="24"/>
              </w:rPr>
              <w:t>“Teachers Wonder, Why the Heaping’s of Scorn?</w:t>
            </w:r>
          </w:p>
        </w:tc>
        <w:tc>
          <w:tcPr>
            <w:tcW w:w="1648" w:type="dxa"/>
          </w:tcPr>
          <w:p w14:paraId="5316A8B4" w14:textId="77777777" w:rsidR="0012433F" w:rsidRPr="005D3F76" w:rsidRDefault="0012433F" w:rsidP="0012433F">
            <w:pPr>
              <w:spacing w:after="120" w:line="240" w:lineRule="auto"/>
              <w:jc w:val="center"/>
              <w:rPr>
                <w:rFonts w:cs="Times New Roman"/>
                <w:szCs w:val="24"/>
              </w:rPr>
            </w:pPr>
            <w:r w:rsidRPr="005D3F76">
              <w:rPr>
                <w:rFonts w:cs="Times New Roman"/>
                <w:szCs w:val="24"/>
              </w:rPr>
              <w:t>03/03/2011</w:t>
            </w:r>
          </w:p>
        </w:tc>
        <w:tc>
          <w:tcPr>
            <w:tcW w:w="3117" w:type="dxa"/>
          </w:tcPr>
          <w:p w14:paraId="2752ED70" w14:textId="77777777" w:rsidR="0012433F" w:rsidRPr="005D3F76" w:rsidRDefault="0012433F" w:rsidP="0012433F">
            <w:pPr>
              <w:spacing w:after="120" w:line="240" w:lineRule="auto"/>
              <w:jc w:val="center"/>
              <w:rPr>
                <w:rFonts w:cs="Times New Roman"/>
                <w:szCs w:val="24"/>
              </w:rPr>
            </w:pPr>
            <w:r w:rsidRPr="005D3F76">
              <w:rPr>
                <w:rFonts w:cs="Times New Roman"/>
                <w:szCs w:val="24"/>
              </w:rPr>
              <w:t>Trip Gabriel</w:t>
            </w:r>
            <w:r w:rsidRPr="005D3F76">
              <w:rPr>
                <w:rFonts w:cs="Times New Roman"/>
                <w:szCs w:val="24"/>
              </w:rPr>
              <w:fldChar w:fldCharType="begin"/>
            </w:r>
            <w:r w:rsidRPr="005D3F76">
              <w:rPr>
                <w:rFonts w:cs="Times New Roman"/>
                <w:szCs w:val="24"/>
              </w:rPr>
              <w:instrText xml:space="preserve"> ADDIN EN.CITE &lt;EndNote&gt;&lt;Cite Hidden="1"&gt;&lt;Author&gt;Gabriel&lt;/Author&gt;&lt;Year&gt;2011&lt;/Year&gt;&lt;RecNum&gt;89&lt;/RecNum&gt;&lt;record&gt;&lt;rec-number&gt;89&lt;/rec-number&gt;&lt;foreign-keys&gt;&lt;key app="EN" db-id="etwareaz8xpxz3et59b50d9vxrata9z2w2zt" timestamp="1455565060"&gt;89&lt;/key&gt;&lt;/foreign-keys&gt;&lt;ref-type name="Newspaper Article"&gt;23&lt;/ref-type&gt;&lt;contributors&gt;&lt;authors&gt;&lt;author&gt;Trip Gabriel&lt;/author&gt;&lt;/authors&gt;&lt;/contributors&gt;&lt;titles&gt;&lt;title&gt;Teachers Wonder, Why the Heapings of Scorn?&lt;/title&gt;&lt;secondary-title&gt;The New York Times&lt;/secondary-title&gt;&lt;/titles&gt;&lt;pages&gt;1&lt;/pages&gt;&lt;section&gt;National Desk&lt;/section&gt;&lt;dates&gt;&lt;year&gt;2011&lt;/year&gt;&lt;pub-dates&gt;&lt;date&gt;March 3&lt;/date&gt;&lt;/pub-dates&gt;&lt;/dates&gt;&lt;pub-location&gt;New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543BC10A" w14:textId="77777777" w:rsidTr="0012433F">
        <w:tc>
          <w:tcPr>
            <w:tcW w:w="4585" w:type="dxa"/>
          </w:tcPr>
          <w:p w14:paraId="4698C0A1" w14:textId="77777777" w:rsidR="0012433F" w:rsidRPr="005D3F76" w:rsidRDefault="0012433F" w:rsidP="0012433F">
            <w:pPr>
              <w:spacing w:after="120" w:line="240" w:lineRule="auto"/>
              <w:rPr>
                <w:rFonts w:cs="Times New Roman"/>
                <w:szCs w:val="24"/>
              </w:rPr>
            </w:pPr>
            <w:r w:rsidRPr="005D3F76">
              <w:rPr>
                <w:rFonts w:cs="Times New Roman"/>
                <w:szCs w:val="24"/>
              </w:rPr>
              <w:t>“Judge Voids Law Curbing Union Rights in Wisconsin”</w:t>
            </w:r>
          </w:p>
        </w:tc>
        <w:tc>
          <w:tcPr>
            <w:tcW w:w="1648" w:type="dxa"/>
          </w:tcPr>
          <w:p w14:paraId="6D22BD06" w14:textId="77777777" w:rsidR="0012433F" w:rsidRPr="005D3F76" w:rsidRDefault="0012433F" w:rsidP="0012433F">
            <w:pPr>
              <w:spacing w:after="120" w:line="240" w:lineRule="auto"/>
              <w:jc w:val="center"/>
              <w:rPr>
                <w:rFonts w:cs="Times New Roman"/>
                <w:szCs w:val="24"/>
              </w:rPr>
            </w:pPr>
            <w:r w:rsidRPr="005D3F76">
              <w:rPr>
                <w:rFonts w:cs="Times New Roman"/>
                <w:szCs w:val="24"/>
              </w:rPr>
              <w:t>05/27/2011</w:t>
            </w:r>
          </w:p>
        </w:tc>
        <w:tc>
          <w:tcPr>
            <w:tcW w:w="3117" w:type="dxa"/>
          </w:tcPr>
          <w:p w14:paraId="68BA7588"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Greenhouse</w:t>
            </w:r>
            <w:r w:rsidRPr="005D3F76">
              <w:rPr>
                <w:rFonts w:cs="Times New Roman"/>
                <w:szCs w:val="24"/>
              </w:rPr>
              <w:fldChar w:fldCharType="begin"/>
            </w:r>
            <w:r w:rsidRPr="005D3F76">
              <w:rPr>
                <w:rFonts w:cs="Times New Roman"/>
                <w:szCs w:val="24"/>
              </w:rPr>
              <w:instrText xml:space="preserve"> ADDIN EN.CITE &lt;EndNote&gt;&lt;Cite Hidden="1"&gt;&lt;Author&gt;Greenhouse&lt;/Author&gt;&lt;Year&gt;2011&lt;/Year&gt;&lt;RecNum&gt;90&lt;/RecNum&gt;&lt;record&gt;&lt;rec-number&gt;90&lt;/rec-number&gt;&lt;foreign-keys&gt;&lt;key app="EN" db-id="etwareaz8xpxz3et59b50d9vxrata9z2w2zt" timestamp="1455565133"&gt;90&lt;/key&gt;&lt;/foreign-keys&gt;&lt;ref-type name="Newspaper Article"&gt;23&lt;/ref-type&gt;&lt;contributors&gt;&lt;authors&gt;&lt;author&gt;Steven Greenhouse&lt;/author&gt;&lt;/authors&gt;&lt;/contributors&gt;&lt;titles&gt;&lt;title&gt;Judge Voids Law Curbing Union Rights in Wisconsin&lt;/title&gt;&lt;secondary-title&gt;The New York Times&lt;/secondary-title&gt;&lt;/titles&gt;&lt;pages&gt;11&lt;/pages&gt;&lt;section&gt;National Desk&lt;/section&gt;&lt;dates&gt;&lt;year&gt;2011&lt;/year&gt;&lt;pub-dates&gt;&lt;date&gt;May 27&lt;/date&gt;&lt;/pub-dates&gt;&lt;/dates&gt;&lt;pub-location&gt;New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256C2EC0" w14:textId="77777777" w:rsidTr="0012433F">
        <w:tc>
          <w:tcPr>
            <w:tcW w:w="4585" w:type="dxa"/>
          </w:tcPr>
          <w:p w14:paraId="13698649" w14:textId="77777777" w:rsidR="0012433F" w:rsidRPr="005D3F76" w:rsidRDefault="0012433F" w:rsidP="0012433F">
            <w:pPr>
              <w:spacing w:after="120" w:line="240" w:lineRule="auto"/>
              <w:rPr>
                <w:rFonts w:cs="Times New Roman"/>
                <w:szCs w:val="24"/>
              </w:rPr>
            </w:pPr>
            <w:r w:rsidRPr="005D3F76">
              <w:rPr>
                <w:rFonts w:cs="Times New Roman"/>
                <w:szCs w:val="24"/>
              </w:rPr>
              <w:t>“Recall Battle In Wisconsin May Snarl Obama Camp”</w:t>
            </w:r>
          </w:p>
        </w:tc>
        <w:tc>
          <w:tcPr>
            <w:tcW w:w="1648" w:type="dxa"/>
          </w:tcPr>
          <w:p w14:paraId="52515657" w14:textId="77777777" w:rsidR="0012433F" w:rsidRPr="005D3F76" w:rsidRDefault="0012433F" w:rsidP="0012433F">
            <w:pPr>
              <w:spacing w:after="120" w:line="240" w:lineRule="auto"/>
              <w:jc w:val="center"/>
              <w:rPr>
                <w:rFonts w:cs="Times New Roman"/>
                <w:szCs w:val="24"/>
              </w:rPr>
            </w:pPr>
            <w:r w:rsidRPr="005D3F76">
              <w:rPr>
                <w:rFonts w:cs="Times New Roman"/>
                <w:szCs w:val="24"/>
              </w:rPr>
              <w:t>06/04/2012</w:t>
            </w:r>
          </w:p>
        </w:tc>
        <w:tc>
          <w:tcPr>
            <w:tcW w:w="3117" w:type="dxa"/>
          </w:tcPr>
          <w:p w14:paraId="156A2DD0" w14:textId="77777777" w:rsidR="0012433F" w:rsidRPr="005D3F76" w:rsidRDefault="0012433F" w:rsidP="0012433F">
            <w:pPr>
              <w:spacing w:after="120" w:line="240" w:lineRule="auto"/>
              <w:jc w:val="center"/>
              <w:rPr>
                <w:rFonts w:cs="Times New Roman"/>
                <w:szCs w:val="24"/>
              </w:rPr>
            </w:pPr>
            <w:r w:rsidRPr="005D3F76">
              <w:rPr>
                <w:rFonts w:cs="Times New Roman"/>
                <w:szCs w:val="24"/>
              </w:rPr>
              <w:t>Jeff Zeleny</w:t>
            </w:r>
            <w:r w:rsidRPr="005D3F76">
              <w:rPr>
                <w:rFonts w:cs="Times New Roman"/>
                <w:szCs w:val="24"/>
              </w:rPr>
              <w:fldChar w:fldCharType="begin"/>
            </w:r>
            <w:r w:rsidRPr="005D3F76">
              <w:rPr>
                <w:rFonts w:cs="Times New Roman"/>
                <w:szCs w:val="24"/>
              </w:rPr>
              <w:instrText xml:space="preserve"> ADDIN EN.CITE &lt;EndNote&gt;&lt;Cite Hidden="1"&gt;&lt;Author&gt;Zeleny&lt;/Author&gt;&lt;Year&gt;2012&lt;/Year&gt;&lt;RecNum&gt;91&lt;/RecNum&gt;&lt;record&gt;&lt;rec-number&gt;91&lt;/rec-number&gt;&lt;foreign-keys&gt;&lt;key app="EN" db-id="etwareaz8xpxz3et59b50d9vxrata9z2w2zt" timestamp="1455565202"&gt;91&lt;/key&gt;&lt;/foreign-keys&gt;&lt;ref-type name="Newspaper Article"&gt;23&lt;/ref-type&gt;&lt;contributors&gt;&lt;authors&gt;&lt;author&gt;Jeff Zeleny&lt;/author&gt;&lt;/authors&gt;&lt;/contributors&gt;&lt;titles&gt;&lt;title&gt;Recall Battle in Wisconsin May Snarl Obama Camp&lt;/title&gt;&lt;secondary-title&gt;The New York Times&lt;/secondary-title&gt;&lt;/titles&gt;&lt;pages&gt;12&lt;/pages&gt;&lt;section&gt;National Desk&lt;/section&gt;&lt;dates&gt;&lt;year&gt;2012&lt;/year&gt;&lt;pub-dates&gt;&lt;date&gt;June 4&lt;/date&gt;&lt;/pub-dates&gt;&lt;/dates&gt;&lt;pub-location&gt;New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7891C31A" w14:textId="77777777" w:rsidTr="0012433F">
        <w:tc>
          <w:tcPr>
            <w:tcW w:w="4585" w:type="dxa"/>
          </w:tcPr>
          <w:p w14:paraId="424A3957" w14:textId="77777777" w:rsidR="0012433F" w:rsidRPr="005D3F76" w:rsidRDefault="0012433F" w:rsidP="0012433F">
            <w:pPr>
              <w:spacing w:after="120" w:line="240" w:lineRule="auto"/>
              <w:rPr>
                <w:rFonts w:cs="Times New Roman"/>
                <w:szCs w:val="24"/>
              </w:rPr>
            </w:pPr>
            <w:r w:rsidRPr="005D3F76">
              <w:rPr>
                <w:rFonts w:cs="Times New Roman"/>
                <w:szCs w:val="24"/>
              </w:rPr>
              <w:t>“In Standoff, Latest Sign of Unions Under Siege”</w:t>
            </w:r>
          </w:p>
        </w:tc>
        <w:tc>
          <w:tcPr>
            <w:tcW w:w="1648" w:type="dxa"/>
          </w:tcPr>
          <w:p w14:paraId="3486A449" w14:textId="77777777" w:rsidR="0012433F" w:rsidRPr="005D3F76" w:rsidRDefault="0012433F" w:rsidP="0012433F">
            <w:pPr>
              <w:spacing w:after="120" w:line="240" w:lineRule="auto"/>
              <w:jc w:val="center"/>
              <w:rPr>
                <w:rFonts w:cs="Times New Roman"/>
                <w:szCs w:val="24"/>
              </w:rPr>
            </w:pPr>
            <w:r w:rsidRPr="005D3F76">
              <w:rPr>
                <w:rFonts w:cs="Times New Roman"/>
                <w:szCs w:val="24"/>
              </w:rPr>
              <w:t>09/11/2012</w:t>
            </w:r>
          </w:p>
        </w:tc>
        <w:tc>
          <w:tcPr>
            <w:tcW w:w="3117" w:type="dxa"/>
          </w:tcPr>
          <w:p w14:paraId="2C594AA7"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Greenhouse</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Hidden="1"&gt;&lt;Author&gt;Greenhouse&lt;/Author&gt;&lt;Year&gt;2012&lt;/Year&gt;&lt;RecNum&gt;92&lt;/RecNum&gt;&lt;record&gt;&lt;rec-number&gt;92&lt;/rec-number&gt;&lt;foreign-keys&gt;&lt;key app="EN" db-id="etwareaz8xpxz3et59b50d9vxrata9z2w2zt" timestamp="1455565255"&gt;92&lt;/key&gt;&lt;/foreign-keys&gt;&lt;ref-type name="Newspaper Article"&gt;23&lt;/ref-type&gt;&lt;contributors&gt;&lt;authors&gt;&lt;author&gt;Steven Greenhouse&lt;/author&gt;&lt;/authors&gt;&lt;/contributors&gt;&lt;titles&gt;&lt;title&gt;In Standoff, Latest Sign of Unions Under Siege&lt;/title&gt;&lt;secondary-title&gt;The New York Times&lt;/secondary-title&gt;&lt;/titles&gt;&lt;pages&gt;1&lt;/pages&gt;&lt;section&gt;National Desk&lt;/section&gt;&lt;dates&gt;&lt;year&gt;2012&lt;/year&gt;&lt;pub-dates&gt;&lt;date&gt;September 11&lt;/date&gt;&lt;/pub-dates&gt;&lt;/dates&gt;&lt;pub-location&gt;New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0769F791" w14:textId="77777777" w:rsidTr="0012433F">
        <w:tc>
          <w:tcPr>
            <w:tcW w:w="4585" w:type="dxa"/>
          </w:tcPr>
          <w:p w14:paraId="0AF6C5DE" w14:textId="77777777" w:rsidR="0012433F" w:rsidRPr="005D3F76" w:rsidRDefault="0012433F" w:rsidP="0012433F">
            <w:pPr>
              <w:spacing w:after="120" w:line="240" w:lineRule="auto"/>
              <w:rPr>
                <w:rFonts w:cs="Times New Roman"/>
                <w:szCs w:val="24"/>
              </w:rPr>
            </w:pPr>
            <w:r w:rsidRPr="005D3F76">
              <w:rPr>
                <w:rFonts w:cs="Times New Roman"/>
                <w:szCs w:val="24"/>
              </w:rPr>
              <w:t>“A Different Class Warfare”</w:t>
            </w:r>
          </w:p>
        </w:tc>
        <w:tc>
          <w:tcPr>
            <w:tcW w:w="1648" w:type="dxa"/>
          </w:tcPr>
          <w:p w14:paraId="38118E38" w14:textId="77777777" w:rsidR="0012433F" w:rsidRPr="005D3F76" w:rsidRDefault="0012433F" w:rsidP="0012433F">
            <w:pPr>
              <w:spacing w:after="120" w:line="240" w:lineRule="auto"/>
              <w:jc w:val="center"/>
              <w:rPr>
                <w:rFonts w:cs="Times New Roman"/>
                <w:szCs w:val="24"/>
              </w:rPr>
            </w:pPr>
            <w:r w:rsidRPr="005D3F76">
              <w:rPr>
                <w:rFonts w:cs="Times New Roman"/>
                <w:szCs w:val="24"/>
              </w:rPr>
              <w:t>09/26/2012</w:t>
            </w:r>
          </w:p>
        </w:tc>
        <w:tc>
          <w:tcPr>
            <w:tcW w:w="3117" w:type="dxa"/>
          </w:tcPr>
          <w:p w14:paraId="1489D981" w14:textId="77777777" w:rsidR="0012433F" w:rsidRPr="005D3F76" w:rsidRDefault="0012433F" w:rsidP="0012433F">
            <w:pPr>
              <w:spacing w:after="120" w:line="240" w:lineRule="auto"/>
              <w:jc w:val="center"/>
              <w:rPr>
                <w:rFonts w:cs="Times New Roman"/>
                <w:szCs w:val="24"/>
              </w:rPr>
            </w:pPr>
            <w:r w:rsidRPr="005D3F76">
              <w:rPr>
                <w:rFonts w:cs="Times New Roman"/>
                <w:szCs w:val="24"/>
              </w:rPr>
              <w:t>Trip Gabriel</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Hidden="1"&gt;&lt;Author&gt;Gabriel&lt;/Author&gt;&lt;Year&gt;2012&lt;/Year&gt;&lt;RecNum&gt;94&lt;/RecNum&gt;&lt;record&gt;&lt;rec-number&gt;94&lt;/rec-number&gt;&lt;foreign-keys&gt;&lt;key app="EN" db-id="etwareaz8xpxz3et59b50d9vxrata9z2w2zt" timestamp="1455565416"&gt;94&lt;/key&gt;&lt;/foreign-keys&gt;&lt;ref-type name="Newspaper Article"&gt;23&lt;/ref-type&gt;&lt;contributors&gt;&lt;authors&gt;&lt;author&gt;Trip Gabriel&lt;/author&gt;&lt;/authors&gt;&lt;/contributors&gt;&lt;titles&gt;&lt;title&gt;A Different Class Warfare&lt;/title&gt;&lt;secondary-title&gt;The New York Times&lt;/secondary-title&gt;&lt;/titles&gt;&lt;pages&gt;14&lt;/pages&gt;&lt;section&gt;The Caucus&lt;/section&gt;&lt;dates&gt;&lt;year&gt;2012&lt;/year&gt;&lt;pub-dates&gt;&lt;date&gt;September 26&lt;/date&gt;&lt;/pub-dates&gt;&lt;/dates&gt;&lt;pub-location&gt;New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54167706" w14:textId="77777777" w:rsidTr="0012433F">
        <w:tc>
          <w:tcPr>
            <w:tcW w:w="4585" w:type="dxa"/>
          </w:tcPr>
          <w:p w14:paraId="074B3704" w14:textId="77777777" w:rsidR="0012433F" w:rsidRPr="005D3F76" w:rsidRDefault="0012433F" w:rsidP="0012433F">
            <w:pPr>
              <w:spacing w:after="120" w:line="240" w:lineRule="auto"/>
              <w:rPr>
                <w:rFonts w:cs="Times New Roman"/>
                <w:szCs w:val="24"/>
              </w:rPr>
            </w:pPr>
            <w:r w:rsidRPr="005D3F76">
              <w:rPr>
                <w:rFonts w:cs="Times New Roman"/>
                <w:szCs w:val="24"/>
              </w:rPr>
              <w:t>“Seeking Growth, Nurses’ Federation Links to Teachers’ Union”</w:t>
            </w:r>
          </w:p>
        </w:tc>
        <w:tc>
          <w:tcPr>
            <w:tcW w:w="1648" w:type="dxa"/>
          </w:tcPr>
          <w:p w14:paraId="6B8A56EA" w14:textId="77777777" w:rsidR="0012433F" w:rsidRPr="005D3F76" w:rsidRDefault="0012433F" w:rsidP="0012433F">
            <w:pPr>
              <w:spacing w:after="120" w:line="240" w:lineRule="auto"/>
              <w:jc w:val="center"/>
              <w:rPr>
                <w:rFonts w:cs="Times New Roman"/>
                <w:szCs w:val="24"/>
              </w:rPr>
            </w:pPr>
            <w:r w:rsidRPr="005D3F76">
              <w:rPr>
                <w:rFonts w:cs="Times New Roman"/>
                <w:szCs w:val="24"/>
              </w:rPr>
              <w:t>02/14/2013</w:t>
            </w:r>
          </w:p>
        </w:tc>
        <w:tc>
          <w:tcPr>
            <w:tcW w:w="3117" w:type="dxa"/>
          </w:tcPr>
          <w:p w14:paraId="35352D45"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Greenhouse</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Hidden="1"&gt;&lt;Author&gt;Greenhouse&lt;/Author&gt;&lt;Year&gt;2013&lt;/Year&gt;&lt;RecNum&gt;95&lt;/RecNum&gt;&lt;record&gt;&lt;rec-number&gt;95&lt;/rec-number&gt;&lt;foreign-keys&gt;&lt;key app="EN" db-id="etwareaz8xpxz3et59b50d9vxrata9z2w2zt" timestamp="1455565889"&gt;95&lt;/key&gt;&lt;/foreign-keys&gt;&lt;ref-type name="Newspaper Article"&gt;23&lt;/ref-type&gt;&lt;contributors&gt;&lt;authors&gt;&lt;author&gt;Steven Greenhouse&lt;/author&gt;&lt;/authors&gt;&lt;/contributors&gt;&lt;titles&gt;&lt;title&gt;Seeking Growth, Nurses&amp;apos; Federation Links to Teachers&amp;apos; Union&lt;/title&gt;&lt;secondary-title&gt;The New York Times&lt;/secondary-title&gt;&lt;/titles&gt;&lt;pages&gt;4&lt;/pages&gt;&lt;section&gt;Business Finanacial Desk&lt;/section&gt;&lt;dates&gt;&lt;year&gt;2013&lt;/year&gt;&lt;pub-dates&gt;&lt;date&gt;February 14&lt;/date&gt;&lt;/pub-dates&gt;&lt;/dates&gt;&lt;pub-location&gt;New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42E61BFD" w14:textId="77777777" w:rsidTr="0012433F">
        <w:tc>
          <w:tcPr>
            <w:tcW w:w="4585" w:type="dxa"/>
          </w:tcPr>
          <w:p w14:paraId="7CE0FB8A" w14:textId="77777777" w:rsidR="0012433F" w:rsidRPr="005D3F76" w:rsidRDefault="0012433F" w:rsidP="0012433F">
            <w:pPr>
              <w:spacing w:after="120" w:line="240" w:lineRule="auto"/>
              <w:rPr>
                <w:rFonts w:cs="Times New Roman"/>
                <w:szCs w:val="24"/>
              </w:rPr>
            </w:pPr>
            <w:r w:rsidRPr="005D3F76">
              <w:rPr>
                <w:rFonts w:cs="Times New Roman"/>
                <w:szCs w:val="24"/>
              </w:rPr>
              <w:t>“Wisconsin Supreme Court Hearts Arguments on Collective Bargaining Law”</w:t>
            </w:r>
          </w:p>
        </w:tc>
        <w:tc>
          <w:tcPr>
            <w:tcW w:w="1648" w:type="dxa"/>
          </w:tcPr>
          <w:p w14:paraId="5E1EDF95" w14:textId="77777777" w:rsidR="0012433F" w:rsidRPr="005D3F76" w:rsidRDefault="0012433F" w:rsidP="0012433F">
            <w:pPr>
              <w:spacing w:after="120" w:line="240" w:lineRule="auto"/>
              <w:jc w:val="center"/>
              <w:rPr>
                <w:rFonts w:cs="Times New Roman"/>
                <w:szCs w:val="24"/>
              </w:rPr>
            </w:pPr>
            <w:r w:rsidRPr="005D3F76">
              <w:rPr>
                <w:rFonts w:cs="Times New Roman"/>
                <w:szCs w:val="24"/>
              </w:rPr>
              <w:t>11/12/2012</w:t>
            </w:r>
          </w:p>
        </w:tc>
        <w:tc>
          <w:tcPr>
            <w:tcW w:w="3117" w:type="dxa"/>
          </w:tcPr>
          <w:p w14:paraId="61743A1C"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Yaccino</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Hidden="1"&gt;&lt;Author&gt;Yaccino&lt;/Author&gt;&lt;Year&gt;2013&lt;/Year&gt;&lt;RecNum&gt;96&lt;/RecNum&gt;&lt;record&gt;&lt;rec-number&gt;96&lt;/rec-number&gt;&lt;foreign-keys&gt;&lt;key app="EN" db-id="etwareaz8xpxz3et59b50d9vxrata9z2w2zt" timestamp="1455565956"&gt;96&lt;/key&gt;&lt;/foreign-keys&gt;&lt;ref-type name="Newspaper Article"&gt;23&lt;/ref-type&gt;&lt;contributors&gt;&lt;authors&gt;&lt;author&gt;Steven Yaccino&lt;/author&gt;&lt;/authors&gt;&lt;/contributors&gt;&lt;titles&gt;&lt;title&gt;Wisconsin Supreme Court Hears Arguments on Collective Bargaining Law&lt;/title&gt;&lt;secondary-title&gt;The New York Times&lt;/secondary-title&gt;&lt;/titles&gt;&lt;pages&gt;15&lt;/pages&gt;&lt;section&gt;National Desk&lt;/section&gt;&lt;dates&gt;&lt;year&gt;2013&lt;/year&gt;&lt;pub-dates&gt;&lt;date&gt;November 12&lt;/date&gt;&lt;/pub-dates&gt;&lt;/dates&gt;&lt;pub-location&gt;New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2B2F4D30" w14:textId="77777777" w:rsidTr="0012433F">
        <w:tc>
          <w:tcPr>
            <w:tcW w:w="4585" w:type="dxa"/>
          </w:tcPr>
          <w:p w14:paraId="10CC8E42" w14:textId="77777777" w:rsidR="0012433F" w:rsidRPr="005D3F76" w:rsidRDefault="0012433F" w:rsidP="0012433F">
            <w:pPr>
              <w:spacing w:after="120" w:line="240" w:lineRule="auto"/>
              <w:rPr>
                <w:rFonts w:cs="Times New Roman"/>
                <w:szCs w:val="24"/>
              </w:rPr>
            </w:pPr>
            <w:r w:rsidRPr="005D3F76">
              <w:rPr>
                <w:rFonts w:cs="Times New Roman"/>
                <w:szCs w:val="24"/>
              </w:rPr>
              <w:t>“The Wisconsin Legacy”</w:t>
            </w:r>
          </w:p>
        </w:tc>
        <w:tc>
          <w:tcPr>
            <w:tcW w:w="1648" w:type="dxa"/>
          </w:tcPr>
          <w:p w14:paraId="127A292F" w14:textId="77777777" w:rsidR="0012433F" w:rsidRPr="005D3F76" w:rsidRDefault="0012433F" w:rsidP="0012433F">
            <w:pPr>
              <w:spacing w:after="120" w:line="240" w:lineRule="auto"/>
              <w:jc w:val="center"/>
              <w:rPr>
                <w:rFonts w:cs="Times New Roman"/>
                <w:szCs w:val="24"/>
              </w:rPr>
            </w:pPr>
            <w:r w:rsidRPr="005D3F76">
              <w:rPr>
                <w:rFonts w:cs="Times New Roman"/>
                <w:szCs w:val="24"/>
              </w:rPr>
              <w:t>02/23/2014</w:t>
            </w:r>
          </w:p>
        </w:tc>
        <w:tc>
          <w:tcPr>
            <w:tcW w:w="3117" w:type="dxa"/>
          </w:tcPr>
          <w:p w14:paraId="738AB42E"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Greenhouse</w:t>
            </w:r>
            <w:r w:rsidRPr="005D3F76">
              <w:rPr>
                <w:rFonts w:cs="Times New Roman"/>
                <w:szCs w:val="24"/>
              </w:rPr>
              <w:fldChar w:fldCharType="begin"/>
            </w:r>
            <w:r w:rsidRPr="005D3F76">
              <w:rPr>
                <w:rFonts w:cs="Times New Roman"/>
                <w:szCs w:val="24"/>
              </w:rPr>
              <w:instrText xml:space="preserve"> ADDIN EN.CITE &lt;EndNote&gt;&lt;Cite Hidden="1"&gt;&lt;Author&gt;Greenhouse&lt;/Author&gt;&lt;Year&gt;2014&lt;/Year&gt;&lt;RecNum&gt;97&lt;/RecNum&gt;&lt;record&gt;&lt;rec-number&gt;97&lt;/rec-number&gt;&lt;foreign-keys&gt;&lt;key app="EN" db-id="etwareaz8xpxz3et59b50d9vxrata9z2w2zt" timestamp="1455566249"&gt;97&lt;/key&gt;&lt;/foreign-keys&gt;&lt;ref-type name="Newspaper Article"&gt;23&lt;/ref-type&gt;&lt;contributors&gt;&lt;authors&gt;&lt;author&gt;Steven Greenhouse&lt;/author&gt;&lt;/authors&gt;&lt;/contributors&gt;&lt;titles&gt;&lt;title&gt;The Wisconsin Legacy&lt;/title&gt;&lt;secondary-title&gt;The New York Times&lt;/secondary-title&gt;&lt;/titles&gt;&lt;pages&gt;1&lt;/pages&gt;&lt;edition&gt;Money and Business Financial Desk&lt;/edition&gt;&lt;dates&gt;&lt;year&gt;2014&lt;/year&gt;&lt;pub-dates&gt;&lt;date&gt;February 23&lt;/date&gt;&lt;/pub-dates&gt;&lt;/dates&gt;&lt;pub-location&gt;New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6454EFC5" w14:textId="77777777" w:rsidTr="0012433F">
        <w:tc>
          <w:tcPr>
            <w:tcW w:w="4585" w:type="dxa"/>
          </w:tcPr>
          <w:p w14:paraId="50B0E34F" w14:textId="77777777" w:rsidR="0012433F" w:rsidRPr="005D3F76" w:rsidRDefault="0012433F" w:rsidP="0012433F">
            <w:pPr>
              <w:spacing w:after="120" w:line="240" w:lineRule="auto"/>
              <w:rPr>
                <w:rFonts w:cs="Times New Roman"/>
                <w:szCs w:val="24"/>
              </w:rPr>
            </w:pPr>
            <w:r w:rsidRPr="005D3F76">
              <w:rPr>
                <w:rFonts w:cs="Times New Roman"/>
                <w:szCs w:val="24"/>
              </w:rPr>
              <w:t>“Money Talks”</w:t>
            </w:r>
          </w:p>
        </w:tc>
        <w:tc>
          <w:tcPr>
            <w:tcW w:w="1648" w:type="dxa"/>
          </w:tcPr>
          <w:p w14:paraId="2D0D225F" w14:textId="77777777" w:rsidR="0012433F" w:rsidRPr="005D3F76" w:rsidRDefault="0012433F" w:rsidP="0012433F">
            <w:pPr>
              <w:spacing w:after="120" w:line="240" w:lineRule="auto"/>
              <w:jc w:val="center"/>
              <w:rPr>
                <w:rFonts w:cs="Times New Roman"/>
                <w:szCs w:val="24"/>
              </w:rPr>
            </w:pPr>
            <w:r w:rsidRPr="005D3F76">
              <w:rPr>
                <w:rFonts w:cs="Times New Roman"/>
                <w:szCs w:val="24"/>
              </w:rPr>
              <w:t>10/19/2014</w:t>
            </w:r>
          </w:p>
        </w:tc>
        <w:tc>
          <w:tcPr>
            <w:tcW w:w="3117" w:type="dxa"/>
          </w:tcPr>
          <w:p w14:paraId="6BEC53BA" w14:textId="77777777" w:rsidR="0012433F" w:rsidRPr="005D3F76" w:rsidRDefault="0012433F" w:rsidP="0012433F">
            <w:pPr>
              <w:spacing w:after="120" w:line="240" w:lineRule="auto"/>
              <w:jc w:val="center"/>
              <w:rPr>
                <w:rFonts w:cs="Times New Roman"/>
                <w:szCs w:val="24"/>
              </w:rPr>
            </w:pPr>
            <w:r w:rsidRPr="005D3F76">
              <w:rPr>
                <w:rFonts w:cs="Times New Roman"/>
                <w:szCs w:val="24"/>
              </w:rPr>
              <w:t>Jim Rutenberg</w:t>
            </w:r>
            <w:r w:rsidRPr="005D3F76">
              <w:rPr>
                <w:rFonts w:cs="Times New Roman"/>
                <w:szCs w:val="24"/>
              </w:rPr>
              <w:fldChar w:fldCharType="begin"/>
            </w:r>
            <w:r w:rsidRPr="005D3F76">
              <w:rPr>
                <w:rFonts w:cs="Times New Roman"/>
                <w:szCs w:val="24"/>
              </w:rPr>
              <w:instrText xml:space="preserve"> ADDIN EN.CITE &lt;EndNote&gt;&lt;Cite Hidden="1"&gt;&lt;Author&gt;Ruttenberg&lt;/Author&gt;&lt;Year&gt;2014&lt;/Year&gt;&lt;RecNum&gt;98&lt;/RecNum&gt;&lt;record&gt;&lt;rec-number&gt;98&lt;/rec-number&gt;&lt;foreign-keys&gt;&lt;key app="EN" db-id="etwareaz8xpxz3et59b50d9vxrata9z2w2zt" timestamp="1455566340"&gt;98&lt;/key&gt;&lt;/foreign-keys&gt;&lt;ref-type name="Newspaper Article"&gt;23&lt;/ref-type&gt;&lt;contributors&gt;&lt;authors&gt;&lt;author&gt;Jim Ruttenberg&lt;/author&gt;&lt;/authors&gt;&lt;/contributors&gt;&lt;titles&gt;&lt;title&gt;Money Talks&lt;/title&gt;&lt;secondary-title&gt;The New York Times&lt;/secondary-title&gt;&lt;/titles&gt;&lt;pages&gt;26&lt;/pages&gt;&lt;section&gt;Magazine Desk&lt;/section&gt;&lt;dates&gt;&lt;year&gt;2014&lt;/year&gt;&lt;pub-dates&gt;&lt;date&gt;October 19&lt;/date&gt;&lt;/pub-dates&gt;&lt;/dates&gt;&lt;pub-location&gt;New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18563A11" w14:textId="77777777" w:rsidTr="0012433F">
        <w:tc>
          <w:tcPr>
            <w:tcW w:w="4585" w:type="dxa"/>
          </w:tcPr>
          <w:p w14:paraId="297F334E" w14:textId="77777777" w:rsidR="0012433F" w:rsidRPr="005D3F76" w:rsidRDefault="0012433F" w:rsidP="0012433F">
            <w:pPr>
              <w:spacing w:after="120" w:line="240" w:lineRule="auto"/>
              <w:rPr>
                <w:rFonts w:cs="Times New Roman"/>
                <w:szCs w:val="24"/>
              </w:rPr>
            </w:pPr>
            <w:r w:rsidRPr="005D3F76">
              <w:rPr>
                <w:rFonts w:cs="Times New Roman"/>
                <w:szCs w:val="24"/>
              </w:rPr>
              <w:t>“Little Opposition Seen in Some Votes to Raise State Minimum Wages”</w:t>
            </w:r>
          </w:p>
        </w:tc>
        <w:tc>
          <w:tcPr>
            <w:tcW w:w="1648" w:type="dxa"/>
          </w:tcPr>
          <w:p w14:paraId="0FE00FE8" w14:textId="77777777" w:rsidR="0012433F" w:rsidRPr="005D3F76" w:rsidRDefault="0012433F" w:rsidP="0012433F">
            <w:pPr>
              <w:spacing w:after="120" w:line="240" w:lineRule="auto"/>
              <w:jc w:val="center"/>
              <w:rPr>
                <w:rFonts w:cs="Times New Roman"/>
                <w:szCs w:val="24"/>
              </w:rPr>
            </w:pPr>
            <w:r w:rsidRPr="005D3F76">
              <w:rPr>
                <w:rFonts w:cs="Times New Roman"/>
                <w:szCs w:val="24"/>
              </w:rPr>
              <w:t>11/04/2014</w:t>
            </w:r>
          </w:p>
        </w:tc>
        <w:tc>
          <w:tcPr>
            <w:tcW w:w="3117" w:type="dxa"/>
          </w:tcPr>
          <w:p w14:paraId="21CEDF38"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Greenhouse</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Hidden="1"&gt;&lt;Author&gt;Greenhouse&lt;/Author&gt;&lt;Year&gt;2014&lt;/Year&gt;&lt;RecNum&gt;99&lt;/RecNum&gt;&lt;record&gt;&lt;rec-number&gt;99&lt;/rec-number&gt;&lt;foreign-keys&gt;&lt;key app="EN" db-id="etwareaz8xpxz3et59b50d9vxrata9z2w2zt" timestamp="1455566408"&gt;99&lt;/key&gt;&lt;/foreign-keys&gt;&lt;ref-type name="Newspaper Article"&gt;23&lt;/ref-type&gt;&lt;contributors&gt;&lt;authors&gt;&lt;author&gt;Steven Greenhouse&lt;/author&gt;&lt;/authors&gt;&lt;/contributors&gt;&lt;titles&gt;&lt;title&gt;Little Opposition Seen in Some Votes to Raise State Minimum Wages&lt;/title&gt;&lt;secondary-title&gt;The New York Times&lt;/secondary-title&gt;&lt;/titles&gt;&lt;pages&gt;3&lt;/pages&gt;&lt;section&gt;Business Financial Desk&lt;/section&gt;&lt;dates&gt;&lt;year&gt;2014&lt;/year&gt;&lt;pub-dates&gt;&lt;date&gt;November 4&lt;/date&gt;&lt;/pub-dates&gt;&lt;/dates&gt;&lt;pub-location&gt;New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62A98303" w14:textId="77777777" w:rsidTr="0012433F">
        <w:tc>
          <w:tcPr>
            <w:tcW w:w="4585" w:type="dxa"/>
          </w:tcPr>
          <w:p w14:paraId="3EFE6608" w14:textId="77777777" w:rsidR="0012433F" w:rsidRPr="005D3F76" w:rsidRDefault="0012433F" w:rsidP="0012433F">
            <w:pPr>
              <w:spacing w:after="120" w:line="240" w:lineRule="auto"/>
              <w:rPr>
                <w:rFonts w:cs="Times New Roman"/>
                <w:szCs w:val="24"/>
              </w:rPr>
            </w:pPr>
            <w:r w:rsidRPr="005D3F76">
              <w:rPr>
                <w:rFonts w:cs="Times New Roman"/>
                <w:szCs w:val="24"/>
              </w:rPr>
              <w:t>“Republicans Sure Love to Hate Unions”</w:t>
            </w:r>
          </w:p>
        </w:tc>
        <w:tc>
          <w:tcPr>
            <w:tcW w:w="1648" w:type="dxa"/>
          </w:tcPr>
          <w:p w14:paraId="409D222A" w14:textId="77777777" w:rsidR="0012433F" w:rsidRPr="005D3F76" w:rsidRDefault="0012433F" w:rsidP="0012433F">
            <w:pPr>
              <w:spacing w:after="120" w:line="240" w:lineRule="auto"/>
              <w:jc w:val="center"/>
              <w:rPr>
                <w:rFonts w:cs="Times New Roman"/>
                <w:szCs w:val="24"/>
              </w:rPr>
            </w:pPr>
            <w:r w:rsidRPr="005D3F76">
              <w:rPr>
                <w:rFonts w:cs="Times New Roman"/>
                <w:szCs w:val="24"/>
              </w:rPr>
              <w:t>11/19/2014</w:t>
            </w:r>
          </w:p>
        </w:tc>
        <w:tc>
          <w:tcPr>
            <w:tcW w:w="3117" w:type="dxa"/>
          </w:tcPr>
          <w:p w14:paraId="67347641" w14:textId="77777777" w:rsidR="0012433F" w:rsidRPr="005D3F76" w:rsidRDefault="0012433F" w:rsidP="0012433F">
            <w:pPr>
              <w:spacing w:after="120" w:line="240" w:lineRule="auto"/>
              <w:jc w:val="center"/>
              <w:rPr>
                <w:rFonts w:cs="Times New Roman"/>
                <w:szCs w:val="24"/>
              </w:rPr>
            </w:pPr>
            <w:r w:rsidRPr="005D3F76">
              <w:rPr>
                <w:rFonts w:cs="Times New Roman"/>
                <w:szCs w:val="24"/>
              </w:rPr>
              <w:t>Thomas B. Edsall</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Hidden="1"&gt;&lt;Author&gt;Edsall&lt;/Author&gt;&lt;Year&gt;2014&lt;/Year&gt;&lt;RecNum&gt;100&lt;/RecNum&gt;&lt;record&gt;&lt;rec-number&gt;100&lt;/rec-number&gt;&lt;foreign-keys&gt;&lt;key app="EN" db-id="etwareaz8xpxz3et59b50d9vxrata9z2w2zt" timestamp="1455566496"&gt;100&lt;/key&gt;&lt;/foreign-keys&gt;&lt;ref-type name="Newspaper Article"&gt;23&lt;/ref-type&gt;&lt;contributors&gt;&lt;authors&gt;&lt;author&gt;Thomas B Edsall&lt;/author&gt;&lt;/authors&gt;&lt;/contributors&gt;&lt;titles&gt;&lt;title&gt;Republicans Sure Love to Hate Unions&lt;/title&gt;&lt;secondary-title&gt;The New York Times&lt;/secondary-title&gt;&lt;/titles&gt;&lt;pages&gt;1&lt;/pages&gt;&lt;section&gt;Op-Ed&lt;/section&gt;&lt;dates&gt;&lt;year&gt;2014&lt;/year&gt;&lt;pub-dates&gt;&lt;date&gt;November 19&lt;/date&gt;&lt;/pub-dates&gt;&lt;/dates&gt;&lt;pub-location&gt;New York&lt;/pub-location&gt;&lt;urls&gt;&lt;/urls&gt;&lt;/record&gt;&lt;/Cite&gt;&lt;/EndNote&gt;</w:instrText>
            </w:r>
            <w:r w:rsidRPr="005D3F76">
              <w:rPr>
                <w:rFonts w:cs="Times New Roman"/>
                <w:szCs w:val="24"/>
              </w:rPr>
              <w:fldChar w:fldCharType="end"/>
            </w:r>
          </w:p>
        </w:tc>
      </w:tr>
      <w:tr w:rsidR="0012433F" w:rsidRPr="005D3F76" w14:paraId="53272430" w14:textId="77777777" w:rsidTr="0012433F">
        <w:tc>
          <w:tcPr>
            <w:tcW w:w="4585" w:type="dxa"/>
          </w:tcPr>
          <w:p w14:paraId="1C13FD68" w14:textId="77777777" w:rsidR="0012433F" w:rsidRPr="005D3F76" w:rsidRDefault="0012433F" w:rsidP="0012433F">
            <w:pPr>
              <w:spacing w:after="120" w:line="240" w:lineRule="auto"/>
              <w:rPr>
                <w:rFonts w:cs="Times New Roman"/>
                <w:szCs w:val="24"/>
              </w:rPr>
            </w:pPr>
            <w:r w:rsidRPr="005D3F76">
              <w:rPr>
                <w:rFonts w:cs="Times New Roman"/>
                <w:szCs w:val="24"/>
              </w:rPr>
              <w:t>“Obama Orders Federal Contractors to Provide Workers Paid Sick Leave”</w:t>
            </w:r>
          </w:p>
        </w:tc>
        <w:tc>
          <w:tcPr>
            <w:tcW w:w="1648" w:type="dxa"/>
          </w:tcPr>
          <w:p w14:paraId="45ED4729" w14:textId="77777777" w:rsidR="0012433F" w:rsidRPr="005D3F76" w:rsidRDefault="0012433F" w:rsidP="0012433F">
            <w:pPr>
              <w:spacing w:after="120" w:line="240" w:lineRule="auto"/>
              <w:jc w:val="center"/>
              <w:rPr>
                <w:rFonts w:cs="Times New Roman"/>
                <w:szCs w:val="24"/>
              </w:rPr>
            </w:pPr>
            <w:r w:rsidRPr="005D3F76">
              <w:rPr>
                <w:rFonts w:cs="Times New Roman"/>
                <w:szCs w:val="24"/>
              </w:rPr>
              <w:t>09/08/2015</w:t>
            </w:r>
          </w:p>
        </w:tc>
        <w:tc>
          <w:tcPr>
            <w:tcW w:w="3117" w:type="dxa"/>
          </w:tcPr>
          <w:p w14:paraId="3ACFDB91" w14:textId="77777777" w:rsidR="0012433F" w:rsidRPr="005D3F76" w:rsidRDefault="0012433F" w:rsidP="0012433F">
            <w:pPr>
              <w:spacing w:after="120" w:line="240" w:lineRule="auto"/>
              <w:jc w:val="center"/>
              <w:rPr>
                <w:rFonts w:cs="Times New Roman"/>
                <w:szCs w:val="24"/>
              </w:rPr>
            </w:pPr>
            <w:r w:rsidRPr="005D3F76">
              <w:rPr>
                <w:rFonts w:cs="Times New Roman"/>
                <w:szCs w:val="24"/>
              </w:rPr>
              <w:t>Peter Baker</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Hidden="1"&gt;&lt;Author&gt;Baker&lt;/Author&gt;&lt;Year&gt;2015&lt;/Year&gt;&lt;RecNum&gt;102&lt;/RecNum&gt;&lt;record&gt;&lt;rec-number&gt;102&lt;/rec-number&gt;&lt;foreign-keys&gt;&lt;key app="EN" db-id="etwareaz8xpxz3et59b50d9vxrata9z2w2zt" timestamp="1455566626"&gt;102&lt;/key&gt;&lt;/foreign-keys&gt;&lt;ref-type name="Newspaper Article"&gt;23&lt;/ref-type&gt;&lt;contributors&gt;&lt;authors&gt;&lt;author&gt;Peter Baker&lt;/author&gt;&lt;/authors&gt;&lt;/contributors&gt;&lt;titles&gt;&lt;title&gt;Obama Orders Federal Contractors to Provide Workers Paid Sick Leave&lt;/title&gt;&lt;secondary-title&gt;The New York Times&lt;/secondary-title&gt;&lt;/titles&gt;&lt;pages&gt;20&lt;/pages&gt;&lt;section&gt;National Desk&lt;/section&gt;&lt;dates&gt;&lt;year&gt;2015&lt;/year&gt;&lt;pub-dates&gt;&lt;date&gt;September 8&lt;/date&gt;&lt;/pub-dates&gt;&lt;/dates&gt;&lt;pub-location&gt;New York&lt;/pub-location&gt;&lt;urls&gt;&lt;/urls&gt;&lt;/record&gt;&lt;/Cite&gt;&lt;/EndNote&gt;</w:instrText>
            </w:r>
            <w:r w:rsidRPr="005D3F76">
              <w:rPr>
                <w:rFonts w:cs="Times New Roman"/>
                <w:szCs w:val="24"/>
              </w:rPr>
              <w:fldChar w:fldCharType="end"/>
            </w:r>
          </w:p>
        </w:tc>
      </w:tr>
    </w:tbl>
    <w:p w14:paraId="1FA42F77" w14:textId="77777777" w:rsidR="0012433F" w:rsidRPr="005D3F76" w:rsidRDefault="0012433F" w:rsidP="0012433F">
      <w:pPr>
        <w:pStyle w:val="EndnoteText"/>
        <w:rPr>
          <w:rFonts w:cs="Times New Roman"/>
          <w:sz w:val="24"/>
          <w:szCs w:val="24"/>
        </w:rPr>
      </w:pPr>
    </w:p>
    <w:p w14:paraId="78BD9C87" w14:textId="77777777" w:rsidR="0012433F" w:rsidRPr="005D3F76" w:rsidRDefault="0012433F" w:rsidP="0012433F">
      <w:pPr>
        <w:pStyle w:val="EndnoteText"/>
        <w:rPr>
          <w:rFonts w:cs="Times New Roman"/>
          <w:sz w:val="24"/>
          <w:szCs w:val="24"/>
        </w:rPr>
      </w:pPr>
    </w:p>
    <w:p w14:paraId="1CE9B2E3" w14:textId="77777777" w:rsidR="003D72CB" w:rsidRPr="005D3F76" w:rsidRDefault="003D72CB">
      <w:pPr>
        <w:spacing w:after="160" w:line="259" w:lineRule="auto"/>
        <w:rPr>
          <w:rFonts w:cs="Times New Roman"/>
          <w:szCs w:val="24"/>
        </w:rPr>
      </w:pPr>
      <w:r w:rsidRPr="005D3F76">
        <w:rPr>
          <w:rFonts w:cs="Times New Roman"/>
          <w:szCs w:val="24"/>
        </w:rPr>
        <w:br w:type="page"/>
      </w:r>
    </w:p>
    <w:p w14:paraId="1D2ADF01" w14:textId="595B416C" w:rsidR="0012433F" w:rsidRPr="005D3F76" w:rsidRDefault="0012433F" w:rsidP="0012433F">
      <w:pPr>
        <w:pStyle w:val="EndnoteText"/>
        <w:rPr>
          <w:rFonts w:cs="Times New Roman"/>
          <w:sz w:val="24"/>
          <w:szCs w:val="24"/>
        </w:rPr>
      </w:pPr>
      <w:r w:rsidRPr="005D3F76">
        <w:rPr>
          <w:rFonts w:cs="Times New Roman"/>
          <w:sz w:val="24"/>
          <w:szCs w:val="24"/>
        </w:rPr>
        <w:lastRenderedPageBreak/>
        <w:t xml:space="preserve">Table 3: </w:t>
      </w:r>
      <w:r w:rsidRPr="005D3F76">
        <w:rPr>
          <w:rFonts w:cs="Times New Roman"/>
          <w:i/>
          <w:sz w:val="24"/>
          <w:szCs w:val="24"/>
        </w:rPr>
        <w:t>Wisconsin State Journal</w:t>
      </w:r>
      <w:r w:rsidRPr="005D3F76">
        <w:rPr>
          <w:rFonts w:cs="Times New Roman"/>
          <w:sz w:val="24"/>
          <w:szCs w:val="24"/>
        </w:rPr>
        <w:t xml:space="preserve"> Articles</w:t>
      </w:r>
    </w:p>
    <w:tbl>
      <w:tblPr>
        <w:tblStyle w:val="TableGrid"/>
        <w:tblW w:w="0" w:type="auto"/>
        <w:tblLook w:val="04A0" w:firstRow="1" w:lastRow="0" w:firstColumn="1" w:lastColumn="0" w:noHBand="0" w:noVBand="1"/>
      </w:tblPr>
      <w:tblGrid>
        <w:gridCol w:w="4675"/>
        <w:gridCol w:w="1558"/>
        <w:gridCol w:w="3117"/>
      </w:tblGrid>
      <w:tr w:rsidR="0012433F" w:rsidRPr="005D3F76" w14:paraId="4CF537BF" w14:textId="77777777" w:rsidTr="0012433F">
        <w:tc>
          <w:tcPr>
            <w:tcW w:w="4675" w:type="dxa"/>
          </w:tcPr>
          <w:p w14:paraId="10B9FBDD" w14:textId="77777777" w:rsidR="0012433F" w:rsidRPr="005D3F76" w:rsidRDefault="0012433F" w:rsidP="0012433F">
            <w:pPr>
              <w:spacing w:after="120" w:line="240" w:lineRule="auto"/>
              <w:jc w:val="center"/>
              <w:rPr>
                <w:rFonts w:cs="Times New Roman"/>
                <w:b/>
                <w:szCs w:val="24"/>
              </w:rPr>
            </w:pPr>
            <w:r w:rsidRPr="005D3F76">
              <w:rPr>
                <w:rFonts w:cs="Times New Roman"/>
                <w:b/>
                <w:szCs w:val="24"/>
              </w:rPr>
              <w:t>Title</w:t>
            </w:r>
          </w:p>
        </w:tc>
        <w:tc>
          <w:tcPr>
            <w:tcW w:w="1558" w:type="dxa"/>
          </w:tcPr>
          <w:p w14:paraId="4A00003C" w14:textId="77777777" w:rsidR="0012433F" w:rsidRPr="005D3F76" w:rsidRDefault="0012433F" w:rsidP="0012433F">
            <w:pPr>
              <w:spacing w:after="120" w:line="240" w:lineRule="auto"/>
              <w:jc w:val="center"/>
              <w:rPr>
                <w:rFonts w:cs="Times New Roman"/>
                <w:b/>
                <w:szCs w:val="24"/>
              </w:rPr>
            </w:pPr>
            <w:r w:rsidRPr="005D3F76">
              <w:rPr>
                <w:rFonts w:cs="Times New Roman"/>
                <w:b/>
                <w:szCs w:val="24"/>
              </w:rPr>
              <w:t>Date</w:t>
            </w:r>
          </w:p>
        </w:tc>
        <w:tc>
          <w:tcPr>
            <w:tcW w:w="3117" w:type="dxa"/>
          </w:tcPr>
          <w:p w14:paraId="7D15EB6A" w14:textId="77777777" w:rsidR="0012433F" w:rsidRPr="005D3F76" w:rsidRDefault="0012433F" w:rsidP="0012433F">
            <w:pPr>
              <w:spacing w:after="120" w:line="240" w:lineRule="auto"/>
              <w:jc w:val="center"/>
              <w:rPr>
                <w:rFonts w:cs="Times New Roman"/>
                <w:b/>
                <w:szCs w:val="24"/>
              </w:rPr>
            </w:pPr>
            <w:r w:rsidRPr="005D3F76">
              <w:rPr>
                <w:rFonts w:cs="Times New Roman"/>
                <w:b/>
                <w:szCs w:val="24"/>
              </w:rPr>
              <w:t>Author</w:t>
            </w:r>
          </w:p>
        </w:tc>
      </w:tr>
      <w:tr w:rsidR="0012433F" w:rsidRPr="005D3F76" w14:paraId="58CDAA5A" w14:textId="77777777" w:rsidTr="0012433F">
        <w:tc>
          <w:tcPr>
            <w:tcW w:w="4675" w:type="dxa"/>
          </w:tcPr>
          <w:p w14:paraId="76686623" w14:textId="77777777" w:rsidR="0012433F" w:rsidRPr="005D3F76" w:rsidRDefault="0012433F" w:rsidP="0012433F">
            <w:pPr>
              <w:spacing w:after="120" w:line="240" w:lineRule="auto"/>
              <w:rPr>
                <w:rFonts w:cs="Times New Roman"/>
                <w:szCs w:val="24"/>
              </w:rPr>
            </w:pPr>
            <w:r w:rsidRPr="005D3F76">
              <w:rPr>
                <w:rFonts w:cs="Times New Roman"/>
                <w:szCs w:val="24"/>
              </w:rPr>
              <w:t>“Union Plan Too Late To Help Schools”</w:t>
            </w:r>
          </w:p>
        </w:tc>
        <w:tc>
          <w:tcPr>
            <w:tcW w:w="1558" w:type="dxa"/>
          </w:tcPr>
          <w:p w14:paraId="1E233F0F" w14:textId="77777777" w:rsidR="0012433F" w:rsidRPr="005D3F76" w:rsidRDefault="0012433F" w:rsidP="0012433F">
            <w:pPr>
              <w:spacing w:after="120" w:line="240" w:lineRule="auto"/>
              <w:jc w:val="center"/>
              <w:rPr>
                <w:rFonts w:cs="Times New Roman"/>
                <w:szCs w:val="24"/>
              </w:rPr>
            </w:pPr>
            <w:r w:rsidRPr="005D3F76">
              <w:rPr>
                <w:rFonts w:cs="Times New Roman"/>
                <w:szCs w:val="24"/>
              </w:rPr>
              <w:t>02/13/2011</w:t>
            </w:r>
          </w:p>
        </w:tc>
        <w:tc>
          <w:tcPr>
            <w:tcW w:w="3117" w:type="dxa"/>
          </w:tcPr>
          <w:p w14:paraId="4936DD1E" w14:textId="77777777" w:rsidR="0012433F" w:rsidRPr="005D3F76" w:rsidRDefault="0012433F" w:rsidP="0012433F">
            <w:pPr>
              <w:spacing w:after="120" w:line="240" w:lineRule="auto"/>
              <w:jc w:val="center"/>
              <w:rPr>
                <w:rFonts w:cs="Times New Roman"/>
                <w:szCs w:val="24"/>
              </w:rPr>
            </w:pPr>
            <w:r w:rsidRPr="005D3F76">
              <w:rPr>
                <w:rFonts w:cs="Times New Roman"/>
                <w:szCs w:val="24"/>
              </w:rPr>
              <w:t>Chris Rickert</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Hidden="1"&gt;&lt;Author&gt;Rickert&lt;/Author&gt;&lt;Year&gt;2011&lt;/Year&gt;&lt;RecNum&gt;130&lt;/RecNum&gt;&lt;record&gt;&lt;rec-number&gt;130&lt;/rec-number&gt;&lt;foreign-keys&gt;&lt;key app="EN" db-id="etwareaz8xpxz3et59b50d9vxrata9z2w2zt" timestamp="1455584934"&gt;130&lt;/key&gt;&lt;/foreign-keys&gt;&lt;ref-type name="Newspaper Article"&gt;23&lt;/ref-type&gt;&lt;contributors&gt;&lt;authors&gt;&lt;author&gt;Chris Rickert&lt;/author&gt;&lt;/authors&gt;&lt;/contributors&gt;&lt;titles&gt;&lt;title&gt;Union Plan Too Late to Help Schools&lt;/title&gt;&lt;secondary-title&gt;Wisconsin State Journal&lt;/secondary-title&gt;&lt;/titles&gt;&lt;pages&gt;C1&lt;/pages&gt;&lt;section&gt;Local Sunday&lt;/section&gt;&lt;dates&gt;&lt;year&gt;2011&lt;/year&gt;&lt;pub-dates&gt;&lt;date&gt;February 13&lt;/date&gt;&lt;/pub-dates&gt;&lt;/dates&gt;&lt;pub-location&gt;Madison,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24A9246F" w14:textId="77777777" w:rsidTr="0012433F">
        <w:tc>
          <w:tcPr>
            <w:tcW w:w="4675" w:type="dxa"/>
          </w:tcPr>
          <w:p w14:paraId="650D3275" w14:textId="77777777" w:rsidR="0012433F" w:rsidRPr="005D3F76" w:rsidRDefault="0012433F" w:rsidP="0012433F">
            <w:pPr>
              <w:spacing w:after="120" w:line="240" w:lineRule="auto"/>
              <w:rPr>
                <w:rFonts w:cs="Times New Roman"/>
                <w:szCs w:val="24"/>
              </w:rPr>
            </w:pPr>
            <w:r w:rsidRPr="005D3F76">
              <w:rPr>
                <w:rFonts w:cs="Times New Roman"/>
                <w:szCs w:val="24"/>
              </w:rPr>
              <w:t>“Anatomy Of A Protest; It Began With A Simple March And Evolved Into A National Fight For Labor Rights, Today, We Dissect The Movement; State Budget Crisis”</w:t>
            </w:r>
          </w:p>
        </w:tc>
        <w:tc>
          <w:tcPr>
            <w:tcW w:w="1558" w:type="dxa"/>
          </w:tcPr>
          <w:p w14:paraId="4655A4B2" w14:textId="77777777" w:rsidR="0012433F" w:rsidRPr="005D3F76" w:rsidRDefault="0012433F" w:rsidP="0012433F">
            <w:pPr>
              <w:spacing w:after="120" w:line="240" w:lineRule="auto"/>
              <w:jc w:val="center"/>
              <w:rPr>
                <w:rFonts w:cs="Times New Roman"/>
                <w:szCs w:val="24"/>
              </w:rPr>
            </w:pPr>
            <w:r w:rsidRPr="005D3F76">
              <w:rPr>
                <w:rFonts w:cs="Times New Roman"/>
                <w:szCs w:val="24"/>
              </w:rPr>
              <w:t>02/27/2011</w:t>
            </w:r>
          </w:p>
        </w:tc>
        <w:tc>
          <w:tcPr>
            <w:tcW w:w="3117" w:type="dxa"/>
          </w:tcPr>
          <w:p w14:paraId="5E9C139C" w14:textId="77777777" w:rsidR="0012433F" w:rsidRPr="005D3F76" w:rsidRDefault="0012433F" w:rsidP="0012433F">
            <w:pPr>
              <w:spacing w:after="120" w:line="240" w:lineRule="auto"/>
              <w:jc w:val="center"/>
              <w:rPr>
                <w:rFonts w:cs="Times New Roman"/>
                <w:szCs w:val="24"/>
              </w:rPr>
            </w:pPr>
            <w:r w:rsidRPr="005D3F76">
              <w:rPr>
                <w:rFonts w:cs="Times New Roman"/>
                <w:szCs w:val="24"/>
              </w:rPr>
              <w:t>Dan Simmons</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Hidden="1"&gt;&lt;Author&gt;Simmons&lt;/Author&gt;&lt;Year&gt;2011&lt;/Year&gt;&lt;RecNum&gt;128&lt;/RecNum&gt;&lt;record&gt;&lt;rec-number&gt;128&lt;/rec-number&gt;&lt;foreign-keys&gt;&lt;key app="EN" db-id="etwareaz8xpxz3et59b50d9vxrata9z2w2zt" timestamp="1455584757"&gt;128&lt;/key&gt;&lt;/foreign-keys&gt;&lt;ref-type name="Newspaper Article"&gt;23&lt;/ref-type&gt;&lt;contributors&gt;&lt;authors&gt;&lt;author&gt;Dan Simmons&lt;/author&gt;&lt;/authors&gt;&lt;/contributors&gt;&lt;titles&gt;&lt;title&gt;Anatonmy of a Protest: It Began with a Simple March and Evolved into a National Fight for Labor Rights Today. We Dissect the Movement: State Budget Crisis&lt;/title&gt;&lt;secondary-title&gt;Wisconsin State Journal&lt;/secondary-title&gt;&lt;/titles&gt;&lt;pages&gt;A1&lt;/pages&gt;&lt;section&gt;Front&lt;/section&gt;&lt;dates&gt;&lt;year&gt;2011&lt;/year&gt;&lt;pub-dates&gt;&lt;date&gt;February 27&lt;/date&gt;&lt;/pub-dates&gt;&lt;/dates&gt;&lt;pub-location&gt;Madison,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57452F09" w14:textId="77777777" w:rsidTr="0012433F">
        <w:tc>
          <w:tcPr>
            <w:tcW w:w="4675" w:type="dxa"/>
          </w:tcPr>
          <w:p w14:paraId="07E78B39" w14:textId="77777777" w:rsidR="0012433F" w:rsidRPr="005D3F76" w:rsidRDefault="0012433F" w:rsidP="0012433F">
            <w:pPr>
              <w:spacing w:after="120" w:line="240" w:lineRule="auto"/>
              <w:rPr>
                <w:rFonts w:cs="Times New Roman"/>
                <w:szCs w:val="24"/>
              </w:rPr>
            </w:pPr>
            <w:r w:rsidRPr="005D3F76">
              <w:rPr>
                <w:rFonts w:cs="Times New Roman"/>
                <w:szCs w:val="24"/>
              </w:rPr>
              <w:t>“Education Solutions Will Have To Wait”</w:t>
            </w:r>
          </w:p>
        </w:tc>
        <w:tc>
          <w:tcPr>
            <w:tcW w:w="1558" w:type="dxa"/>
          </w:tcPr>
          <w:p w14:paraId="58D4B577" w14:textId="77777777" w:rsidR="0012433F" w:rsidRPr="005D3F76" w:rsidRDefault="0012433F" w:rsidP="0012433F">
            <w:pPr>
              <w:spacing w:after="120" w:line="240" w:lineRule="auto"/>
              <w:jc w:val="center"/>
              <w:rPr>
                <w:rFonts w:cs="Times New Roman"/>
                <w:szCs w:val="24"/>
              </w:rPr>
            </w:pPr>
            <w:r w:rsidRPr="005D3F76">
              <w:rPr>
                <w:rFonts w:cs="Times New Roman"/>
                <w:szCs w:val="24"/>
              </w:rPr>
              <w:t>03/19/2011</w:t>
            </w:r>
          </w:p>
        </w:tc>
        <w:tc>
          <w:tcPr>
            <w:tcW w:w="3117" w:type="dxa"/>
          </w:tcPr>
          <w:p w14:paraId="73427310" w14:textId="77777777" w:rsidR="0012433F" w:rsidRPr="005D3F76" w:rsidRDefault="0012433F" w:rsidP="0012433F">
            <w:pPr>
              <w:spacing w:after="120" w:line="240" w:lineRule="auto"/>
              <w:jc w:val="center"/>
              <w:rPr>
                <w:rFonts w:cs="Times New Roman"/>
                <w:szCs w:val="24"/>
              </w:rPr>
            </w:pPr>
            <w:r w:rsidRPr="005D3F76">
              <w:rPr>
                <w:rFonts w:cs="Times New Roman"/>
                <w:szCs w:val="24"/>
              </w:rPr>
              <w:t>Chris Rickert</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Hidden="1"&gt;&lt;Author&gt;Rickert&lt;/Author&gt;&lt;Year&gt;2011&lt;/Year&gt;&lt;RecNum&gt;127&lt;/RecNum&gt;&lt;record&gt;&lt;rec-number&gt;127&lt;/rec-number&gt;&lt;foreign-keys&gt;&lt;key app="EN" db-id="etwareaz8xpxz3et59b50d9vxrata9z2w2zt" timestamp="1455584661"&gt;127&lt;/key&gt;&lt;/foreign-keys&gt;&lt;ref-type name="Newspaper Article"&gt;23&lt;/ref-type&gt;&lt;contributors&gt;&lt;authors&gt;&lt;author&gt;Chris Rickert&lt;/author&gt;&lt;/authors&gt;&lt;/contributors&gt;&lt;titles&gt;&lt;title&gt;Education Solutions Will Have to Wait&lt;/title&gt;&lt;secondary-title&gt;Wisconsin State Journal&lt;/secondary-title&gt;&lt;/titles&gt;&lt;pages&gt;A2&lt;/pages&gt;&lt;section&gt;Local&lt;/section&gt;&lt;dates&gt;&lt;year&gt;2011&lt;/year&gt;&lt;pub-dates&gt;&lt;date&gt;March 19&lt;/date&gt;&lt;/pub-dates&gt;&lt;/dates&gt;&lt;pub-location&gt;Madison,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70FA0254" w14:textId="77777777" w:rsidTr="0012433F">
        <w:tc>
          <w:tcPr>
            <w:tcW w:w="4675" w:type="dxa"/>
          </w:tcPr>
          <w:p w14:paraId="142A60C9" w14:textId="77777777" w:rsidR="0012433F" w:rsidRPr="005D3F76" w:rsidRDefault="0012433F" w:rsidP="0012433F">
            <w:pPr>
              <w:spacing w:after="120" w:line="240" w:lineRule="auto"/>
              <w:rPr>
                <w:rFonts w:cs="Times New Roman"/>
                <w:szCs w:val="24"/>
              </w:rPr>
            </w:pPr>
            <w:r w:rsidRPr="005D3F76">
              <w:rPr>
                <w:rFonts w:cs="Times New Roman"/>
                <w:szCs w:val="24"/>
              </w:rPr>
              <w:t>“Districts Asked To Identify Teachers Who Protested; Many Have Complied, But Madison Officials Refuse, Citing Safety Concerns”</w:t>
            </w:r>
          </w:p>
        </w:tc>
        <w:tc>
          <w:tcPr>
            <w:tcW w:w="1558" w:type="dxa"/>
          </w:tcPr>
          <w:p w14:paraId="38CFC3CE" w14:textId="77777777" w:rsidR="0012433F" w:rsidRPr="005D3F76" w:rsidRDefault="0012433F" w:rsidP="0012433F">
            <w:pPr>
              <w:spacing w:after="120" w:line="240" w:lineRule="auto"/>
              <w:jc w:val="center"/>
              <w:rPr>
                <w:rFonts w:cs="Times New Roman"/>
                <w:szCs w:val="24"/>
              </w:rPr>
            </w:pPr>
            <w:r w:rsidRPr="005D3F76">
              <w:rPr>
                <w:rFonts w:cs="Times New Roman"/>
                <w:szCs w:val="24"/>
              </w:rPr>
              <w:t>05/22/2011</w:t>
            </w:r>
          </w:p>
        </w:tc>
        <w:tc>
          <w:tcPr>
            <w:tcW w:w="3117" w:type="dxa"/>
          </w:tcPr>
          <w:p w14:paraId="159785F0" w14:textId="77777777" w:rsidR="0012433F" w:rsidRPr="005D3F76" w:rsidRDefault="0012433F" w:rsidP="0012433F">
            <w:pPr>
              <w:spacing w:after="120" w:line="240" w:lineRule="auto"/>
              <w:jc w:val="center"/>
              <w:rPr>
                <w:rFonts w:cs="Times New Roman"/>
                <w:szCs w:val="24"/>
              </w:rPr>
            </w:pPr>
            <w:r w:rsidRPr="005D3F76">
              <w:rPr>
                <w:rFonts w:cs="Times New Roman"/>
                <w:szCs w:val="24"/>
              </w:rPr>
              <w:t>Matthew DeFour</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Hidden="1"&gt;&lt;Author&gt;DeFour&lt;/Author&gt;&lt;Year&gt;2011&lt;/Year&gt;&lt;RecNum&gt;126&lt;/RecNum&gt;&lt;record&gt;&lt;rec-number&gt;126&lt;/rec-number&gt;&lt;foreign-keys&gt;&lt;key app="EN" db-id="etwareaz8xpxz3et59b50d9vxrata9z2w2zt" timestamp="1455584582"&gt;126&lt;/key&gt;&lt;/foreign-keys&gt;&lt;ref-type name="Newspaper Article"&gt;23&lt;/ref-type&gt;&lt;contributors&gt;&lt;authors&gt;&lt;author&gt;Matthew DeFour&lt;/author&gt;&lt;/authors&gt;&lt;/contributors&gt;&lt;titles&gt;&lt;title&gt;Districts Asked to Identify Teachers Who Protested; Many Have Complied, but Madison Officials Refuse. Citing Safety Concerns&lt;/title&gt;&lt;secondary-title&gt;Wisconsin State Journal&lt;/secondary-title&gt;&lt;/titles&gt;&lt;pages&gt;A1&lt;/pages&gt;&lt;section&gt;Front&lt;/section&gt;&lt;dates&gt;&lt;year&gt;2011&lt;/year&gt;&lt;pub-dates&gt;&lt;date&gt;May 22&lt;/date&gt;&lt;/pub-dates&gt;&lt;/dates&gt;&lt;pub-location&gt;Madison,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671D7437" w14:textId="77777777" w:rsidTr="0012433F">
        <w:tc>
          <w:tcPr>
            <w:tcW w:w="4675" w:type="dxa"/>
          </w:tcPr>
          <w:p w14:paraId="42384EEB" w14:textId="77777777" w:rsidR="0012433F" w:rsidRPr="005D3F76" w:rsidRDefault="0012433F" w:rsidP="0012433F">
            <w:pPr>
              <w:spacing w:after="120" w:line="240" w:lineRule="auto"/>
              <w:rPr>
                <w:rFonts w:cs="Times New Roman"/>
                <w:szCs w:val="24"/>
              </w:rPr>
            </w:pPr>
            <w:r w:rsidRPr="005D3F76">
              <w:rPr>
                <w:rFonts w:cs="Times New Roman"/>
                <w:szCs w:val="24"/>
              </w:rPr>
              <w:t>“Unions Reject Discussions; Task Force Aims to Develop School Accountability System Unions Reject Discussions”</w:t>
            </w:r>
          </w:p>
        </w:tc>
        <w:tc>
          <w:tcPr>
            <w:tcW w:w="1558" w:type="dxa"/>
          </w:tcPr>
          <w:p w14:paraId="053877B3" w14:textId="77777777" w:rsidR="0012433F" w:rsidRPr="005D3F76" w:rsidRDefault="0012433F" w:rsidP="0012433F">
            <w:pPr>
              <w:spacing w:after="120" w:line="240" w:lineRule="auto"/>
              <w:jc w:val="center"/>
              <w:rPr>
                <w:rFonts w:cs="Times New Roman"/>
                <w:szCs w:val="24"/>
              </w:rPr>
            </w:pPr>
            <w:r w:rsidRPr="005D3F76">
              <w:rPr>
                <w:rFonts w:cs="Times New Roman"/>
                <w:szCs w:val="24"/>
              </w:rPr>
              <w:t>07/23/2011</w:t>
            </w:r>
          </w:p>
        </w:tc>
        <w:tc>
          <w:tcPr>
            <w:tcW w:w="3117" w:type="dxa"/>
          </w:tcPr>
          <w:p w14:paraId="6254B7D6" w14:textId="77777777" w:rsidR="0012433F" w:rsidRPr="005D3F76" w:rsidRDefault="0012433F" w:rsidP="0012433F">
            <w:pPr>
              <w:spacing w:after="120" w:line="240" w:lineRule="auto"/>
              <w:jc w:val="center"/>
              <w:rPr>
                <w:rFonts w:cs="Times New Roman"/>
                <w:szCs w:val="24"/>
              </w:rPr>
            </w:pPr>
            <w:r w:rsidRPr="005D3F76">
              <w:rPr>
                <w:rFonts w:cs="Times New Roman"/>
                <w:szCs w:val="24"/>
              </w:rPr>
              <w:t>Matthew DeFour</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Hidden="1"&gt;&lt;Author&gt;DeFour&lt;/Author&gt;&lt;Year&gt;2011&lt;/Year&gt;&lt;RecNum&gt;125&lt;/RecNum&gt;&lt;record&gt;&lt;rec-number&gt;125&lt;/rec-number&gt;&lt;foreign-keys&gt;&lt;key app="EN" db-id="etwareaz8xpxz3et59b50d9vxrata9z2w2zt" timestamp="1455584497"&gt;125&lt;/key&gt;&lt;/foreign-keys&gt;&lt;ref-type name="Newspaper Article"&gt;23&lt;/ref-type&gt;&lt;contributors&gt;&lt;authors&gt;&lt;author&gt;Matthew DeFour&lt;/author&gt;&lt;/authors&gt;&lt;/contributors&gt;&lt;titles&gt;&lt;title&gt;Unions Reject Discussions: Task Force Aims to Develop School Accountability System Unions Reject Discussions&lt;/title&gt;&lt;secondary-title&gt;Wisconsin State Journal&lt;/secondary-title&gt;&lt;/titles&gt;&lt;pages&gt;A3&lt;/pages&gt;&lt;section&gt;Local&lt;/section&gt;&lt;dates&gt;&lt;year&gt;2011&lt;/year&gt;&lt;pub-dates&gt;&lt;date&gt;July 23&lt;/date&gt;&lt;/pub-dates&gt;&lt;/dates&gt;&lt;pub-location&gt;Madison,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6F16FE5E" w14:textId="77777777" w:rsidTr="0012433F">
        <w:tc>
          <w:tcPr>
            <w:tcW w:w="4675" w:type="dxa"/>
          </w:tcPr>
          <w:p w14:paraId="70005C43" w14:textId="77777777" w:rsidR="0012433F" w:rsidRPr="005D3F76" w:rsidRDefault="0012433F" w:rsidP="0012433F">
            <w:pPr>
              <w:spacing w:after="120" w:line="240" w:lineRule="auto"/>
              <w:rPr>
                <w:rFonts w:cs="Times New Roman"/>
                <w:szCs w:val="24"/>
              </w:rPr>
            </w:pPr>
            <w:r w:rsidRPr="005D3F76">
              <w:rPr>
                <w:rFonts w:cs="Times New Roman"/>
                <w:szCs w:val="24"/>
              </w:rPr>
              <w:t>“Teachers Unions, Welcome To The Debate</w:t>
            </w:r>
          </w:p>
        </w:tc>
        <w:tc>
          <w:tcPr>
            <w:tcW w:w="1558" w:type="dxa"/>
          </w:tcPr>
          <w:p w14:paraId="58E060F6" w14:textId="77777777" w:rsidR="0012433F" w:rsidRPr="005D3F76" w:rsidRDefault="0012433F" w:rsidP="0012433F">
            <w:pPr>
              <w:spacing w:after="120" w:line="240" w:lineRule="auto"/>
              <w:jc w:val="center"/>
              <w:rPr>
                <w:rFonts w:cs="Times New Roman"/>
                <w:szCs w:val="24"/>
              </w:rPr>
            </w:pPr>
            <w:r w:rsidRPr="005D3F76">
              <w:rPr>
                <w:rFonts w:cs="Times New Roman"/>
                <w:szCs w:val="24"/>
              </w:rPr>
              <w:t>10/15/2011</w:t>
            </w:r>
          </w:p>
        </w:tc>
        <w:tc>
          <w:tcPr>
            <w:tcW w:w="3117" w:type="dxa"/>
          </w:tcPr>
          <w:p w14:paraId="32F4A97D" w14:textId="77777777" w:rsidR="0012433F" w:rsidRPr="005D3F76" w:rsidRDefault="0012433F" w:rsidP="0012433F">
            <w:pPr>
              <w:spacing w:after="120" w:line="240" w:lineRule="auto"/>
              <w:jc w:val="center"/>
              <w:rPr>
                <w:rFonts w:cs="Times New Roman"/>
                <w:szCs w:val="24"/>
              </w:rPr>
            </w:pPr>
            <w:r w:rsidRPr="005D3F76">
              <w:rPr>
                <w:rFonts w:cs="Times New Roman"/>
                <w:szCs w:val="24"/>
              </w:rPr>
              <w:t>Chris Rickert</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Hidden="1"&gt;&lt;Author&gt;Rickert&lt;/Author&gt;&lt;Year&gt;2011&lt;/Year&gt;&lt;RecNum&gt;124&lt;/RecNum&gt;&lt;record&gt;&lt;rec-number&gt;124&lt;/rec-number&gt;&lt;foreign-keys&gt;&lt;key app="EN" db-id="etwareaz8xpxz3et59b50d9vxrata9z2w2zt" timestamp="1455579576"&gt;124&lt;/key&gt;&lt;/foreign-keys&gt;&lt;ref-type name="Newspaper Article"&gt;23&lt;/ref-type&gt;&lt;contributors&gt;&lt;authors&gt;&lt;author&gt;Chris Rickert&lt;/author&gt;&lt;/authors&gt;&lt;/contributors&gt;&lt;titles&gt;&lt;title&gt;Teachers Unions, Welcome to the Debate&lt;/title&gt;&lt;secondary-title&gt;Wisconsin State Journal&lt;/secondary-title&gt;&lt;/titles&gt;&lt;pages&gt;A3&lt;/pages&gt;&lt;section&gt;Local&lt;/section&gt;&lt;dates&gt;&lt;year&gt;2011&lt;/year&gt;&lt;pub-dates&gt;&lt;date&gt;October 15&lt;/date&gt;&lt;/pub-dates&gt;&lt;/dates&gt;&lt;pub-location&gt;Madison,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539B0C22" w14:textId="77777777" w:rsidTr="0012433F">
        <w:tc>
          <w:tcPr>
            <w:tcW w:w="4675" w:type="dxa"/>
          </w:tcPr>
          <w:p w14:paraId="602953CF" w14:textId="77777777" w:rsidR="0012433F" w:rsidRPr="005D3F76" w:rsidRDefault="0012433F" w:rsidP="0012433F">
            <w:pPr>
              <w:spacing w:after="120" w:line="240" w:lineRule="auto"/>
              <w:rPr>
                <w:rFonts w:cs="Times New Roman"/>
                <w:szCs w:val="24"/>
              </w:rPr>
            </w:pPr>
            <w:r w:rsidRPr="005D3F76">
              <w:rPr>
                <w:rFonts w:cs="Times New Roman"/>
                <w:szCs w:val="24"/>
              </w:rPr>
              <w:t>“Unions Sideline Individual Decisions”</w:t>
            </w:r>
          </w:p>
        </w:tc>
        <w:tc>
          <w:tcPr>
            <w:tcW w:w="1558" w:type="dxa"/>
          </w:tcPr>
          <w:p w14:paraId="2C810930" w14:textId="77777777" w:rsidR="0012433F" w:rsidRPr="005D3F76" w:rsidRDefault="0012433F" w:rsidP="0012433F">
            <w:pPr>
              <w:spacing w:after="120" w:line="240" w:lineRule="auto"/>
              <w:jc w:val="center"/>
              <w:rPr>
                <w:rFonts w:cs="Times New Roman"/>
                <w:szCs w:val="24"/>
              </w:rPr>
            </w:pPr>
            <w:r w:rsidRPr="005D3F76">
              <w:rPr>
                <w:rFonts w:cs="Times New Roman"/>
                <w:szCs w:val="24"/>
              </w:rPr>
              <w:t>12/20/2011</w:t>
            </w:r>
          </w:p>
        </w:tc>
        <w:tc>
          <w:tcPr>
            <w:tcW w:w="3117" w:type="dxa"/>
          </w:tcPr>
          <w:p w14:paraId="6D4A39DF" w14:textId="77777777" w:rsidR="0012433F" w:rsidRPr="005D3F76" w:rsidRDefault="0012433F" w:rsidP="0012433F">
            <w:pPr>
              <w:spacing w:after="120" w:line="240" w:lineRule="auto"/>
              <w:jc w:val="center"/>
              <w:rPr>
                <w:rFonts w:cs="Times New Roman"/>
                <w:szCs w:val="24"/>
              </w:rPr>
            </w:pPr>
            <w:r w:rsidRPr="005D3F76">
              <w:rPr>
                <w:rFonts w:cs="Times New Roman"/>
                <w:szCs w:val="24"/>
              </w:rPr>
              <w:t>Chris Rickert</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Hidden="1"&gt;&lt;Author&gt;Rickert&lt;/Author&gt;&lt;Year&gt;2011&lt;/Year&gt;&lt;RecNum&gt;122&lt;/RecNum&gt;&lt;record&gt;&lt;rec-number&gt;122&lt;/rec-number&gt;&lt;foreign-keys&gt;&lt;key app="EN" db-id="etwareaz8xpxz3et59b50d9vxrata9z2w2zt" timestamp="1455579435"&gt;122&lt;/key&gt;&lt;/foreign-keys&gt;&lt;ref-type name="Newspaper Article"&gt;23&lt;/ref-type&gt;&lt;contributors&gt;&lt;authors&gt;&lt;author&gt;Chris Rickert&lt;/author&gt;&lt;/authors&gt;&lt;/contributors&gt;&lt;titles&gt;&lt;title&gt;Unions Sideline Individual Decisions&lt;/title&gt;&lt;secondary-title&gt;Wisconsin State Journal&lt;/secondary-title&gt;&lt;/titles&gt;&lt;pages&gt;A3&lt;/pages&gt;&lt;section&gt;Local&lt;/section&gt;&lt;dates&gt;&lt;year&gt;2011&lt;/year&gt;&lt;pub-dates&gt;&lt;date&gt;December 20&lt;/date&gt;&lt;/pub-dates&gt;&lt;/dates&gt;&lt;pub-location&gt;Madison,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294055A8" w14:textId="77777777" w:rsidTr="0012433F">
        <w:tc>
          <w:tcPr>
            <w:tcW w:w="4675" w:type="dxa"/>
          </w:tcPr>
          <w:p w14:paraId="7E2D5262" w14:textId="77777777" w:rsidR="0012433F" w:rsidRPr="005D3F76" w:rsidRDefault="0012433F" w:rsidP="0012433F">
            <w:pPr>
              <w:spacing w:after="120" w:line="240" w:lineRule="auto"/>
              <w:rPr>
                <w:rFonts w:cs="Times New Roman"/>
                <w:szCs w:val="24"/>
              </w:rPr>
            </w:pPr>
            <w:r w:rsidRPr="005D3F76">
              <w:rPr>
                <w:rFonts w:cs="Times New Roman"/>
                <w:szCs w:val="24"/>
              </w:rPr>
              <w:t>“New Work Rules Set In As Contracts Lapse; Administrators Workers Are Adjusting To A Different Employment Landscape; Public Employee Unions; Post-Collective Bargaining”</w:t>
            </w:r>
          </w:p>
        </w:tc>
        <w:tc>
          <w:tcPr>
            <w:tcW w:w="1558" w:type="dxa"/>
          </w:tcPr>
          <w:p w14:paraId="2BBE783B" w14:textId="77777777" w:rsidR="0012433F" w:rsidRPr="005D3F76" w:rsidRDefault="0012433F" w:rsidP="0012433F">
            <w:pPr>
              <w:spacing w:after="120" w:line="240" w:lineRule="auto"/>
              <w:jc w:val="center"/>
              <w:rPr>
                <w:rFonts w:cs="Times New Roman"/>
                <w:szCs w:val="24"/>
              </w:rPr>
            </w:pPr>
            <w:r w:rsidRPr="005D3F76">
              <w:rPr>
                <w:rFonts w:cs="Times New Roman"/>
                <w:szCs w:val="24"/>
              </w:rPr>
              <w:t>12/25/2011</w:t>
            </w:r>
          </w:p>
        </w:tc>
        <w:tc>
          <w:tcPr>
            <w:tcW w:w="3117" w:type="dxa"/>
          </w:tcPr>
          <w:p w14:paraId="45174860"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Verburg</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Hidden="1"&gt;&lt;Author&gt;Verburg&lt;/Author&gt;&lt;Year&gt;2011&lt;/Year&gt;&lt;RecNum&gt;121&lt;/RecNum&gt;&lt;record&gt;&lt;rec-number&gt;121&lt;/rec-number&gt;&lt;foreign-keys&gt;&lt;key app="EN" db-id="etwareaz8xpxz3et59b50d9vxrata9z2w2zt" timestamp="1455579332"&gt;121&lt;/key&gt;&lt;/foreign-keys&gt;&lt;ref-type name="Newspaper Article"&gt;23&lt;/ref-type&gt;&lt;contributors&gt;&lt;authors&gt;&lt;author&gt;Steven Verburg&lt;/author&gt;&lt;/authors&gt;&lt;/contributors&gt;&lt;titles&gt;&lt;title&gt;New Work Rules Set in as Contracts Lapse: Administrators, Workers Are Adjusting to a Different Employment Landscape: Public Employee Unions Post-Collective Bargaining&lt;/title&gt;&lt;secondary-title&gt;Wisconsin State Journal&lt;/secondary-title&gt;&lt;/titles&gt;&lt;pages&gt;A1&lt;/pages&gt;&lt;section&gt;Front&lt;/section&gt;&lt;dates&gt;&lt;year&gt;2011&lt;/year&gt;&lt;pub-dates&gt;&lt;date&gt;December 25&lt;/date&gt;&lt;/pub-dates&gt;&lt;/dates&gt;&lt;pub-location&gt;Madison,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1C830FEF" w14:textId="77777777" w:rsidTr="0012433F">
        <w:tc>
          <w:tcPr>
            <w:tcW w:w="4675" w:type="dxa"/>
          </w:tcPr>
          <w:p w14:paraId="2422CC26" w14:textId="77777777" w:rsidR="0012433F" w:rsidRPr="005D3F76" w:rsidRDefault="0012433F" w:rsidP="0012433F">
            <w:pPr>
              <w:spacing w:after="120" w:line="240" w:lineRule="auto"/>
              <w:rPr>
                <w:rFonts w:cs="Times New Roman"/>
                <w:szCs w:val="24"/>
              </w:rPr>
            </w:pPr>
            <w:r w:rsidRPr="005D3F76">
              <w:rPr>
                <w:rFonts w:cs="Times New Roman"/>
                <w:szCs w:val="24"/>
              </w:rPr>
              <w:t>“Wisconsin Unions Offer Support; Chicago Teacher Strike”</w:t>
            </w:r>
          </w:p>
        </w:tc>
        <w:tc>
          <w:tcPr>
            <w:tcW w:w="1558" w:type="dxa"/>
          </w:tcPr>
          <w:p w14:paraId="65FE9788" w14:textId="77777777" w:rsidR="0012433F" w:rsidRPr="005D3F76" w:rsidRDefault="0012433F" w:rsidP="0012433F">
            <w:pPr>
              <w:spacing w:after="120" w:line="240" w:lineRule="auto"/>
              <w:jc w:val="center"/>
              <w:rPr>
                <w:rFonts w:cs="Times New Roman"/>
                <w:szCs w:val="24"/>
              </w:rPr>
            </w:pPr>
            <w:r w:rsidRPr="005D3F76">
              <w:rPr>
                <w:rFonts w:cs="Times New Roman"/>
                <w:szCs w:val="24"/>
              </w:rPr>
              <w:t>09/11/2012</w:t>
            </w:r>
          </w:p>
        </w:tc>
        <w:tc>
          <w:tcPr>
            <w:tcW w:w="3117" w:type="dxa"/>
          </w:tcPr>
          <w:p w14:paraId="7308326A" w14:textId="77777777" w:rsidR="0012433F" w:rsidRPr="005D3F76" w:rsidRDefault="0012433F" w:rsidP="0012433F">
            <w:pPr>
              <w:spacing w:after="120" w:line="240" w:lineRule="auto"/>
              <w:jc w:val="center"/>
              <w:rPr>
                <w:rFonts w:cs="Times New Roman"/>
                <w:szCs w:val="24"/>
              </w:rPr>
            </w:pPr>
            <w:r w:rsidRPr="005D3F76">
              <w:rPr>
                <w:rFonts w:cs="Times New Roman"/>
                <w:szCs w:val="24"/>
              </w:rPr>
              <w:t>Matthew DeFour</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Hidden="1"&gt;&lt;Author&gt;DeFour&lt;/Author&gt;&lt;Year&gt;2012&lt;/Year&gt;&lt;RecNum&gt;119&lt;/RecNum&gt;&lt;record&gt;&lt;rec-number&gt;119&lt;/rec-number&gt;&lt;foreign-keys&gt;&lt;key app="EN" db-id="etwareaz8xpxz3et59b50d9vxrata9z2w2zt" timestamp="1455579087"&gt;119&lt;/key&gt;&lt;/foreign-keys&gt;&lt;ref-type name="Newspaper Article"&gt;23&lt;/ref-type&gt;&lt;contributors&gt;&lt;authors&gt;&lt;author&gt;Matthew DeFour&lt;/author&gt;&lt;/authors&gt;&lt;/contributors&gt;&lt;titles&gt;&lt;title&gt;Wisconsin Unions Offer Support: Chicago Teacher Strike&lt;/title&gt;&lt;secondary-title&gt;Wisconsin State Journal&lt;/secondary-title&gt;&lt;/titles&gt;&lt;pages&gt;A7&lt;/pages&gt;&lt;section&gt;Front&lt;/section&gt;&lt;dates&gt;&lt;year&gt;2012&lt;/year&gt;&lt;pub-dates&gt;&lt;date&gt;September 11&lt;/date&gt;&lt;/pub-dates&gt;&lt;/dates&gt;&lt;pub-location&gt;Madison,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46D1764C" w14:textId="77777777" w:rsidTr="0012433F">
        <w:tc>
          <w:tcPr>
            <w:tcW w:w="4675" w:type="dxa"/>
          </w:tcPr>
          <w:p w14:paraId="6B070E60" w14:textId="77777777" w:rsidR="0012433F" w:rsidRPr="005D3F76" w:rsidRDefault="0012433F" w:rsidP="0012433F">
            <w:pPr>
              <w:spacing w:after="120" w:line="240" w:lineRule="auto"/>
              <w:rPr>
                <w:rFonts w:cs="Times New Roman"/>
                <w:szCs w:val="24"/>
              </w:rPr>
            </w:pPr>
            <w:r w:rsidRPr="005D3F76">
              <w:rPr>
                <w:rFonts w:cs="Times New Roman"/>
                <w:szCs w:val="24"/>
              </w:rPr>
              <w:t>“Of Partisan Thought, Gun Laws And Unions”</w:t>
            </w:r>
          </w:p>
        </w:tc>
        <w:tc>
          <w:tcPr>
            <w:tcW w:w="1558" w:type="dxa"/>
          </w:tcPr>
          <w:p w14:paraId="08BF6ED1" w14:textId="77777777" w:rsidR="0012433F" w:rsidRPr="005D3F76" w:rsidRDefault="0012433F" w:rsidP="0012433F">
            <w:pPr>
              <w:spacing w:after="120" w:line="240" w:lineRule="auto"/>
              <w:jc w:val="center"/>
              <w:rPr>
                <w:rFonts w:cs="Times New Roman"/>
                <w:szCs w:val="24"/>
              </w:rPr>
            </w:pPr>
            <w:r w:rsidRPr="005D3F76">
              <w:rPr>
                <w:rFonts w:cs="Times New Roman"/>
                <w:szCs w:val="24"/>
              </w:rPr>
              <w:t>02/16/2012</w:t>
            </w:r>
          </w:p>
        </w:tc>
        <w:tc>
          <w:tcPr>
            <w:tcW w:w="3117" w:type="dxa"/>
          </w:tcPr>
          <w:p w14:paraId="330AF7CE" w14:textId="77777777" w:rsidR="0012433F" w:rsidRPr="005D3F76" w:rsidRDefault="0012433F" w:rsidP="0012433F">
            <w:pPr>
              <w:spacing w:after="120" w:line="240" w:lineRule="auto"/>
              <w:jc w:val="center"/>
              <w:rPr>
                <w:rFonts w:cs="Times New Roman"/>
                <w:szCs w:val="24"/>
              </w:rPr>
            </w:pPr>
            <w:r w:rsidRPr="005D3F76">
              <w:rPr>
                <w:rFonts w:cs="Times New Roman"/>
                <w:szCs w:val="24"/>
              </w:rPr>
              <w:t>Chris Rickert</w:t>
            </w:r>
          </w:p>
        </w:tc>
      </w:tr>
      <w:tr w:rsidR="0012433F" w:rsidRPr="005D3F76" w14:paraId="22FBCBDA" w14:textId="77777777" w:rsidTr="0012433F">
        <w:tc>
          <w:tcPr>
            <w:tcW w:w="4675" w:type="dxa"/>
          </w:tcPr>
          <w:p w14:paraId="6CB420FE" w14:textId="77777777" w:rsidR="0012433F" w:rsidRPr="005D3F76" w:rsidRDefault="0012433F" w:rsidP="0012433F">
            <w:pPr>
              <w:spacing w:after="120" w:line="240" w:lineRule="auto"/>
              <w:rPr>
                <w:rFonts w:cs="Times New Roman"/>
                <w:szCs w:val="24"/>
              </w:rPr>
            </w:pPr>
            <w:r w:rsidRPr="005D3F76">
              <w:rPr>
                <w:rFonts w:cs="Times New Roman"/>
                <w:szCs w:val="24"/>
              </w:rPr>
              <w:t>“ACT 10 Ruling Effect Minimal?: Some Labor Experts Say Management Still Would Have Most Of The Power In Contract Negotiations; Collective Bargaining”</w:t>
            </w:r>
          </w:p>
        </w:tc>
        <w:tc>
          <w:tcPr>
            <w:tcW w:w="1558" w:type="dxa"/>
          </w:tcPr>
          <w:p w14:paraId="556292E1" w14:textId="77777777" w:rsidR="0012433F" w:rsidRPr="005D3F76" w:rsidRDefault="0012433F" w:rsidP="0012433F">
            <w:pPr>
              <w:spacing w:after="120" w:line="240" w:lineRule="auto"/>
              <w:jc w:val="center"/>
              <w:rPr>
                <w:rFonts w:cs="Times New Roman"/>
                <w:szCs w:val="24"/>
              </w:rPr>
            </w:pPr>
            <w:r w:rsidRPr="005D3F76">
              <w:rPr>
                <w:rFonts w:cs="Times New Roman"/>
                <w:szCs w:val="24"/>
              </w:rPr>
              <w:t>09/18/2012</w:t>
            </w:r>
          </w:p>
        </w:tc>
        <w:tc>
          <w:tcPr>
            <w:tcW w:w="3117" w:type="dxa"/>
          </w:tcPr>
          <w:p w14:paraId="41A99D13" w14:textId="071D171C" w:rsidR="0012433F" w:rsidRPr="005D3F76" w:rsidRDefault="00E341FA" w:rsidP="0012433F">
            <w:pPr>
              <w:spacing w:after="120" w:line="240" w:lineRule="auto"/>
              <w:jc w:val="center"/>
              <w:rPr>
                <w:rFonts w:cs="Times New Roman"/>
                <w:szCs w:val="24"/>
              </w:rPr>
            </w:pPr>
            <w:r w:rsidRPr="005D3F76">
              <w:rPr>
                <w:rFonts w:cs="Times New Roman"/>
                <w:szCs w:val="24"/>
              </w:rPr>
              <w:t>Matthew</w:t>
            </w:r>
            <w:r w:rsidR="0012433F" w:rsidRPr="005D3F76">
              <w:rPr>
                <w:rFonts w:cs="Times New Roman"/>
                <w:szCs w:val="24"/>
              </w:rPr>
              <w:t xml:space="preserve"> DeFour and Steven Verburg</w:t>
            </w:r>
            <w:r w:rsidR="0012433F" w:rsidRPr="005D3F76">
              <w:rPr>
                <w:rFonts w:cs="Times New Roman"/>
                <w:szCs w:val="24"/>
              </w:rPr>
              <w:fldChar w:fldCharType="begin"/>
            </w:r>
            <w:r w:rsidR="0012433F" w:rsidRPr="005D3F76">
              <w:rPr>
                <w:rFonts w:cs="Times New Roman"/>
                <w:szCs w:val="24"/>
              </w:rPr>
              <w:instrText xml:space="preserve"> ADDIN EN.CITE &lt;EndNote&gt;&lt;Cite ExcludeAuth="1" ExcludeYear="1" Hidden="1"&gt;&lt;Author&gt;Defour&lt;/Author&gt;&lt;Year&gt;2012&lt;/Year&gt;&lt;RecNum&gt;118&lt;/RecNum&gt;&lt;record&gt;&lt;rec-number&gt;118&lt;/rec-number&gt;&lt;foreign-keys&gt;&lt;key app="EN" db-id="etwareaz8xpxz3et59b50d9vxrata9z2w2zt" timestamp="1455579014"&gt;118&lt;/key&gt;&lt;/foreign-keys&gt;&lt;ref-type name="Newspaper Article"&gt;23&lt;/ref-type&gt;&lt;contributors&gt;&lt;authors&gt;&lt;author&gt;Matthew Defour&lt;/author&gt;&lt;author&gt;Steven Verburg&lt;/author&gt;&lt;/authors&gt;&lt;/contributors&gt;&lt;titles&gt;&lt;title&gt;ACT 10 Ruling Efffect Minimal?: Some Labor Experts Say Management Still Would Have Most of the Power in Contract Negotiations: Collective Bargaining&lt;/title&gt;&lt;secondary-title&gt;Wisconsin State Journal&lt;/secondary-title&gt;&lt;/titles&gt;&lt;pages&gt;A1&lt;/pages&gt;&lt;section&gt;Front&lt;/section&gt;&lt;dates&gt;&lt;year&gt;2012&lt;/year&gt;&lt;pub-dates&gt;&lt;date&gt;September 2012&lt;/date&gt;&lt;/pub-dates&gt;&lt;/dates&gt;&lt;pub-location&gt;Madison, Wisconsin&lt;/pub-location&gt;&lt;publisher&gt;Madison Newspapers&lt;/publisher&gt;&lt;urls&gt;&lt;/urls&gt;&lt;/record&gt;&lt;/Cite&gt;&lt;/EndNote&gt;</w:instrText>
            </w:r>
            <w:r w:rsidR="0012433F" w:rsidRPr="005D3F76">
              <w:rPr>
                <w:rFonts w:cs="Times New Roman"/>
                <w:szCs w:val="24"/>
              </w:rPr>
              <w:fldChar w:fldCharType="end"/>
            </w:r>
          </w:p>
        </w:tc>
      </w:tr>
      <w:tr w:rsidR="0012433F" w:rsidRPr="005D3F76" w14:paraId="3036E726" w14:textId="77777777" w:rsidTr="0012433F">
        <w:tc>
          <w:tcPr>
            <w:tcW w:w="4675" w:type="dxa"/>
          </w:tcPr>
          <w:p w14:paraId="30C83DE4" w14:textId="77777777" w:rsidR="0012433F" w:rsidRPr="005D3F76" w:rsidRDefault="0012433F" w:rsidP="0012433F">
            <w:pPr>
              <w:spacing w:after="120" w:line="240" w:lineRule="auto"/>
              <w:rPr>
                <w:rFonts w:cs="Times New Roman"/>
                <w:szCs w:val="24"/>
              </w:rPr>
            </w:pPr>
            <w:r w:rsidRPr="005D3F76">
              <w:rPr>
                <w:rFonts w:cs="Times New Roman"/>
                <w:szCs w:val="24"/>
              </w:rPr>
              <w:t>“Evers urges more respect for teachers; State Schools Superintendent Says They Have Been Targeted By The Collective Bargaining Law”</w:t>
            </w:r>
          </w:p>
        </w:tc>
        <w:tc>
          <w:tcPr>
            <w:tcW w:w="1558" w:type="dxa"/>
          </w:tcPr>
          <w:p w14:paraId="0CFB298D" w14:textId="77777777" w:rsidR="0012433F" w:rsidRPr="005D3F76" w:rsidRDefault="0012433F" w:rsidP="0012433F">
            <w:pPr>
              <w:spacing w:after="120" w:line="240" w:lineRule="auto"/>
              <w:jc w:val="center"/>
              <w:rPr>
                <w:rFonts w:cs="Times New Roman"/>
                <w:szCs w:val="24"/>
              </w:rPr>
            </w:pPr>
            <w:r w:rsidRPr="005D3F76">
              <w:rPr>
                <w:rFonts w:cs="Times New Roman"/>
                <w:szCs w:val="24"/>
              </w:rPr>
              <w:t>09/21/2012</w:t>
            </w:r>
          </w:p>
        </w:tc>
        <w:tc>
          <w:tcPr>
            <w:tcW w:w="3117" w:type="dxa"/>
          </w:tcPr>
          <w:p w14:paraId="1A75B1E9" w14:textId="77777777" w:rsidR="0012433F" w:rsidRPr="005D3F76" w:rsidRDefault="0012433F" w:rsidP="0012433F">
            <w:pPr>
              <w:spacing w:after="120" w:line="240" w:lineRule="auto"/>
              <w:jc w:val="center"/>
              <w:rPr>
                <w:rFonts w:cs="Times New Roman"/>
                <w:szCs w:val="24"/>
              </w:rPr>
            </w:pPr>
            <w:r w:rsidRPr="005D3F76">
              <w:rPr>
                <w:rFonts w:cs="Times New Roman"/>
                <w:szCs w:val="24"/>
              </w:rPr>
              <w:t>Scott Bauer</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Hidden="1"&gt;&lt;Author&gt;Bauer&lt;/Author&gt;&lt;Year&gt;2012&lt;/Year&gt;&lt;RecNum&gt;117&lt;/RecNum&gt;&lt;record&gt;&lt;rec-number&gt;117&lt;/rec-number&gt;&lt;foreign-keys&gt;&lt;key app="EN" db-id="etwareaz8xpxz3et59b50d9vxrata9z2w2zt" timestamp="1455578909"&gt;117&lt;/key&gt;&lt;/foreign-keys&gt;&lt;ref-type name="Newspaper Article"&gt;23&lt;/ref-type&gt;&lt;contributors&gt;&lt;authors&gt;&lt;author&gt;Scott Bauer&lt;/author&gt;&lt;/authors&gt;&lt;/contributors&gt;&lt;titles&gt;&lt;title&gt;Evers Urges More Respect for Teachers: State Schools Superintendent Says They Have Been Targeted by The Collective Bargaining Law&lt;/title&gt;&lt;secondary-title&gt;Wisconsin State Journal&lt;/secondary-title&gt;&lt;/titles&gt;&lt;pages&gt;A11&lt;/pages&gt;&lt;section&gt;Loal&lt;/section&gt;&lt;dates&gt;&lt;year&gt;2012&lt;/year&gt;&lt;pub-dates&gt;&lt;date&gt;September 21&lt;/date&gt;&lt;/pub-dates&gt;&lt;/dates&gt;&lt;pub-location&gt;Madison,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11D72587" w14:textId="77777777" w:rsidTr="0012433F">
        <w:tc>
          <w:tcPr>
            <w:tcW w:w="4675" w:type="dxa"/>
          </w:tcPr>
          <w:p w14:paraId="454E7CCA" w14:textId="77777777" w:rsidR="0012433F" w:rsidRPr="005D3F76" w:rsidRDefault="0012433F" w:rsidP="0012433F">
            <w:pPr>
              <w:spacing w:after="120" w:line="240" w:lineRule="auto"/>
              <w:rPr>
                <w:rFonts w:cs="Times New Roman"/>
                <w:szCs w:val="24"/>
              </w:rPr>
            </w:pPr>
            <w:r w:rsidRPr="005D3F76">
              <w:rPr>
                <w:rFonts w:cs="Times New Roman"/>
                <w:szCs w:val="24"/>
              </w:rPr>
              <w:t>“Change Is Only Path To Better Schools”</w:t>
            </w:r>
          </w:p>
        </w:tc>
        <w:tc>
          <w:tcPr>
            <w:tcW w:w="1558" w:type="dxa"/>
          </w:tcPr>
          <w:p w14:paraId="6F161F02" w14:textId="77777777" w:rsidR="0012433F" w:rsidRPr="005D3F76" w:rsidRDefault="0012433F" w:rsidP="0012433F">
            <w:pPr>
              <w:spacing w:after="120" w:line="240" w:lineRule="auto"/>
              <w:jc w:val="center"/>
              <w:rPr>
                <w:rFonts w:cs="Times New Roman"/>
                <w:szCs w:val="24"/>
              </w:rPr>
            </w:pPr>
            <w:r w:rsidRPr="005D3F76">
              <w:rPr>
                <w:rFonts w:cs="Times New Roman"/>
                <w:szCs w:val="24"/>
              </w:rPr>
              <w:t>02/12/2013</w:t>
            </w:r>
          </w:p>
        </w:tc>
        <w:tc>
          <w:tcPr>
            <w:tcW w:w="3117" w:type="dxa"/>
          </w:tcPr>
          <w:p w14:paraId="3EB07076" w14:textId="77777777" w:rsidR="0012433F" w:rsidRPr="005D3F76" w:rsidRDefault="0012433F" w:rsidP="0012433F">
            <w:pPr>
              <w:spacing w:after="120" w:line="240" w:lineRule="auto"/>
              <w:jc w:val="center"/>
              <w:rPr>
                <w:rFonts w:cs="Times New Roman"/>
                <w:szCs w:val="24"/>
              </w:rPr>
            </w:pPr>
            <w:r w:rsidRPr="005D3F76">
              <w:rPr>
                <w:rFonts w:cs="Times New Roman"/>
                <w:szCs w:val="24"/>
              </w:rPr>
              <w:t>Chris Rickert</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Hidden="1"&gt;&lt;Author&gt;Rickert&lt;/Author&gt;&lt;Year&gt;2013&lt;/Year&gt;&lt;RecNum&gt;115&lt;/RecNum&gt;&lt;record&gt;&lt;rec-number&gt;115&lt;/rec-number&gt;&lt;foreign-keys&gt;&lt;key app="EN" db-id="etwareaz8xpxz3et59b50d9vxrata9z2w2zt" timestamp="1455578735"&gt;115&lt;/key&gt;&lt;/foreign-keys&gt;&lt;ref-type name="Newspaper Article"&gt;23&lt;/ref-type&gt;&lt;contributors&gt;&lt;authors&gt;&lt;author&gt;Chris Rickert&lt;/author&gt;&lt;/authors&gt;&lt;/contributors&gt;&lt;titles&gt;&lt;title&gt;Change is Only Path to Better Schools&lt;/title&gt;&lt;secondary-title&gt;Wisconsin State Journal&lt;/secondary-title&gt;&lt;/titles&gt;&lt;pages&gt;A3&lt;/pages&gt;&lt;edition&gt;February 12&lt;/edition&gt;&lt;section&gt;Local&lt;/section&gt;&lt;dates&gt;&lt;year&gt;2013&lt;/year&gt;&lt;/dates&gt;&lt;pub-location&gt;Madison,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11230F02" w14:textId="77777777" w:rsidTr="0012433F">
        <w:tc>
          <w:tcPr>
            <w:tcW w:w="4675" w:type="dxa"/>
          </w:tcPr>
          <w:p w14:paraId="05C76A89" w14:textId="77777777" w:rsidR="0012433F" w:rsidRPr="005D3F76" w:rsidRDefault="0012433F" w:rsidP="0012433F">
            <w:pPr>
              <w:spacing w:after="120" w:line="240" w:lineRule="auto"/>
              <w:rPr>
                <w:rFonts w:cs="Times New Roman"/>
                <w:szCs w:val="24"/>
              </w:rPr>
            </w:pPr>
            <w:r w:rsidRPr="005D3F76">
              <w:rPr>
                <w:rFonts w:cs="Times New Roman"/>
                <w:szCs w:val="24"/>
              </w:rPr>
              <w:t>“Bet Teachers Shouldn’t Even Need Protectors”</w:t>
            </w:r>
          </w:p>
        </w:tc>
        <w:tc>
          <w:tcPr>
            <w:tcW w:w="1558" w:type="dxa"/>
          </w:tcPr>
          <w:p w14:paraId="4E4ECFFA" w14:textId="77777777" w:rsidR="0012433F" w:rsidRPr="005D3F76" w:rsidRDefault="0012433F" w:rsidP="0012433F">
            <w:pPr>
              <w:spacing w:after="120" w:line="240" w:lineRule="auto"/>
              <w:jc w:val="center"/>
              <w:rPr>
                <w:rFonts w:cs="Times New Roman"/>
                <w:szCs w:val="24"/>
              </w:rPr>
            </w:pPr>
            <w:r w:rsidRPr="005D3F76">
              <w:rPr>
                <w:rFonts w:cs="Times New Roman"/>
                <w:szCs w:val="24"/>
              </w:rPr>
              <w:t>02/24/2013</w:t>
            </w:r>
          </w:p>
        </w:tc>
        <w:tc>
          <w:tcPr>
            <w:tcW w:w="3117" w:type="dxa"/>
          </w:tcPr>
          <w:p w14:paraId="408D8B3A" w14:textId="77777777" w:rsidR="0012433F" w:rsidRPr="005D3F76" w:rsidRDefault="0012433F" w:rsidP="0012433F">
            <w:pPr>
              <w:spacing w:after="120" w:line="240" w:lineRule="auto"/>
              <w:jc w:val="center"/>
              <w:rPr>
                <w:rFonts w:cs="Times New Roman"/>
                <w:szCs w:val="24"/>
              </w:rPr>
            </w:pPr>
            <w:r w:rsidRPr="005D3F76">
              <w:rPr>
                <w:rFonts w:cs="Times New Roman"/>
                <w:szCs w:val="24"/>
              </w:rPr>
              <w:t>Chris Rickert</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Hidden="1"&gt;&lt;Author&gt;Rickert&lt;/Author&gt;&lt;Year&gt;2013&lt;/Year&gt;&lt;RecNum&gt;114&lt;/RecNum&gt;&lt;record&gt;&lt;rec-number&gt;114&lt;/rec-number&gt;&lt;foreign-keys&gt;&lt;key app="EN" db-id="etwareaz8xpxz3et59b50d9vxrata9z2w2zt" timestamp="1455578658"&gt;114&lt;/key&gt;&lt;/foreign-keys&gt;&lt;ref-type name="Newspaper Article"&gt;23&lt;/ref-type&gt;&lt;contributors&gt;&lt;authors&gt;&lt;author&gt;Chris Rickert&lt;/author&gt;&lt;/authors&gt;&lt;/contributors&gt;&lt;titles&gt;&lt;title&gt;Best Teachers Shouldn&amp;apos;t Even Need Protections&lt;/title&gt;&lt;secondary-title&gt;Wisconsin State Journal&lt;/secondary-title&gt;&lt;/titles&gt;&lt;pages&gt;C1&lt;/pages&gt;&lt;section&gt;Local&lt;/section&gt;&lt;dates&gt;&lt;year&gt;2013&lt;/year&gt;&lt;pub-dates&gt;&lt;date&gt;Feburary 24&lt;/date&gt;&lt;/pub-dates&gt;&lt;/dates&gt;&lt;pub-location&gt;Madison,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03455A04" w14:textId="77777777" w:rsidTr="0012433F">
        <w:tc>
          <w:tcPr>
            <w:tcW w:w="4675" w:type="dxa"/>
            <w:tcBorders>
              <w:bottom w:val="single" w:sz="4" w:space="0" w:color="auto"/>
            </w:tcBorders>
          </w:tcPr>
          <w:p w14:paraId="09037887" w14:textId="77777777" w:rsidR="0012433F" w:rsidRPr="005D3F76" w:rsidRDefault="0012433F" w:rsidP="0012433F">
            <w:pPr>
              <w:spacing w:after="120" w:line="240" w:lineRule="auto"/>
              <w:rPr>
                <w:rFonts w:cs="Times New Roman"/>
                <w:szCs w:val="24"/>
              </w:rPr>
            </w:pPr>
            <w:r w:rsidRPr="005D3F76">
              <w:rPr>
                <w:rFonts w:cs="Times New Roman"/>
                <w:szCs w:val="24"/>
              </w:rPr>
              <w:t>“Walker Spars With Union Over Surveys</w:t>
            </w:r>
          </w:p>
        </w:tc>
        <w:tc>
          <w:tcPr>
            <w:tcW w:w="1558" w:type="dxa"/>
            <w:tcBorders>
              <w:bottom w:val="single" w:sz="4" w:space="0" w:color="auto"/>
            </w:tcBorders>
          </w:tcPr>
          <w:p w14:paraId="65337A61" w14:textId="77777777" w:rsidR="0012433F" w:rsidRPr="005D3F76" w:rsidRDefault="0012433F" w:rsidP="0012433F">
            <w:pPr>
              <w:spacing w:after="120" w:line="240" w:lineRule="auto"/>
              <w:jc w:val="center"/>
              <w:rPr>
                <w:rFonts w:cs="Times New Roman"/>
                <w:szCs w:val="24"/>
              </w:rPr>
            </w:pPr>
            <w:r w:rsidRPr="005D3F76">
              <w:rPr>
                <w:rFonts w:cs="Times New Roman"/>
                <w:szCs w:val="24"/>
              </w:rPr>
              <w:t>04/13/2012</w:t>
            </w:r>
          </w:p>
        </w:tc>
        <w:tc>
          <w:tcPr>
            <w:tcW w:w="3117" w:type="dxa"/>
            <w:tcBorders>
              <w:bottom w:val="single" w:sz="4" w:space="0" w:color="auto"/>
            </w:tcBorders>
          </w:tcPr>
          <w:p w14:paraId="02EAC2F1" w14:textId="77777777" w:rsidR="0012433F" w:rsidRPr="005D3F76" w:rsidRDefault="0012433F" w:rsidP="0012433F">
            <w:pPr>
              <w:spacing w:after="120" w:line="240" w:lineRule="auto"/>
              <w:jc w:val="center"/>
              <w:rPr>
                <w:rFonts w:cs="Times New Roman"/>
                <w:szCs w:val="24"/>
              </w:rPr>
            </w:pPr>
            <w:r w:rsidRPr="005D3F76">
              <w:rPr>
                <w:rFonts w:cs="Times New Roman"/>
                <w:szCs w:val="24"/>
              </w:rPr>
              <w:t>Matthew DeFour</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Hidden="1"&gt;&lt;Author&gt;DeFour&lt;/Author&gt;&lt;Year&gt;2012&lt;/Year&gt;&lt;RecNum&gt;113&lt;/RecNum&gt;&lt;record&gt;&lt;rec-number&gt;113&lt;/rec-number&gt;&lt;foreign-keys&gt;&lt;key app="EN" db-id="etwareaz8xpxz3et59b50d9vxrata9z2w2zt" timestamp="1455578586"&gt;113&lt;/key&gt;&lt;/foreign-keys&gt;&lt;ref-type name="Newspaper Article"&gt;23&lt;/ref-type&gt;&lt;contributors&gt;&lt;authors&gt;&lt;author&gt;Matthew DeFour&lt;/author&gt;&lt;/authors&gt;&lt;/contributors&gt;&lt;titles&gt;&lt;title&gt;Walker Spars With Union Over Surveys&lt;/title&gt;&lt;secondary-title&gt;Wisconsin State Journal&lt;/secondary-title&gt;&lt;/titles&gt;&lt;pages&gt;A3&lt;/pages&gt;&lt;section&gt;Local&lt;/section&gt;&lt;dates&gt;&lt;year&gt;2012&lt;/year&gt;&lt;pub-dates&gt;&lt;date&gt;April 13&lt;/date&gt;&lt;/pub-dates&gt;&lt;/dates&gt;&lt;pub-location&gt;Madison,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bl>
    <w:p w14:paraId="17148A10" w14:textId="77777777" w:rsidR="00EA34B9" w:rsidRPr="005D3F76" w:rsidRDefault="00EA34B9">
      <w:pPr>
        <w:rPr>
          <w:rFonts w:cs="Times New Roman"/>
        </w:rPr>
      </w:pPr>
    </w:p>
    <w:p w14:paraId="6E0FA33F" w14:textId="0AFFAC62" w:rsidR="00EA34B9" w:rsidRPr="005D3F76" w:rsidRDefault="00EA34B9" w:rsidP="00EA34B9">
      <w:pPr>
        <w:pStyle w:val="EndnoteText"/>
        <w:rPr>
          <w:rFonts w:cs="Times New Roman"/>
          <w:sz w:val="24"/>
          <w:szCs w:val="24"/>
        </w:rPr>
      </w:pPr>
      <w:r w:rsidRPr="005D3F76">
        <w:rPr>
          <w:rFonts w:cs="Times New Roman"/>
          <w:sz w:val="24"/>
          <w:szCs w:val="24"/>
        </w:rPr>
        <w:lastRenderedPageBreak/>
        <w:t>Table 3 Continued</w:t>
      </w:r>
    </w:p>
    <w:tbl>
      <w:tblPr>
        <w:tblStyle w:val="TableGrid"/>
        <w:tblW w:w="0" w:type="auto"/>
        <w:tblLook w:val="04A0" w:firstRow="1" w:lastRow="0" w:firstColumn="1" w:lastColumn="0" w:noHBand="0" w:noVBand="1"/>
      </w:tblPr>
      <w:tblGrid>
        <w:gridCol w:w="4675"/>
        <w:gridCol w:w="1558"/>
        <w:gridCol w:w="3117"/>
      </w:tblGrid>
      <w:tr w:rsidR="00EA34B9" w:rsidRPr="005D3F76" w14:paraId="225B867F" w14:textId="77777777" w:rsidTr="0012433F">
        <w:tc>
          <w:tcPr>
            <w:tcW w:w="4675" w:type="dxa"/>
            <w:tcBorders>
              <w:bottom w:val="single" w:sz="4" w:space="0" w:color="auto"/>
            </w:tcBorders>
          </w:tcPr>
          <w:p w14:paraId="13474AE4" w14:textId="04AC4E8F" w:rsidR="00EA34B9" w:rsidRPr="005D3F76" w:rsidRDefault="00EA34B9" w:rsidP="00EA34B9">
            <w:pPr>
              <w:spacing w:after="120" w:line="240" w:lineRule="auto"/>
              <w:rPr>
                <w:rFonts w:cs="Times New Roman"/>
                <w:szCs w:val="24"/>
              </w:rPr>
            </w:pPr>
            <w:r w:rsidRPr="005D3F76">
              <w:rPr>
                <w:rFonts w:cs="Times New Roman"/>
                <w:b/>
                <w:szCs w:val="24"/>
              </w:rPr>
              <w:t>Title</w:t>
            </w:r>
          </w:p>
        </w:tc>
        <w:tc>
          <w:tcPr>
            <w:tcW w:w="1558" w:type="dxa"/>
            <w:tcBorders>
              <w:bottom w:val="single" w:sz="4" w:space="0" w:color="auto"/>
            </w:tcBorders>
          </w:tcPr>
          <w:p w14:paraId="3110C6E6" w14:textId="614E8669" w:rsidR="00EA34B9" w:rsidRPr="005D3F76" w:rsidRDefault="00EA34B9" w:rsidP="00EA34B9">
            <w:pPr>
              <w:spacing w:after="120" w:line="240" w:lineRule="auto"/>
              <w:jc w:val="center"/>
              <w:rPr>
                <w:rFonts w:cs="Times New Roman"/>
                <w:szCs w:val="24"/>
              </w:rPr>
            </w:pPr>
            <w:r w:rsidRPr="005D3F76">
              <w:rPr>
                <w:rFonts w:cs="Times New Roman"/>
                <w:b/>
                <w:szCs w:val="24"/>
              </w:rPr>
              <w:t>Date</w:t>
            </w:r>
          </w:p>
        </w:tc>
        <w:tc>
          <w:tcPr>
            <w:tcW w:w="3117" w:type="dxa"/>
            <w:tcBorders>
              <w:bottom w:val="single" w:sz="4" w:space="0" w:color="auto"/>
            </w:tcBorders>
          </w:tcPr>
          <w:p w14:paraId="6BAB36A0" w14:textId="1C874868" w:rsidR="00EA34B9" w:rsidRPr="005D3F76" w:rsidRDefault="00EA34B9" w:rsidP="00EA34B9">
            <w:pPr>
              <w:spacing w:after="120" w:line="240" w:lineRule="auto"/>
              <w:jc w:val="center"/>
              <w:rPr>
                <w:rFonts w:cs="Times New Roman"/>
                <w:szCs w:val="24"/>
              </w:rPr>
            </w:pPr>
            <w:r w:rsidRPr="005D3F76">
              <w:rPr>
                <w:rFonts w:cs="Times New Roman"/>
                <w:b/>
                <w:szCs w:val="24"/>
              </w:rPr>
              <w:t>Author</w:t>
            </w:r>
          </w:p>
        </w:tc>
      </w:tr>
      <w:tr w:rsidR="0012433F" w:rsidRPr="005D3F76" w14:paraId="1EAB6601" w14:textId="77777777" w:rsidTr="0012433F">
        <w:tc>
          <w:tcPr>
            <w:tcW w:w="4675" w:type="dxa"/>
            <w:tcBorders>
              <w:bottom w:val="single" w:sz="4" w:space="0" w:color="auto"/>
            </w:tcBorders>
          </w:tcPr>
          <w:p w14:paraId="169B035B" w14:textId="77777777" w:rsidR="0012433F" w:rsidRPr="005D3F76" w:rsidRDefault="0012433F" w:rsidP="0012433F">
            <w:pPr>
              <w:spacing w:after="120" w:line="240" w:lineRule="auto"/>
              <w:rPr>
                <w:rFonts w:cs="Times New Roman"/>
                <w:szCs w:val="24"/>
              </w:rPr>
            </w:pPr>
            <w:r w:rsidRPr="005D3F76">
              <w:rPr>
                <w:rFonts w:cs="Times New Roman"/>
                <w:szCs w:val="24"/>
              </w:rPr>
              <w:t>“Public Unions Face Uncertain Future; Their Leaders Vow To Continue Fighting Despite Reduced Dues And Cuts In Their Staff; Recall Aftermath”</w:t>
            </w:r>
          </w:p>
        </w:tc>
        <w:tc>
          <w:tcPr>
            <w:tcW w:w="1558" w:type="dxa"/>
            <w:tcBorders>
              <w:bottom w:val="single" w:sz="4" w:space="0" w:color="auto"/>
            </w:tcBorders>
          </w:tcPr>
          <w:p w14:paraId="53DC7180" w14:textId="77777777" w:rsidR="0012433F" w:rsidRPr="005D3F76" w:rsidRDefault="0012433F" w:rsidP="0012433F">
            <w:pPr>
              <w:spacing w:after="120" w:line="240" w:lineRule="auto"/>
              <w:jc w:val="center"/>
              <w:rPr>
                <w:rFonts w:cs="Times New Roman"/>
                <w:szCs w:val="24"/>
              </w:rPr>
            </w:pPr>
            <w:r w:rsidRPr="005D3F76">
              <w:rPr>
                <w:rFonts w:cs="Times New Roman"/>
                <w:szCs w:val="24"/>
              </w:rPr>
              <w:t>06/10/2012</w:t>
            </w:r>
          </w:p>
        </w:tc>
        <w:tc>
          <w:tcPr>
            <w:tcW w:w="3117" w:type="dxa"/>
            <w:tcBorders>
              <w:bottom w:val="single" w:sz="4" w:space="0" w:color="auto"/>
            </w:tcBorders>
          </w:tcPr>
          <w:p w14:paraId="4AFB1D99"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Verburg</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Hidden="1"&gt;&lt;Author&gt;Verburg&lt;/Author&gt;&lt;Year&gt;2012&lt;/Year&gt;&lt;RecNum&gt;112&lt;/RecNum&gt;&lt;record&gt;&lt;rec-number&gt;112&lt;/rec-number&gt;&lt;foreign-keys&gt;&lt;key app="EN" db-id="etwareaz8xpxz3et59b50d9vxrata9z2w2zt" timestamp="1455578480"&gt;112&lt;/key&gt;&lt;/foreign-keys&gt;&lt;ref-type name="Newspaper Article"&gt;23&lt;/ref-type&gt;&lt;contributors&gt;&lt;authors&gt;&lt;author&gt;Steven Verburg&lt;/author&gt;&lt;/authors&gt;&lt;/contributors&gt;&lt;titles&gt;&lt;title&gt;Public Unions Face Uncertain Future: Ther Leaders Vow to Continue Fighting Despite Reduced Dues and Cuts in Their Staff: Recall Aftermath&lt;/title&gt;&lt;secondary-title&gt;Wisconsin State Journal&lt;/secondary-title&gt;&lt;/titles&gt;&lt;pages&gt;C1&lt;/pages&gt;&lt;section&gt;Local Sunday&lt;/section&gt;&lt;dates&gt;&lt;year&gt;2012&lt;/year&gt;&lt;pub-dates&gt;&lt;date&gt;June 10&lt;/date&gt;&lt;/pub-dates&gt;&lt;/dates&gt;&lt;pub-location&gt;Madison,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6FFEB523" w14:textId="77777777" w:rsidTr="0012433F">
        <w:tc>
          <w:tcPr>
            <w:tcW w:w="4675" w:type="dxa"/>
            <w:tcBorders>
              <w:top w:val="single" w:sz="4" w:space="0" w:color="auto"/>
            </w:tcBorders>
          </w:tcPr>
          <w:p w14:paraId="3074EBA9" w14:textId="77777777" w:rsidR="0012433F" w:rsidRPr="005D3F76" w:rsidRDefault="0012433F" w:rsidP="0012433F">
            <w:pPr>
              <w:spacing w:after="120" w:line="240" w:lineRule="auto"/>
              <w:rPr>
                <w:rFonts w:cs="Times New Roman"/>
                <w:szCs w:val="24"/>
              </w:rPr>
            </w:pPr>
            <w:r w:rsidRPr="005D3F76">
              <w:rPr>
                <w:rFonts w:cs="Times New Roman"/>
                <w:szCs w:val="24"/>
              </w:rPr>
              <w:t>“Majority Of School Unions Survive; The Recertification’s Rate Was Roughly 80 Percent, According To A Tally By The Associated Press”</w:t>
            </w:r>
          </w:p>
        </w:tc>
        <w:tc>
          <w:tcPr>
            <w:tcW w:w="1558" w:type="dxa"/>
            <w:tcBorders>
              <w:top w:val="single" w:sz="4" w:space="0" w:color="auto"/>
            </w:tcBorders>
          </w:tcPr>
          <w:p w14:paraId="10818E2F" w14:textId="77777777" w:rsidR="0012433F" w:rsidRPr="005D3F76" w:rsidRDefault="0012433F" w:rsidP="0012433F">
            <w:pPr>
              <w:spacing w:after="120" w:line="240" w:lineRule="auto"/>
              <w:jc w:val="center"/>
              <w:rPr>
                <w:rFonts w:cs="Times New Roman"/>
                <w:szCs w:val="24"/>
              </w:rPr>
            </w:pPr>
            <w:r w:rsidRPr="005D3F76">
              <w:rPr>
                <w:rFonts w:cs="Times New Roman"/>
                <w:szCs w:val="24"/>
              </w:rPr>
              <w:t>12/20/2013</w:t>
            </w:r>
          </w:p>
        </w:tc>
        <w:tc>
          <w:tcPr>
            <w:tcW w:w="3117" w:type="dxa"/>
            <w:tcBorders>
              <w:top w:val="single" w:sz="4" w:space="0" w:color="auto"/>
            </w:tcBorders>
          </w:tcPr>
          <w:p w14:paraId="5538681B" w14:textId="77777777" w:rsidR="0012433F" w:rsidRPr="005D3F76" w:rsidRDefault="0012433F" w:rsidP="0012433F">
            <w:pPr>
              <w:spacing w:after="120" w:line="240" w:lineRule="auto"/>
              <w:jc w:val="center"/>
              <w:rPr>
                <w:rFonts w:cs="Times New Roman"/>
                <w:szCs w:val="24"/>
              </w:rPr>
            </w:pPr>
            <w:r w:rsidRPr="005D3F76">
              <w:rPr>
                <w:rFonts w:cs="Times New Roman"/>
                <w:szCs w:val="24"/>
              </w:rPr>
              <w:t>Todd Richmond</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Hidden="1"&gt;&lt;Author&gt;Richmond&lt;/Author&gt;&lt;Year&gt;2013&lt;/Year&gt;&lt;RecNum&gt;111&lt;/RecNum&gt;&lt;record&gt;&lt;rec-number&gt;111&lt;/rec-number&gt;&lt;foreign-keys&gt;&lt;key app="EN" db-id="etwareaz8xpxz3et59b50d9vxrata9z2w2zt" timestamp="1455578222"&gt;111&lt;/key&gt;&lt;/foreign-keys&gt;&lt;ref-type name="Newspaper Article"&gt;23&lt;/ref-type&gt;&lt;contributors&gt;&lt;authors&gt;&lt;author&gt;Todd Richmond&lt;/author&gt;&lt;/authors&gt;&lt;/contributors&gt;&lt;titles&gt;&lt;title&gt;Majority of School Unions Survive: The Recertification Rate Was Roughly 80 Percent, According to a Tally by The Associated Press&lt;/title&gt;&lt;secondary-title&gt;Wisconsin State Journal&lt;/secondary-title&gt;&lt;/titles&gt;&lt;pages&gt;A3&lt;/pages&gt;&lt;edition&gt;December 20&lt;/edition&gt;&lt;section&gt;Local&lt;/section&gt;&lt;dates&gt;&lt;year&gt;2013&lt;/year&gt;&lt;/dates&gt;&lt;pub-location&gt;Madison,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0F0762BD" w14:textId="77777777" w:rsidTr="0012433F">
        <w:tc>
          <w:tcPr>
            <w:tcW w:w="4675" w:type="dxa"/>
          </w:tcPr>
          <w:p w14:paraId="2B59CF6D" w14:textId="77777777" w:rsidR="0012433F" w:rsidRPr="005D3F76" w:rsidRDefault="0012433F" w:rsidP="0012433F">
            <w:pPr>
              <w:spacing w:after="120" w:line="240" w:lineRule="auto"/>
              <w:rPr>
                <w:rFonts w:cs="Times New Roman"/>
                <w:szCs w:val="24"/>
              </w:rPr>
            </w:pPr>
            <w:r w:rsidRPr="005D3F76">
              <w:rPr>
                <w:rFonts w:cs="Times New Roman"/>
                <w:szCs w:val="24"/>
              </w:rPr>
              <w:t>“Alternative Teachers Union Surfaces; The Group Bills Itself As Nonpartisan But Gets Sizable Donation From Conservative Groups and Supports Act 10 Union Restrictions”</w:t>
            </w:r>
          </w:p>
        </w:tc>
        <w:tc>
          <w:tcPr>
            <w:tcW w:w="1558" w:type="dxa"/>
          </w:tcPr>
          <w:p w14:paraId="2F7763DD" w14:textId="77777777" w:rsidR="0012433F" w:rsidRPr="005D3F76" w:rsidRDefault="0012433F" w:rsidP="0012433F">
            <w:pPr>
              <w:spacing w:after="120" w:line="240" w:lineRule="auto"/>
              <w:jc w:val="center"/>
              <w:rPr>
                <w:rFonts w:cs="Times New Roman"/>
                <w:szCs w:val="24"/>
              </w:rPr>
            </w:pPr>
            <w:r w:rsidRPr="005D3F76">
              <w:rPr>
                <w:rFonts w:cs="Times New Roman"/>
                <w:szCs w:val="24"/>
              </w:rPr>
              <w:t>12/29/2013</w:t>
            </w:r>
          </w:p>
        </w:tc>
        <w:tc>
          <w:tcPr>
            <w:tcW w:w="3117" w:type="dxa"/>
          </w:tcPr>
          <w:p w14:paraId="123ED1E8" w14:textId="77777777" w:rsidR="0012433F" w:rsidRPr="005D3F76" w:rsidRDefault="0012433F" w:rsidP="0012433F">
            <w:pPr>
              <w:spacing w:after="120" w:line="240" w:lineRule="auto"/>
              <w:jc w:val="center"/>
              <w:rPr>
                <w:rFonts w:cs="Times New Roman"/>
                <w:szCs w:val="24"/>
              </w:rPr>
            </w:pPr>
            <w:r w:rsidRPr="005D3F76">
              <w:rPr>
                <w:rFonts w:cs="Times New Roman"/>
                <w:szCs w:val="24"/>
              </w:rPr>
              <w:t>Molly Beck</w:t>
            </w:r>
          </w:p>
        </w:tc>
      </w:tr>
      <w:tr w:rsidR="0012433F" w:rsidRPr="005D3F76" w14:paraId="5530E831" w14:textId="77777777" w:rsidTr="0012433F">
        <w:tc>
          <w:tcPr>
            <w:tcW w:w="4675" w:type="dxa"/>
          </w:tcPr>
          <w:p w14:paraId="29639BA4" w14:textId="795D151C" w:rsidR="0012433F" w:rsidRPr="005D3F76" w:rsidRDefault="0012433F" w:rsidP="0012433F">
            <w:pPr>
              <w:spacing w:after="120" w:line="240" w:lineRule="auto"/>
              <w:rPr>
                <w:rFonts w:cs="Times New Roman"/>
                <w:szCs w:val="24"/>
              </w:rPr>
            </w:pPr>
            <w:r w:rsidRPr="005D3F76">
              <w:rPr>
                <w:rFonts w:cs="Times New Roman"/>
                <w:szCs w:val="24"/>
              </w:rPr>
              <w:t xml:space="preserve">“Unions Lose Their Appeal Of Act 10; A Federal Appeals Court Upholds Walker’s Public Union </w:t>
            </w:r>
            <w:r w:rsidR="00E341FA" w:rsidRPr="005D3F76">
              <w:rPr>
                <w:rFonts w:cs="Times New Roman"/>
                <w:szCs w:val="24"/>
              </w:rPr>
              <w:t>Restrictions;</w:t>
            </w:r>
            <w:r w:rsidRPr="005D3F76">
              <w:rPr>
                <w:rFonts w:cs="Times New Roman"/>
                <w:szCs w:val="24"/>
              </w:rPr>
              <w:t xml:space="preserve"> Collective Bargaining”</w:t>
            </w:r>
          </w:p>
        </w:tc>
        <w:tc>
          <w:tcPr>
            <w:tcW w:w="1558" w:type="dxa"/>
          </w:tcPr>
          <w:p w14:paraId="6D56B825" w14:textId="77777777" w:rsidR="0012433F" w:rsidRPr="005D3F76" w:rsidRDefault="0012433F" w:rsidP="0012433F">
            <w:pPr>
              <w:spacing w:after="120" w:line="240" w:lineRule="auto"/>
              <w:jc w:val="center"/>
              <w:rPr>
                <w:rFonts w:cs="Times New Roman"/>
                <w:szCs w:val="24"/>
              </w:rPr>
            </w:pPr>
            <w:r w:rsidRPr="005D3F76">
              <w:rPr>
                <w:rFonts w:cs="Times New Roman"/>
                <w:szCs w:val="24"/>
              </w:rPr>
              <w:t>04/19/2014</w:t>
            </w:r>
          </w:p>
        </w:tc>
        <w:tc>
          <w:tcPr>
            <w:tcW w:w="3117" w:type="dxa"/>
          </w:tcPr>
          <w:p w14:paraId="32E34DEA" w14:textId="77777777" w:rsidR="0012433F" w:rsidRPr="005D3F76" w:rsidRDefault="0012433F" w:rsidP="0012433F">
            <w:pPr>
              <w:spacing w:after="120" w:line="240" w:lineRule="auto"/>
              <w:jc w:val="center"/>
              <w:rPr>
                <w:rFonts w:cs="Times New Roman"/>
                <w:szCs w:val="24"/>
              </w:rPr>
            </w:pPr>
            <w:r w:rsidRPr="005D3F76">
              <w:rPr>
                <w:rFonts w:cs="Times New Roman"/>
                <w:szCs w:val="24"/>
              </w:rPr>
              <w:t>Associated Press</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Hidden="1"&gt;&lt;Author&gt;Richmond&lt;/Author&gt;&lt;Year&gt;2013&lt;/Year&gt;&lt;RecNum&gt;111&lt;/RecNum&gt;&lt;record&gt;&lt;rec-number&gt;111&lt;/rec-number&gt;&lt;foreign-keys&gt;&lt;key app="EN" db-id="etwareaz8xpxz3et59b50d9vxrata9z2w2zt" timestamp="1455578222"&gt;111&lt;/key&gt;&lt;/foreign-keys&gt;&lt;ref-type name="Newspaper Article"&gt;23&lt;/ref-type&gt;&lt;contributors&gt;&lt;authors&gt;&lt;author&gt;Todd Richmond&lt;/author&gt;&lt;/authors&gt;&lt;/contributors&gt;&lt;titles&gt;&lt;title&gt;Majority of School Unions Survive: The Recertification Rate Was Roughly 80 Percent, According to a Tally by The Associated Press&lt;/title&gt;&lt;secondary-title&gt;Wisconsin State Journal&lt;/secondary-title&gt;&lt;/titles&gt;&lt;pages&gt;A3&lt;/pages&gt;&lt;edition&gt;December 20&lt;/edition&gt;&lt;section&gt;Local&lt;/section&gt;&lt;dates&gt;&lt;year&gt;2013&lt;/year&gt;&lt;/dates&gt;&lt;pub-location&gt;Madison,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18FB6D43" w14:textId="77777777" w:rsidTr="0012433F">
        <w:tc>
          <w:tcPr>
            <w:tcW w:w="4675" w:type="dxa"/>
          </w:tcPr>
          <w:p w14:paraId="50488601" w14:textId="77777777" w:rsidR="0012433F" w:rsidRPr="005D3F76" w:rsidRDefault="0012433F" w:rsidP="0012433F">
            <w:pPr>
              <w:spacing w:after="120" w:line="240" w:lineRule="auto"/>
              <w:rPr>
                <w:rFonts w:cs="Times New Roman"/>
                <w:szCs w:val="24"/>
              </w:rPr>
            </w:pPr>
            <w:r w:rsidRPr="005D3F76">
              <w:rPr>
                <w:rFonts w:cs="Times New Roman"/>
                <w:szCs w:val="24"/>
              </w:rPr>
              <w:t>“Justices Ready To Rule On Act 10; Wisconsin Supreme Court’s Decisions Coming Thursday”</w:t>
            </w:r>
          </w:p>
        </w:tc>
        <w:tc>
          <w:tcPr>
            <w:tcW w:w="1558" w:type="dxa"/>
          </w:tcPr>
          <w:p w14:paraId="0949A4EA" w14:textId="77777777" w:rsidR="0012433F" w:rsidRPr="005D3F76" w:rsidRDefault="0012433F" w:rsidP="0012433F">
            <w:pPr>
              <w:spacing w:after="120" w:line="240" w:lineRule="auto"/>
              <w:jc w:val="center"/>
              <w:rPr>
                <w:rFonts w:cs="Times New Roman"/>
                <w:szCs w:val="24"/>
              </w:rPr>
            </w:pPr>
            <w:r w:rsidRPr="005D3F76">
              <w:rPr>
                <w:rFonts w:cs="Times New Roman"/>
                <w:szCs w:val="24"/>
              </w:rPr>
              <w:t>07/30/2014</w:t>
            </w:r>
          </w:p>
        </w:tc>
        <w:tc>
          <w:tcPr>
            <w:tcW w:w="3117" w:type="dxa"/>
          </w:tcPr>
          <w:p w14:paraId="69486299" w14:textId="77777777" w:rsidR="0012433F" w:rsidRPr="005D3F76" w:rsidRDefault="0012433F" w:rsidP="0012433F">
            <w:pPr>
              <w:spacing w:after="120" w:line="240" w:lineRule="auto"/>
              <w:jc w:val="center"/>
              <w:rPr>
                <w:rFonts w:cs="Times New Roman"/>
                <w:szCs w:val="24"/>
              </w:rPr>
            </w:pPr>
            <w:r w:rsidRPr="005D3F76">
              <w:rPr>
                <w:rFonts w:cs="Times New Roman"/>
                <w:szCs w:val="24"/>
              </w:rPr>
              <w:t>Scott Bauer</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Hidden="1"&gt;&lt;Author&gt;Bauer&lt;/Author&gt;&lt;Year&gt;2014&lt;/Year&gt;&lt;RecNum&gt;108&lt;/RecNum&gt;&lt;record&gt;&lt;rec-number&gt;108&lt;/rec-number&gt;&lt;foreign-keys&gt;&lt;key app="EN" db-id="etwareaz8xpxz3et59b50d9vxrata9z2w2zt" timestamp="1455577830"&gt;108&lt;/key&gt;&lt;/foreign-keys&gt;&lt;ref-type name="Newspaper Article"&gt;23&lt;/ref-type&gt;&lt;contributors&gt;&lt;authors&gt;&lt;author&gt;Scott Bauer&lt;/author&gt;&lt;/authors&gt;&lt;/contributors&gt;&lt;titles&gt;&lt;title&gt;Justices Ready To Rule On ACT 10: Wisconsin Supreme Court Decisions Coming Thursday&lt;/title&gt;&lt;secondary-title&gt;Wisconsin State Journal&lt;/secondary-title&gt;&lt;/titles&gt;&lt;pages&gt;A3&lt;/pages&gt;&lt;section&gt;Local&lt;/section&gt;&lt;dates&gt;&lt;year&gt;2014&lt;/year&gt;&lt;pub-dates&gt;&lt;date&gt;July 30&lt;/date&gt;&lt;/pub-dates&gt;&lt;/dates&gt;&lt;pub-location&gt;Madison,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448643A3" w14:textId="77777777" w:rsidTr="0012433F">
        <w:tc>
          <w:tcPr>
            <w:tcW w:w="4675" w:type="dxa"/>
          </w:tcPr>
          <w:p w14:paraId="009B697A" w14:textId="77777777" w:rsidR="0012433F" w:rsidRPr="005D3F76" w:rsidRDefault="0012433F" w:rsidP="0012433F">
            <w:pPr>
              <w:spacing w:after="120" w:line="240" w:lineRule="auto"/>
              <w:rPr>
                <w:rFonts w:cs="Times New Roman"/>
                <w:szCs w:val="24"/>
              </w:rPr>
            </w:pPr>
            <w:r w:rsidRPr="005D3F76">
              <w:rPr>
                <w:rFonts w:cs="Times New Roman"/>
                <w:szCs w:val="24"/>
              </w:rPr>
              <w:t>“Walker Zings Burke For Black Students Troubles In Madison”</w:t>
            </w:r>
          </w:p>
        </w:tc>
        <w:tc>
          <w:tcPr>
            <w:tcW w:w="1558" w:type="dxa"/>
          </w:tcPr>
          <w:p w14:paraId="652A2165" w14:textId="77777777" w:rsidR="0012433F" w:rsidRPr="005D3F76" w:rsidRDefault="0012433F" w:rsidP="0012433F">
            <w:pPr>
              <w:spacing w:after="120" w:line="240" w:lineRule="auto"/>
              <w:jc w:val="center"/>
              <w:rPr>
                <w:rFonts w:cs="Times New Roman"/>
                <w:szCs w:val="24"/>
              </w:rPr>
            </w:pPr>
            <w:r w:rsidRPr="005D3F76">
              <w:rPr>
                <w:rFonts w:cs="Times New Roman"/>
                <w:szCs w:val="24"/>
              </w:rPr>
              <w:t>09/04/2014</w:t>
            </w:r>
          </w:p>
        </w:tc>
        <w:tc>
          <w:tcPr>
            <w:tcW w:w="3117" w:type="dxa"/>
          </w:tcPr>
          <w:p w14:paraId="1C5002C0" w14:textId="77777777" w:rsidR="0012433F" w:rsidRPr="005D3F76" w:rsidRDefault="0012433F" w:rsidP="0012433F">
            <w:pPr>
              <w:spacing w:after="120" w:line="240" w:lineRule="auto"/>
              <w:jc w:val="center"/>
              <w:rPr>
                <w:rFonts w:cs="Times New Roman"/>
                <w:szCs w:val="24"/>
              </w:rPr>
            </w:pPr>
            <w:r w:rsidRPr="005D3F76">
              <w:rPr>
                <w:rFonts w:cs="Times New Roman"/>
                <w:szCs w:val="24"/>
              </w:rPr>
              <w:t>Molly Beck and Mary Spicuzza</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Hidden="1"&gt;&lt;Author&gt;Beck&lt;/Author&gt;&lt;Year&gt;2014&lt;/Year&gt;&lt;RecNum&gt;106&lt;/RecNum&gt;&lt;record&gt;&lt;rec-number&gt;106&lt;/rec-number&gt;&lt;foreign-keys&gt;&lt;key app="EN" db-id="etwareaz8xpxz3et59b50d9vxrata9z2w2zt" timestamp="1455577658"&gt;106&lt;/key&gt;&lt;/foreign-keys&gt;&lt;ref-type name="Newspaper Article"&gt;23&lt;/ref-type&gt;&lt;contributors&gt;&lt;authors&gt;&lt;author&gt;Molly Beck&lt;/author&gt;&lt;author&gt;Mary Spicuzza&lt;/author&gt;&lt;/authors&gt;&lt;/contributors&gt;&lt;titles&gt;&lt;title&gt;Walker Sings Burke for Black Students&amp;apos; Troubles in Madison&lt;/title&gt;&lt;secondary-title&gt;Wisconsin State Journal&lt;/secondary-title&gt;&lt;/titles&gt;&lt;pages&gt;A1&lt;/pages&gt;&lt;edition&gt;September 4&lt;/edition&gt;&lt;section&gt;Front&lt;/section&gt;&lt;dates&gt;&lt;year&gt;2014&lt;/year&gt;&lt;/dates&gt;&lt;pub-location&gt;Madison,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3058B4DC" w14:textId="77777777" w:rsidTr="0012433F">
        <w:tc>
          <w:tcPr>
            <w:tcW w:w="4675" w:type="dxa"/>
          </w:tcPr>
          <w:p w14:paraId="6DDD8D6B" w14:textId="77777777" w:rsidR="0012433F" w:rsidRPr="005D3F76" w:rsidRDefault="0012433F" w:rsidP="0012433F">
            <w:pPr>
              <w:spacing w:after="120" w:line="240" w:lineRule="auto"/>
              <w:rPr>
                <w:rFonts w:cs="Times New Roman"/>
                <w:szCs w:val="24"/>
              </w:rPr>
            </w:pPr>
            <w:r w:rsidRPr="005D3F76">
              <w:rPr>
                <w:rFonts w:cs="Times New Roman"/>
                <w:szCs w:val="24"/>
              </w:rPr>
              <w:t>“Act 10 About To Hit Local Teachers, Government Workers”</w:t>
            </w:r>
          </w:p>
        </w:tc>
        <w:tc>
          <w:tcPr>
            <w:tcW w:w="1558" w:type="dxa"/>
          </w:tcPr>
          <w:p w14:paraId="67872D77" w14:textId="77777777" w:rsidR="0012433F" w:rsidRPr="005D3F76" w:rsidRDefault="0012433F" w:rsidP="0012433F">
            <w:pPr>
              <w:spacing w:after="120" w:line="240" w:lineRule="auto"/>
              <w:jc w:val="center"/>
              <w:rPr>
                <w:rFonts w:cs="Times New Roman"/>
                <w:szCs w:val="24"/>
              </w:rPr>
            </w:pPr>
            <w:r w:rsidRPr="005D3F76">
              <w:rPr>
                <w:rFonts w:cs="Times New Roman"/>
                <w:szCs w:val="24"/>
              </w:rPr>
              <w:t>08/01/2014</w:t>
            </w:r>
          </w:p>
        </w:tc>
        <w:tc>
          <w:tcPr>
            <w:tcW w:w="3117" w:type="dxa"/>
          </w:tcPr>
          <w:p w14:paraId="47E82823" w14:textId="77777777" w:rsidR="0012433F" w:rsidRPr="005D3F76" w:rsidRDefault="0012433F" w:rsidP="0012433F">
            <w:pPr>
              <w:spacing w:after="120" w:line="240" w:lineRule="auto"/>
              <w:jc w:val="center"/>
              <w:rPr>
                <w:rFonts w:cs="Times New Roman"/>
                <w:szCs w:val="24"/>
              </w:rPr>
            </w:pPr>
            <w:r w:rsidRPr="005D3F76">
              <w:rPr>
                <w:rFonts w:cs="Times New Roman"/>
                <w:szCs w:val="24"/>
              </w:rPr>
              <w:t>Steven Verburg and Molly Beck</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Hidden="1"&gt;&lt;Author&gt;Defour&lt;/Author&gt;&lt;Year&gt;2012&lt;/Year&gt;&lt;RecNum&gt;118&lt;/RecNum&gt;&lt;record&gt;&lt;rec-number&gt;118&lt;/rec-number&gt;&lt;foreign-keys&gt;&lt;key app="EN" db-id="etwareaz8xpxz3et59b50d9vxrata9z2w2zt" timestamp="1455579014"&gt;118&lt;/key&gt;&lt;/foreign-keys&gt;&lt;ref-type name="Newspaper Article"&gt;23&lt;/ref-type&gt;&lt;contributors&gt;&lt;authors&gt;&lt;author&gt;Matthew Defour&lt;/author&gt;&lt;author&gt;Steven Verburg&lt;/author&gt;&lt;/authors&gt;&lt;/contributors&gt;&lt;titles&gt;&lt;title&gt;ACT 10 Ruling Efffect Minimal?: Some Labor Experts Say Management Still Would Have Most of the Power in Contract Negotiations: Collective Bargaining&lt;/title&gt;&lt;secondary-title&gt;Wisconsin State Journal&lt;/secondary-title&gt;&lt;/titles&gt;&lt;pages&gt;A1&lt;/pages&gt;&lt;section&gt;Front&lt;/section&gt;&lt;dates&gt;&lt;year&gt;2012&lt;/year&gt;&lt;pub-dates&gt;&lt;date&gt;September 2012&lt;/date&gt;&lt;/pub-dates&gt;&lt;/dates&gt;&lt;pub-location&gt;Madison,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6E4C819F" w14:textId="77777777" w:rsidTr="0012433F">
        <w:tc>
          <w:tcPr>
            <w:tcW w:w="4675" w:type="dxa"/>
          </w:tcPr>
          <w:p w14:paraId="561F3636" w14:textId="77777777" w:rsidR="0012433F" w:rsidRPr="005D3F76" w:rsidRDefault="0012433F" w:rsidP="0012433F">
            <w:pPr>
              <w:spacing w:after="120" w:line="240" w:lineRule="auto"/>
              <w:rPr>
                <w:rFonts w:cs="Times New Roman"/>
                <w:szCs w:val="24"/>
              </w:rPr>
            </w:pPr>
            <w:r w:rsidRPr="005D3F76">
              <w:rPr>
                <w:rFonts w:cs="Times New Roman"/>
                <w:szCs w:val="24"/>
              </w:rPr>
              <w:t>“Madison Schools Resistant To Change”</w:t>
            </w:r>
          </w:p>
        </w:tc>
        <w:tc>
          <w:tcPr>
            <w:tcW w:w="1558" w:type="dxa"/>
          </w:tcPr>
          <w:p w14:paraId="066F8ABD" w14:textId="77777777" w:rsidR="0012433F" w:rsidRPr="005D3F76" w:rsidRDefault="0012433F" w:rsidP="0012433F">
            <w:pPr>
              <w:spacing w:after="120" w:line="240" w:lineRule="auto"/>
              <w:jc w:val="center"/>
              <w:rPr>
                <w:rFonts w:cs="Times New Roman"/>
                <w:szCs w:val="24"/>
              </w:rPr>
            </w:pPr>
            <w:r w:rsidRPr="005D3F76">
              <w:rPr>
                <w:rFonts w:cs="Times New Roman"/>
                <w:szCs w:val="24"/>
              </w:rPr>
              <w:t>08/11/2015</w:t>
            </w:r>
          </w:p>
        </w:tc>
        <w:tc>
          <w:tcPr>
            <w:tcW w:w="3117" w:type="dxa"/>
          </w:tcPr>
          <w:p w14:paraId="002A3554" w14:textId="77777777" w:rsidR="0012433F" w:rsidRPr="005D3F76" w:rsidRDefault="0012433F" w:rsidP="0012433F">
            <w:pPr>
              <w:spacing w:after="120" w:line="240" w:lineRule="auto"/>
              <w:jc w:val="center"/>
              <w:rPr>
                <w:rFonts w:cs="Times New Roman"/>
                <w:szCs w:val="24"/>
              </w:rPr>
            </w:pPr>
            <w:r w:rsidRPr="005D3F76">
              <w:rPr>
                <w:rFonts w:cs="Times New Roman"/>
                <w:szCs w:val="24"/>
              </w:rPr>
              <w:t>Chris Rickert</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Hidden="1"&gt;&lt;Author&gt;Rickert&lt;/Author&gt;&lt;Year&gt;2015&lt;/Year&gt;&lt;RecNum&gt;103&lt;/RecNum&gt;&lt;record&gt;&lt;rec-number&gt;103&lt;/rec-number&gt;&lt;foreign-keys&gt;&lt;key app="EN" db-id="etwareaz8xpxz3et59b50d9vxrata9z2w2zt" timestamp="1455577257"&gt;103&lt;/key&gt;&lt;/foreign-keys&gt;&lt;ref-type name="Newspaper Article"&gt;23&lt;/ref-type&gt;&lt;contributors&gt;&lt;authors&gt;&lt;author&gt;Chris Rickert&lt;/author&gt;&lt;/authors&gt;&lt;/contributors&gt;&lt;titles&gt;&lt;title&gt;Madison Schools Resistant to Change&lt;/title&gt;&lt;secondary-title&gt;Wisconsin State Journal&lt;/secondary-title&gt;&lt;/titles&gt;&lt;pages&gt;A3&lt;/pages&gt;&lt;section&gt;Local&lt;/section&gt;&lt;dates&gt;&lt;year&gt;2015&lt;/year&gt;&lt;pub-dates&gt;&lt;date&gt;August 11&lt;/date&gt;&lt;/pub-dates&gt;&lt;/dates&gt;&lt;pub-location&gt;Madison,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0E0AA5D8" w14:textId="77777777" w:rsidTr="0012433F">
        <w:tc>
          <w:tcPr>
            <w:tcW w:w="4675" w:type="dxa"/>
          </w:tcPr>
          <w:p w14:paraId="0815B41E" w14:textId="77777777" w:rsidR="0012433F" w:rsidRPr="005D3F76" w:rsidRDefault="0012433F" w:rsidP="0012433F">
            <w:pPr>
              <w:spacing w:after="120" w:line="240" w:lineRule="auto"/>
              <w:rPr>
                <w:rFonts w:cs="Times New Roman"/>
                <w:szCs w:val="24"/>
              </w:rPr>
            </w:pPr>
            <w:r w:rsidRPr="005D3F76">
              <w:rPr>
                <w:rFonts w:cs="Times New Roman"/>
                <w:szCs w:val="24"/>
              </w:rPr>
              <w:t>“WEAC Turns To Boards, Parents; Union Uses Local Focus In Bid To Rebuild Influence”</w:t>
            </w:r>
          </w:p>
        </w:tc>
        <w:tc>
          <w:tcPr>
            <w:tcW w:w="1558" w:type="dxa"/>
          </w:tcPr>
          <w:p w14:paraId="43AB8E6F" w14:textId="77777777" w:rsidR="0012433F" w:rsidRPr="005D3F76" w:rsidRDefault="0012433F" w:rsidP="0012433F">
            <w:pPr>
              <w:spacing w:after="120" w:line="240" w:lineRule="auto"/>
              <w:jc w:val="center"/>
              <w:rPr>
                <w:rFonts w:cs="Times New Roman"/>
                <w:szCs w:val="24"/>
              </w:rPr>
            </w:pPr>
            <w:r w:rsidRPr="005D3F76">
              <w:rPr>
                <w:rFonts w:cs="Times New Roman"/>
                <w:szCs w:val="24"/>
              </w:rPr>
              <w:t>02/22/2015</w:t>
            </w:r>
          </w:p>
        </w:tc>
        <w:tc>
          <w:tcPr>
            <w:tcW w:w="3117" w:type="dxa"/>
          </w:tcPr>
          <w:p w14:paraId="27840042" w14:textId="77777777" w:rsidR="0012433F" w:rsidRPr="005D3F76" w:rsidRDefault="0012433F" w:rsidP="0012433F">
            <w:pPr>
              <w:spacing w:after="120" w:line="240" w:lineRule="auto"/>
              <w:jc w:val="center"/>
              <w:rPr>
                <w:rFonts w:cs="Times New Roman"/>
                <w:szCs w:val="24"/>
              </w:rPr>
            </w:pPr>
            <w:r w:rsidRPr="005D3F76">
              <w:rPr>
                <w:rFonts w:cs="Times New Roman"/>
                <w:szCs w:val="24"/>
              </w:rPr>
              <w:t>Molly Beck</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Hidden="1"&gt;&lt;Author&gt;Beck&lt;/Author&gt;&lt;Year&gt;2015&lt;/Year&gt;&lt;RecNum&gt;105&lt;/RecNum&gt;&lt;record&gt;&lt;rec-number&gt;105&lt;/rec-number&gt;&lt;foreign-keys&gt;&lt;key app="EN" db-id="etwareaz8xpxz3et59b50d9vxrata9z2w2zt" timestamp="1455577576"&gt;105&lt;/key&gt;&lt;/foreign-keys&gt;&lt;ref-type name="Newspaper Article"&gt;23&lt;/ref-type&gt;&lt;contributors&gt;&lt;authors&gt;&lt;author&gt;Molly Beck&lt;/author&gt;&lt;/authors&gt;&lt;/contributors&gt;&lt;titles&gt;&lt;title&gt;WEAC Turns to Boards, Parents: Union Uses Local Focus in Bid to Rebuild Influence&lt;/title&gt;&lt;secondary-title&gt;Wisconsin State Journal&lt;/secondary-title&gt;&lt;/titles&gt;&lt;pages&gt;A1&lt;/pages&gt;&lt;section&gt;Front&lt;/section&gt;&lt;dates&gt;&lt;year&gt;2015&lt;/year&gt;&lt;pub-dates&gt;&lt;date&gt;Feburary 22&lt;/date&gt;&lt;/pub-dates&gt;&lt;/dates&gt;&lt;pub-location&gt;Madison,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r w:rsidR="0012433F" w:rsidRPr="005D3F76" w14:paraId="5B0B273F" w14:textId="77777777" w:rsidTr="0012433F">
        <w:tc>
          <w:tcPr>
            <w:tcW w:w="4675" w:type="dxa"/>
          </w:tcPr>
          <w:p w14:paraId="4988F5FB" w14:textId="77777777" w:rsidR="0012433F" w:rsidRPr="005D3F76" w:rsidRDefault="0012433F" w:rsidP="0012433F">
            <w:pPr>
              <w:spacing w:after="120" w:line="240" w:lineRule="auto"/>
              <w:rPr>
                <w:rFonts w:cs="Times New Roman"/>
                <w:szCs w:val="24"/>
              </w:rPr>
            </w:pPr>
            <w:r w:rsidRPr="005D3F76">
              <w:rPr>
                <w:rFonts w:cs="Times New Roman"/>
                <w:szCs w:val="24"/>
              </w:rPr>
              <w:t>“Walker, Christie Take Different Paths On Union Issues”</w:t>
            </w:r>
          </w:p>
        </w:tc>
        <w:tc>
          <w:tcPr>
            <w:tcW w:w="1558" w:type="dxa"/>
          </w:tcPr>
          <w:p w14:paraId="265185F6" w14:textId="77777777" w:rsidR="0012433F" w:rsidRPr="005D3F76" w:rsidRDefault="0012433F" w:rsidP="0012433F">
            <w:pPr>
              <w:spacing w:after="120" w:line="240" w:lineRule="auto"/>
              <w:jc w:val="center"/>
              <w:rPr>
                <w:rFonts w:cs="Times New Roman"/>
                <w:szCs w:val="24"/>
              </w:rPr>
            </w:pPr>
            <w:r w:rsidRPr="005D3F76">
              <w:rPr>
                <w:rFonts w:cs="Times New Roman"/>
                <w:szCs w:val="24"/>
              </w:rPr>
              <w:t>02/26/2015</w:t>
            </w:r>
          </w:p>
        </w:tc>
        <w:tc>
          <w:tcPr>
            <w:tcW w:w="3117" w:type="dxa"/>
          </w:tcPr>
          <w:p w14:paraId="208CF7CD" w14:textId="77777777" w:rsidR="0012433F" w:rsidRPr="005D3F76" w:rsidRDefault="0012433F" w:rsidP="0012433F">
            <w:pPr>
              <w:spacing w:after="120" w:line="240" w:lineRule="auto"/>
              <w:jc w:val="center"/>
              <w:rPr>
                <w:rFonts w:cs="Times New Roman"/>
                <w:szCs w:val="24"/>
              </w:rPr>
            </w:pPr>
            <w:r w:rsidRPr="005D3F76">
              <w:rPr>
                <w:rFonts w:cs="Times New Roman"/>
                <w:szCs w:val="24"/>
              </w:rPr>
              <w:t>Jill Colvin and Scott Bauer</w:t>
            </w:r>
            <w:r w:rsidRPr="005D3F76">
              <w:rPr>
                <w:rFonts w:cs="Times New Roman"/>
                <w:szCs w:val="24"/>
              </w:rPr>
              <w:fldChar w:fldCharType="begin"/>
            </w:r>
            <w:r w:rsidRPr="005D3F76">
              <w:rPr>
                <w:rFonts w:cs="Times New Roman"/>
                <w:szCs w:val="24"/>
              </w:rPr>
              <w:instrText xml:space="preserve"> ADDIN EN.CITE &lt;EndNote&gt;&lt;Cite ExcludeAuth="1" ExcludeYear="1" Hidden="1"&gt;&lt;Author&gt;Colvin&lt;/Author&gt;&lt;Year&gt;2015&lt;/Year&gt;&lt;RecNum&gt;104&lt;/RecNum&gt;&lt;record&gt;&lt;rec-number&gt;104&lt;/rec-number&gt;&lt;foreign-keys&gt;&lt;key app="EN" db-id="etwareaz8xpxz3et59b50d9vxrata9z2w2zt" timestamp="1455577482"&gt;104&lt;/key&gt;&lt;/foreign-keys&gt;&lt;ref-type name="Newspaper Article"&gt;23&lt;/ref-type&gt;&lt;contributors&gt;&lt;authors&gt;&lt;author&gt;Jill Colvin&lt;/author&gt;&lt;author&gt;Scott Bauer&lt;/author&gt;&lt;/authors&gt;&lt;/contributors&gt;&lt;titles&gt;&lt;title&gt;Walker, Christie Take Different Paths on Union Issues&lt;/title&gt;&lt;secondary-title&gt;Wisconsin State Jounral&lt;/secondary-title&gt;&lt;/titles&gt;&lt;pages&gt;A9&lt;/pages&gt;&lt;section&gt;Local&lt;/section&gt;&lt;dates&gt;&lt;year&gt;2015&lt;/year&gt;&lt;pub-dates&gt;&lt;date&gt;Feburary 26&lt;/date&gt;&lt;/pub-dates&gt;&lt;/dates&gt;&lt;pub-location&gt;Madison, Wisconsin&lt;/pub-location&gt;&lt;publisher&gt;Madison Newspapers&lt;/publisher&gt;&lt;urls&gt;&lt;/urls&gt;&lt;/record&gt;&lt;/Cite&gt;&lt;/EndNote&gt;</w:instrText>
            </w:r>
            <w:r w:rsidRPr="005D3F76">
              <w:rPr>
                <w:rFonts w:cs="Times New Roman"/>
                <w:szCs w:val="24"/>
              </w:rPr>
              <w:fldChar w:fldCharType="end"/>
            </w:r>
          </w:p>
        </w:tc>
      </w:tr>
    </w:tbl>
    <w:p w14:paraId="55ED896E" w14:textId="77777777" w:rsidR="0012433F" w:rsidRPr="005D3F76" w:rsidRDefault="0012433F" w:rsidP="0012433F">
      <w:pPr>
        <w:pStyle w:val="EndnoteText"/>
        <w:rPr>
          <w:rFonts w:cs="Times New Roman"/>
          <w:sz w:val="24"/>
          <w:szCs w:val="24"/>
        </w:rPr>
      </w:pPr>
    </w:p>
    <w:p w14:paraId="14BE303B" w14:textId="77777777" w:rsidR="0012433F" w:rsidRPr="005D3F76" w:rsidRDefault="0012433F" w:rsidP="0012433F">
      <w:pPr>
        <w:pStyle w:val="EndnoteText"/>
        <w:rPr>
          <w:rFonts w:cs="Times New Roman"/>
          <w:sz w:val="24"/>
          <w:szCs w:val="24"/>
        </w:rPr>
      </w:pPr>
    </w:p>
    <w:p w14:paraId="7919B418" w14:textId="77777777" w:rsidR="003D72CB" w:rsidRPr="005D3F76" w:rsidRDefault="003D72CB">
      <w:pPr>
        <w:spacing w:after="160" w:line="259" w:lineRule="auto"/>
        <w:rPr>
          <w:rFonts w:cs="Times New Roman"/>
          <w:szCs w:val="24"/>
        </w:rPr>
      </w:pPr>
      <w:r w:rsidRPr="005D3F76">
        <w:rPr>
          <w:rFonts w:cs="Times New Roman"/>
          <w:szCs w:val="24"/>
        </w:rPr>
        <w:br w:type="page"/>
      </w:r>
    </w:p>
    <w:p w14:paraId="5F4D1728" w14:textId="4C808276" w:rsidR="0012433F" w:rsidRPr="005D3F76" w:rsidRDefault="0012433F" w:rsidP="0012433F">
      <w:pPr>
        <w:pStyle w:val="EndnoteText"/>
        <w:rPr>
          <w:rFonts w:cs="Times New Roman"/>
          <w:sz w:val="24"/>
          <w:szCs w:val="24"/>
        </w:rPr>
      </w:pPr>
      <w:r w:rsidRPr="005D3F76">
        <w:rPr>
          <w:rFonts w:cs="Times New Roman"/>
          <w:sz w:val="24"/>
          <w:szCs w:val="24"/>
        </w:rPr>
        <w:lastRenderedPageBreak/>
        <w:t xml:space="preserve">Table 4: </w:t>
      </w:r>
      <w:r w:rsidRPr="005D3F76">
        <w:rPr>
          <w:rFonts w:cs="Times New Roman"/>
          <w:i/>
          <w:sz w:val="24"/>
          <w:szCs w:val="24"/>
        </w:rPr>
        <w:t>Capital Times</w:t>
      </w:r>
      <w:r w:rsidRPr="005D3F76">
        <w:rPr>
          <w:rFonts w:cs="Times New Roman"/>
          <w:sz w:val="24"/>
          <w:szCs w:val="24"/>
        </w:rPr>
        <w:t xml:space="preserve"> Articles</w:t>
      </w:r>
    </w:p>
    <w:tbl>
      <w:tblPr>
        <w:tblStyle w:val="TableGrid"/>
        <w:tblW w:w="0" w:type="auto"/>
        <w:tblLook w:val="04A0" w:firstRow="1" w:lastRow="0" w:firstColumn="1" w:lastColumn="0" w:noHBand="0" w:noVBand="1"/>
      </w:tblPr>
      <w:tblGrid>
        <w:gridCol w:w="4675"/>
        <w:gridCol w:w="1558"/>
        <w:gridCol w:w="3117"/>
      </w:tblGrid>
      <w:tr w:rsidR="0012433F" w:rsidRPr="005D3F76" w14:paraId="539E1008" w14:textId="77777777" w:rsidTr="0012433F">
        <w:tc>
          <w:tcPr>
            <w:tcW w:w="4675" w:type="dxa"/>
          </w:tcPr>
          <w:p w14:paraId="2B7E3D90" w14:textId="77777777" w:rsidR="0012433F" w:rsidRPr="005D3F76" w:rsidRDefault="0012433F" w:rsidP="0012433F">
            <w:pPr>
              <w:pStyle w:val="EndnoteText"/>
              <w:spacing w:after="120"/>
              <w:jc w:val="center"/>
              <w:rPr>
                <w:rFonts w:cs="Times New Roman"/>
                <w:b/>
                <w:sz w:val="24"/>
                <w:szCs w:val="24"/>
              </w:rPr>
            </w:pPr>
            <w:r w:rsidRPr="005D3F76">
              <w:rPr>
                <w:rFonts w:cs="Times New Roman"/>
                <w:b/>
                <w:sz w:val="24"/>
                <w:szCs w:val="24"/>
              </w:rPr>
              <w:t>Title</w:t>
            </w:r>
          </w:p>
        </w:tc>
        <w:tc>
          <w:tcPr>
            <w:tcW w:w="1558" w:type="dxa"/>
          </w:tcPr>
          <w:p w14:paraId="250C8399" w14:textId="77777777" w:rsidR="0012433F" w:rsidRPr="005D3F76" w:rsidRDefault="0012433F" w:rsidP="0012433F">
            <w:pPr>
              <w:pStyle w:val="EndnoteText"/>
              <w:spacing w:after="120"/>
              <w:jc w:val="center"/>
              <w:rPr>
                <w:rFonts w:cs="Times New Roman"/>
                <w:b/>
                <w:sz w:val="24"/>
                <w:szCs w:val="24"/>
              </w:rPr>
            </w:pPr>
            <w:r w:rsidRPr="005D3F76">
              <w:rPr>
                <w:rFonts w:cs="Times New Roman"/>
                <w:b/>
                <w:sz w:val="24"/>
                <w:szCs w:val="24"/>
              </w:rPr>
              <w:t>Date</w:t>
            </w:r>
          </w:p>
        </w:tc>
        <w:tc>
          <w:tcPr>
            <w:tcW w:w="3117" w:type="dxa"/>
          </w:tcPr>
          <w:p w14:paraId="6C214697" w14:textId="77777777" w:rsidR="0012433F" w:rsidRPr="005D3F76" w:rsidRDefault="0012433F" w:rsidP="0012433F">
            <w:pPr>
              <w:pStyle w:val="EndnoteText"/>
              <w:spacing w:after="120"/>
              <w:jc w:val="center"/>
              <w:rPr>
                <w:rFonts w:cs="Times New Roman"/>
                <w:b/>
                <w:sz w:val="24"/>
                <w:szCs w:val="24"/>
              </w:rPr>
            </w:pPr>
            <w:r w:rsidRPr="005D3F76">
              <w:rPr>
                <w:rFonts w:cs="Times New Roman"/>
                <w:b/>
                <w:sz w:val="24"/>
                <w:szCs w:val="24"/>
              </w:rPr>
              <w:t>Author</w:t>
            </w:r>
          </w:p>
        </w:tc>
      </w:tr>
      <w:tr w:rsidR="0012433F" w:rsidRPr="005D3F76" w14:paraId="23FE527C" w14:textId="77777777" w:rsidTr="0012433F">
        <w:tc>
          <w:tcPr>
            <w:tcW w:w="4675" w:type="dxa"/>
          </w:tcPr>
          <w:p w14:paraId="71D9E270"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“’Silent Majority’ Raps Union Response To Glendale Report”</w:t>
            </w:r>
          </w:p>
        </w:tc>
        <w:tc>
          <w:tcPr>
            <w:tcW w:w="1558" w:type="dxa"/>
          </w:tcPr>
          <w:p w14:paraId="4ED0D33B"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01/19/2011</w:t>
            </w:r>
          </w:p>
        </w:tc>
        <w:tc>
          <w:tcPr>
            <w:tcW w:w="3117" w:type="dxa"/>
          </w:tcPr>
          <w:p w14:paraId="3C4451AE"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Susan Troller</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Hidden="1"&gt;&lt;Author&gt;Troller&lt;/Author&gt;&lt;Year&gt;2011&lt;/Year&gt;&lt;RecNum&gt;143&lt;/RecNum&gt;&lt;record&gt;&lt;rec-number&gt;143&lt;/rec-number&gt;&lt;foreign-keys&gt;&lt;key app="EN" db-id="etwareaz8xpxz3et59b50d9vxrata9z2w2zt" timestamp="1455741654"&gt;143&lt;/key&gt;&lt;/foreign-keys&gt;&lt;ref-type name="Newspaper Article"&gt;23&lt;/ref-type&gt;&lt;contributors&gt;&lt;authors&gt;&lt;author&gt;Susan Troller&lt;/author&gt;&lt;/authors&gt;&lt;/contributors&gt;&lt;titles&gt;&lt;title&gt;&amp;apos;Silent Majority&amp;apos; Raps Union Response to Glendale Report&lt;/title&gt;&lt;secondary-title&gt;The Capital Times&lt;/secondary-title&gt;&lt;/titles&gt;&lt;pages&gt;11&lt;/pages&gt;&lt;section&gt;All Edition&lt;/section&gt;&lt;dates&gt;&lt;year&gt;2011&lt;/year&gt;&lt;pub-dates&gt;&lt;date&gt;January 19&lt;/date&gt;&lt;/pub-dates&gt;&lt;/dates&gt;&lt;pub-location&gt;Madison,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3BE2160B" w14:textId="77777777" w:rsidTr="0012433F">
        <w:tc>
          <w:tcPr>
            <w:tcW w:w="4675" w:type="dxa"/>
          </w:tcPr>
          <w:p w14:paraId="6EAF2374"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“GOP Legislators Play Hardball Not Beanbag”</w:t>
            </w:r>
          </w:p>
        </w:tc>
        <w:tc>
          <w:tcPr>
            <w:tcW w:w="1558" w:type="dxa"/>
          </w:tcPr>
          <w:p w14:paraId="4FF01320"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01/26/2011</w:t>
            </w:r>
          </w:p>
        </w:tc>
        <w:tc>
          <w:tcPr>
            <w:tcW w:w="3117" w:type="dxa"/>
          </w:tcPr>
          <w:p w14:paraId="481A8160"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Ed Garvey</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Hidden="1"&gt;&lt;Author&gt;Garvey&lt;/Author&gt;&lt;Year&gt;2011&lt;/Year&gt;&lt;RecNum&gt;144&lt;/RecNum&gt;&lt;record&gt;&lt;rec-number&gt;144&lt;/rec-number&gt;&lt;foreign-keys&gt;&lt;key app="EN" db-id="etwareaz8xpxz3et59b50d9vxrata9z2w2zt" timestamp="1455741722"&gt;144&lt;/key&gt;&lt;/foreign-keys&gt;&lt;ref-type name="Newspaper Article"&gt;23&lt;/ref-type&gt;&lt;contributors&gt;&lt;authors&gt;&lt;author&gt;Ed Garvey&lt;/author&gt;&lt;/authors&gt;&lt;/contributors&gt;&lt;titles&gt;&lt;title&gt;GOP Legislators Play Hardball, Not Beanbag&lt;/title&gt;&lt;secondary-title&gt;The Capital Times&lt;/secondary-title&gt;&lt;/titles&gt;&lt;pages&gt;29&lt;/pages&gt;&lt;section&gt;All Edition&lt;/section&gt;&lt;dates&gt;&lt;year&gt;2011&lt;/year&gt;&lt;pub-dates&gt;&lt;date&gt;January 26&lt;/date&gt;&lt;/pub-dates&gt;&lt;/dates&gt;&lt;pub-location&gt;Madison,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71DAB517" w14:textId="77777777" w:rsidTr="0012433F">
        <w:tc>
          <w:tcPr>
            <w:tcW w:w="4675" w:type="dxa"/>
          </w:tcPr>
          <w:p w14:paraId="6B74797D"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“MATC union feels sting of new bargaining law”</w:t>
            </w:r>
          </w:p>
        </w:tc>
        <w:tc>
          <w:tcPr>
            <w:tcW w:w="1558" w:type="dxa"/>
          </w:tcPr>
          <w:p w14:paraId="6E6593EA"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03/23/2011</w:t>
            </w:r>
          </w:p>
        </w:tc>
        <w:tc>
          <w:tcPr>
            <w:tcW w:w="3117" w:type="dxa"/>
          </w:tcPr>
          <w:p w14:paraId="49E85A3D"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Todd Finkelmeyer</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Hidden="1"&gt;&lt;Author&gt;Finkelmeyer&lt;/Author&gt;&lt;Year&gt;2011&lt;/Year&gt;&lt;RecNum&gt;145&lt;/RecNum&gt;&lt;record&gt;&lt;rec-number&gt;145&lt;/rec-number&gt;&lt;foreign-keys&gt;&lt;key app="EN" db-id="etwareaz8xpxz3et59b50d9vxrata9z2w2zt" timestamp="1455741785"&gt;145&lt;/key&gt;&lt;/foreign-keys&gt;&lt;ref-type name="Newspaper Article"&gt;23&lt;/ref-type&gt;&lt;contributors&gt;&lt;authors&gt;&lt;author&gt;Todd Finkelmeyer&lt;/author&gt;&lt;/authors&gt;&lt;/contributors&gt;&lt;titles&gt;&lt;title&gt;MATC Union Feels Sting of New Bargaining Law&lt;/title&gt;&lt;secondary-title&gt;The Capital Times&lt;/secondary-title&gt;&lt;/titles&gt;&lt;pages&gt;15&lt;/pages&gt;&lt;section&gt;All Edition&lt;/section&gt;&lt;dates&gt;&lt;year&gt;2011&lt;/year&gt;&lt;pub-dates&gt;&lt;date&gt;March 23&lt;/date&gt;&lt;/pub-dates&gt;&lt;/dates&gt;&lt;pub-location&gt;Madison,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2FF6E771" w14:textId="77777777" w:rsidTr="0012433F">
        <w:tc>
          <w:tcPr>
            <w:tcW w:w="4675" w:type="dxa"/>
          </w:tcPr>
          <w:p w14:paraId="6E6238E0"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“Walker Should Take The Bull’s-Eye Off Teachers”</w:t>
            </w:r>
          </w:p>
        </w:tc>
        <w:tc>
          <w:tcPr>
            <w:tcW w:w="1558" w:type="dxa"/>
          </w:tcPr>
          <w:p w14:paraId="492CDD97"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06/01/2011</w:t>
            </w:r>
          </w:p>
        </w:tc>
        <w:tc>
          <w:tcPr>
            <w:tcW w:w="3117" w:type="dxa"/>
          </w:tcPr>
          <w:p w14:paraId="593DB934"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Paul Fanlund</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Hidden="1"&gt;&lt;Author&gt;Fanlund&lt;/Author&gt;&lt;Year&gt;2014&lt;/Year&gt;&lt;RecNum&gt;134&lt;/RecNum&gt;&lt;record&gt;&lt;rec-number&gt;134&lt;/rec-number&gt;&lt;foreign-keys&gt;&lt;key app="EN" db-id="etwareaz8xpxz3et59b50d9vxrata9z2w2zt" timestamp="1455740830"&gt;134&lt;/key&gt;&lt;/foreign-keys&gt;&lt;ref-type name="Newspaper Article"&gt;23&lt;/ref-type&gt;&lt;contributors&gt;&lt;authors&gt;&lt;author&gt;Paul Fanlund&lt;/author&gt;&lt;/authors&gt;&lt;/contributors&gt;&lt;titles&gt;&lt;title&gt;Is Wisconsin Destined to be a Rust Belt Backwater?: Editor&amp;apos;s Column&lt;/title&gt;&lt;secondary-title&gt;The Capital Times&lt;/secondary-title&gt;&lt;/titles&gt;&lt;pages&gt;7&lt;/pages&gt;&lt;section&gt;Editors Column&lt;/section&gt;&lt;dates&gt;&lt;year&gt;2014&lt;/year&gt;&lt;pub-dates&gt;&lt;date&gt;December 31&lt;/date&gt;&lt;/pub-dates&gt;&lt;/dates&gt;&lt;pub-location&gt;Madison,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745041E4" w14:textId="77777777" w:rsidTr="0012433F">
        <w:tc>
          <w:tcPr>
            <w:tcW w:w="4675" w:type="dxa"/>
          </w:tcPr>
          <w:p w14:paraId="2E19B4F1"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“Bullish About Public Education; Superintendent Tony Evers Has Emerged A Fierce Advocate of Schools In The Face Of Massive Cuts And Privatization Efforts”</w:t>
            </w:r>
          </w:p>
        </w:tc>
        <w:tc>
          <w:tcPr>
            <w:tcW w:w="1558" w:type="dxa"/>
          </w:tcPr>
          <w:p w14:paraId="2B3F41B1"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07/06/2011</w:t>
            </w:r>
          </w:p>
        </w:tc>
        <w:tc>
          <w:tcPr>
            <w:tcW w:w="3117" w:type="dxa"/>
          </w:tcPr>
          <w:p w14:paraId="34C7E95C"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Susan Troller</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Hidden="1"&gt;&lt;Author&gt;Troller&lt;/Author&gt;&lt;Year&gt;2011&lt;/Year&gt;&lt;RecNum&gt;147&lt;/RecNum&gt;&lt;record&gt;&lt;rec-number&gt;147&lt;/rec-number&gt;&lt;foreign-keys&gt;&lt;key app="EN" db-id="etwareaz8xpxz3et59b50d9vxrata9z2w2zt" timestamp="1455742017"&gt;147&lt;/key&gt;&lt;/foreign-keys&gt;&lt;ref-type name="Newspaper Article"&gt;23&lt;/ref-type&gt;&lt;contributors&gt;&lt;authors&gt;&lt;author&gt;Susan Troller&lt;/author&gt;&lt;/authors&gt;&lt;/contributors&gt;&lt;titles&gt;&lt;title&gt;Bullish About Public Education: Superintendent Tony Evers Has Emerged a Fierce Advocate of Schools in the Face of Massive Cuts and Privatization Efforts&lt;/title&gt;&lt;secondary-title&gt;The Capital Times&lt;/secondary-title&gt;&lt;/titles&gt;&lt;pages&gt;18&lt;/pages&gt;&lt;section&gt;All Edition&lt;/section&gt;&lt;dates&gt;&lt;year&gt;2011&lt;/year&gt;&lt;pub-dates&gt;&lt;date&gt;July 6&lt;/date&gt;&lt;/pub-dates&gt;&lt;/dates&gt;&lt;pub-location&gt;Madison,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0FB129ED" w14:textId="77777777" w:rsidTr="0012433F">
        <w:tc>
          <w:tcPr>
            <w:tcW w:w="4675" w:type="dxa"/>
          </w:tcPr>
          <w:p w14:paraId="45FCAF01"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“Walker Brings Unions Together”</w:t>
            </w:r>
          </w:p>
        </w:tc>
        <w:tc>
          <w:tcPr>
            <w:tcW w:w="1558" w:type="dxa"/>
          </w:tcPr>
          <w:p w14:paraId="09D297DA"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12/14/2011</w:t>
            </w:r>
          </w:p>
        </w:tc>
        <w:tc>
          <w:tcPr>
            <w:tcW w:w="3117" w:type="dxa"/>
          </w:tcPr>
          <w:p w14:paraId="6F183B8B"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Dave Zweifel</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Hidden="1"&gt;&lt;Author&gt;Zweifel&lt;/Author&gt;&lt;Year&gt;2011&lt;/Year&gt;&lt;RecNum&gt;148&lt;/RecNum&gt;&lt;record&gt;&lt;rec-number&gt;148&lt;/rec-number&gt;&lt;foreign-keys&gt;&lt;key app="EN" db-id="etwareaz8xpxz3et59b50d9vxrata9z2w2zt" timestamp="1455742093"&gt;148&lt;/key&gt;&lt;/foreign-keys&gt;&lt;ref-type name="Newspaper Article"&gt;23&lt;/ref-type&gt;&lt;contributors&gt;&lt;authors&gt;&lt;author&gt;Dave Zweifel&lt;/author&gt;&lt;/authors&gt;&lt;/contributors&gt;&lt;titles&gt;&lt;title&gt;Walker Brings Unions Together&lt;/title&gt;&lt;secondary-title&gt;The Capital Times&lt;/secondary-title&gt;&lt;/titles&gt;&lt;pages&gt;26&lt;/pages&gt;&lt;section&gt;Plain Talk&lt;/section&gt;&lt;dates&gt;&lt;year&gt;2011&lt;/year&gt;&lt;pub-dates&gt;&lt;date&gt;December 14&lt;/date&gt;&lt;/pub-dates&gt;&lt;/dates&gt;&lt;pub-location&gt;Madison,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7554821A" w14:textId="77777777" w:rsidTr="0012433F">
        <w:tc>
          <w:tcPr>
            <w:tcW w:w="4675" w:type="dxa"/>
          </w:tcPr>
          <w:p w14:paraId="1AA22844"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“Teachers Union Chief Explains New Reality For Labor Mary Bell”</w:t>
            </w:r>
          </w:p>
        </w:tc>
        <w:tc>
          <w:tcPr>
            <w:tcW w:w="1558" w:type="dxa"/>
          </w:tcPr>
          <w:p w14:paraId="59EF70E6"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12/05/2012</w:t>
            </w:r>
          </w:p>
        </w:tc>
        <w:tc>
          <w:tcPr>
            <w:tcW w:w="3117" w:type="dxa"/>
          </w:tcPr>
          <w:p w14:paraId="51CB0A3C"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Jack Craver</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Hidden="1"&gt;&lt;Author&gt;Craver&lt;/Author&gt;&lt;Year&gt;2012&lt;/Year&gt;&lt;RecNum&gt;142&lt;/RecNum&gt;&lt;record&gt;&lt;rec-number&gt;142&lt;/rec-number&gt;&lt;foreign-keys&gt;&lt;key app="EN" db-id="etwareaz8xpxz3et59b50d9vxrata9z2w2zt" timestamp="1455741580"&gt;142&lt;/key&gt;&lt;/foreign-keys&gt;&lt;ref-type name="Newspaper Article"&gt;23&lt;/ref-type&gt;&lt;contributors&gt;&lt;authors&gt;&lt;author&gt;Jack Craver&lt;/author&gt;&lt;/authors&gt;&lt;/contributors&gt;&lt;titles&gt;&lt;title&gt;Teachers Union Chief Explains New Reality For Labor: Q &amp;amp; A Mary Bell&lt;/title&gt;&lt;secondary-title&gt;The Capital Times&lt;/secondary-title&gt;&lt;/titles&gt;&lt;pages&gt;8&lt;/pages&gt;&lt;section&gt;All Edition&lt;/section&gt;&lt;dates&gt;&lt;year&gt;2012&lt;/year&gt;&lt;pub-dates&gt;&lt;date&gt;December 5&lt;/date&gt;&lt;/pub-dates&gt;&lt;/dates&gt;&lt;pub-location&gt;Madison,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1061AC83" w14:textId="77777777" w:rsidTr="0012433F">
        <w:tc>
          <w:tcPr>
            <w:tcW w:w="4675" w:type="dxa"/>
          </w:tcPr>
          <w:p w14:paraId="46100546"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“’Not Yet.’ Cheatham Says On Contract Talks; Schools”</w:t>
            </w:r>
          </w:p>
        </w:tc>
        <w:tc>
          <w:tcPr>
            <w:tcW w:w="1558" w:type="dxa"/>
          </w:tcPr>
          <w:p w14:paraId="6FA72292"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05/22/2012</w:t>
            </w:r>
          </w:p>
        </w:tc>
        <w:tc>
          <w:tcPr>
            <w:tcW w:w="3117" w:type="dxa"/>
          </w:tcPr>
          <w:p w14:paraId="79E63A90"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Pat Schneider</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Hidden="1"&gt;&lt;Author&gt;Schneider&lt;/Author&gt;&lt;Year&gt;2013&lt;/Year&gt;&lt;RecNum&gt;140&lt;/RecNum&gt;&lt;record&gt;&lt;rec-number&gt;140&lt;/rec-number&gt;&lt;foreign-keys&gt;&lt;key app="EN" db-id="etwareaz8xpxz3et59b50d9vxrata9z2w2zt" timestamp="1455741418"&gt;140&lt;/key&gt;&lt;/foreign-keys&gt;&lt;ref-type name="Newspaper Article"&gt;23&lt;/ref-type&gt;&lt;contributors&gt;&lt;authors&gt;&lt;author&gt;Pat Schneider&lt;/author&gt;&lt;/authors&gt;&lt;/contributors&gt;&lt;titles&gt;&lt;title&gt;&amp;apos;Not Yet:&amp;apos; Cheatham Sayon on Contract Talks: Schools&lt;/title&gt;&lt;secondary-title&gt;The Capital Times&lt;/secondary-title&gt;&lt;/titles&gt;&lt;pages&gt;15&lt;/pages&gt;&lt;section&gt;Schools&lt;/section&gt;&lt;dates&gt;&lt;year&gt;2013&lt;/year&gt;&lt;pub-dates&gt;&lt;date&gt;May 22&lt;/date&gt;&lt;/pub-dates&gt;&lt;/dates&gt;&lt;pub-location&gt;Madison,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521BFA2F" w14:textId="77777777" w:rsidTr="0012433F">
        <w:tc>
          <w:tcPr>
            <w:tcW w:w="4675" w:type="dxa"/>
          </w:tcPr>
          <w:p w14:paraId="0E23DD5B"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“UW Dean; Public K-12 Schools Are For The Public Good Julie Underwood”</w:t>
            </w:r>
          </w:p>
        </w:tc>
        <w:tc>
          <w:tcPr>
            <w:tcW w:w="1558" w:type="dxa"/>
          </w:tcPr>
          <w:p w14:paraId="10EFB5A4"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09/05/2012</w:t>
            </w:r>
          </w:p>
        </w:tc>
        <w:tc>
          <w:tcPr>
            <w:tcW w:w="3117" w:type="dxa"/>
          </w:tcPr>
          <w:p w14:paraId="5718164A"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Todd Finkelmeyer</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Hidden="1"&gt;&lt;Author&gt;Finkelmeyer&lt;/Author&gt;&lt;Year&gt;2012&lt;/Year&gt;&lt;RecNum&gt;150&lt;/RecNum&gt;&lt;record&gt;&lt;rec-number&gt;150&lt;/rec-number&gt;&lt;foreign-keys&gt;&lt;key app="EN" db-id="etwareaz8xpxz3et59b50d9vxrata9z2w2zt" timestamp="1455742300"&gt;150&lt;/key&gt;&lt;/foreign-keys&gt;&lt;ref-type name="Newspaper Article"&gt;23&lt;/ref-type&gt;&lt;contributors&gt;&lt;authors&gt;&lt;author&gt;Todd Finkelmeyer&lt;/author&gt;&lt;/authors&gt;&lt;/contributors&gt;&lt;titles&gt;&lt;title&gt;UW Dean: Public K-12 Schools are for the Public Good: Q &amp;amp; A Julie Underwodd&lt;/title&gt;&lt;secondary-title&gt;The Capital Times&lt;/secondary-title&gt;&lt;/titles&gt;&lt;pages&gt;8&lt;/pages&gt;&lt;section&gt;Q &amp;amp; A&lt;/section&gt;&lt;dates&gt;&lt;year&gt;2012&lt;/year&gt;&lt;pub-dates&gt;&lt;date&gt;September 5&lt;/date&gt;&lt;/pub-dates&gt;&lt;/dates&gt;&lt;pub-location&gt;Madison,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67EF5A30" w14:textId="77777777" w:rsidTr="0012433F">
        <w:tc>
          <w:tcPr>
            <w:tcW w:w="4675" w:type="dxa"/>
          </w:tcPr>
          <w:p w14:paraId="1659CD18"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“Education Forum Shows Divide persists Over Achievement Gap Strategy; Madison”</w:t>
            </w:r>
          </w:p>
        </w:tc>
        <w:tc>
          <w:tcPr>
            <w:tcW w:w="1558" w:type="dxa"/>
          </w:tcPr>
          <w:p w14:paraId="0E1DDA67"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12/12/2012</w:t>
            </w:r>
          </w:p>
        </w:tc>
        <w:tc>
          <w:tcPr>
            <w:tcW w:w="3117" w:type="dxa"/>
          </w:tcPr>
          <w:p w14:paraId="2A505C3D"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Pat Schneider</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Hidden="1"&gt;&lt;Author&gt;Schneider&lt;/Author&gt;&lt;Year&gt;2012&lt;/Year&gt;&lt;RecNum&gt;237&lt;/RecNum&gt;&lt;record&gt;&lt;rec-number&gt;237&lt;/rec-number&gt;&lt;foreign-keys&gt;&lt;key app="EN" db-id="etwareaz8xpxz3et59b50d9vxrata9z2w2zt" timestamp="1462932051"&gt;237&lt;/key&gt;&lt;/foreign-keys&gt;&lt;ref-type name="Newspaper Article"&gt;23&lt;/ref-type&gt;&lt;contributors&gt;&lt;authors&gt;&lt;author&gt;Pat Schneider&lt;/author&gt;&lt;/authors&gt;&lt;/contributors&gt;&lt;titles&gt;&lt;title&gt;Education Forum Shows Divide Persists Over Achievement Gap Strategy; Madison&lt;/title&gt;&lt;secondary-title&gt;Wisconsin State Journal&lt;/secondary-title&gt;&lt;/titles&gt;&lt;dates&gt;&lt;year&gt;2012&lt;/year&gt;&lt;pub-dates&gt;&lt;date&gt;December 12, 2012&lt;/date&gt;&lt;/pub-dates&gt;&lt;/dates&gt;&lt;pub-location&gt;Madison, Wisconsin&lt;/pub-location&gt;&lt;publisher&gt;Lee Enterprises&lt;/publisher&gt;&lt;urls&gt;&lt;/urls&gt;&lt;/record&gt;&lt;/Cite&gt;&lt;/EndNote&gt;</w:instrText>
            </w:r>
            <w:r w:rsidRPr="005D3F76">
              <w:rPr>
                <w:rFonts w:cs="Times New Roman"/>
                <w:sz w:val="24"/>
                <w:szCs w:val="24"/>
              </w:rPr>
              <w:fldChar w:fldCharType="end"/>
            </w:r>
          </w:p>
        </w:tc>
      </w:tr>
      <w:tr w:rsidR="0012433F" w:rsidRPr="005D3F76" w14:paraId="17DE55D8" w14:textId="77777777" w:rsidTr="0012433F">
        <w:tc>
          <w:tcPr>
            <w:tcW w:w="4675" w:type="dxa"/>
          </w:tcPr>
          <w:p w14:paraId="6463CEF5"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“Cheatham Calls For Accountability At Every Level,’ Schools”</w:t>
            </w:r>
          </w:p>
        </w:tc>
        <w:tc>
          <w:tcPr>
            <w:tcW w:w="1558" w:type="dxa"/>
          </w:tcPr>
          <w:p w14:paraId="64077FF1"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06/19/2013</w:t>
            </w:r>
          </w:p>
        </w:tc>
        <w:tc>
          <w:tcPr>
            <w:tcW w:w="3117" w:type="dxa"/>
          </w:tcPr>
          <w:p w14:paraId="0EC432D2"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Pat Schneider</w:t>
            </w:r>
            <w:r w:rsidRPr="005D3F76">
              <w:rPr>
                <w:rFonts w:cs="Times New Roman"/>
                <w:sz w:val="24"/>
                <w:szCs w:val="24"/>
              </w:rPr>
              <w:fldChar w:fldCharType="begin"/>
            </w:r>
            <w:r w:rsidRPr="005D3F76">
              <w:rPr>
                <w:rFonts w:cs="Times New Roman"/>
                <w:sz w:val="24"/>
                <w:szCs w:val="24"/>
              </w:rPr>
              <w:instrText xml:space="preserve"> ADDIN EN.CITE &lt;EndNote&gt;&lt;Cite Hidden="1"&gt;&lt;Author&gt;Schneider&lt;/Author&gt;&lt;Year&gt;2013&lt;/Year&gt;&lt;RecNum&gt;139&lt;/RecNum&gt;&lt;record&gt;&lt;rec-number&gt;139&lt;/rec-number&gt;&lt;foreign-keys&gt;&lt;key app="EN" db-id="etwareaz8xpxz3et59b50d9vxrata9z2w2zt" timestamp="1455741291"&gt;139&lt;/key&gt;&lt;/foreign-keys&gt;&lt;ref-type name="Newspaper Article"&gt;23&lt;/ref-type&gt;&lt;contributors&gt;&lt;authors&gt;&lt;author&gt;Pat Schneider&lt;/author&gt;&lt;/authors&gt;&lt;/contributors&gt;&lt;titles&gt;&lt;title&gt;Cheatham Calls for Accountability at Every Level: Schools&lt;/title&gt;&lt;secondary-title&gt;The Capital Times&lt;/secondary-title&gt;&lt;/titles&gt;&lt;pages&gt;15&lt;/pages&gt;&lt;section&gt;Schools&lt;/section&gt;&lt;dates&gt;&lt;year&gt;2013&lt;/year&gt;&lt;pub-dates&gt;&lt;date&gt;June 19&lt;/date&gt;&lt;/pub-dates&gt;&lt;/dates&gt;&lt;pub-location&gt;Madison,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127B0729" w14:textId="77777777" w:rsidTr="0012433F">
        <w:tc>
          <w:tcPr>
            <w:tcW w:w="4675" w:type="dxa"/>
          </w:tcPr>
          <w:p w14:paraId="478FF1BF"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“Hey Guilty Liberals, How About Ok For Madison Prep?”</w:t>
            </w:r>
          </w:p>
        </w:tc>
        <w:tc>
          <w:tcPr>
            <w:tcW w:w="1558" w:type="dxa"/>
          </w:tcPr>
          <w:p w14:paraId="783A01A7"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02/22/2014</w:t>
            </w:r>
          </w:p>
        </w:tc>
        <w:tc>
          <w:tcPr>
            <w:tcW w:w="3117" w:type="dxa"/>
          </w:tcPr>
          <w:p w14:paraId="645E58A1"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Dave Blaska</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Hidden="1"&gt;&lt;Author&gt;Blaska&lt;/Author&gt;&lt;Year&gt;2014&lt;/Year&gt;&lt;RecNum&gt;138&lt;/RecNum&gt;&lt;record&gt;&lt;rec-number&gt;138&lt;/rec-number&gt;&lt;foreign-keys&gt;&lt;key app="EN" db-id="etwareaz8xpxz3et59b50d9vxrata9z2w2zt" timestamp="1455741214"&gt;138&lt;/key&gt;&lt;/foreign-keys&gt;&lt;ref-type name="Newspaper Article"&gt;23&lt;/ref-type&gt;&lt;contributors&gt;&lt;authors&gt;&lt;author&gt;Dave Blaska&lt;/author&gt;&lt;/authors&gt;&lt;/contributors&gt;&lt;titles&gt;&lt;title&gt;Hey, Guilty Liberals, How About OK for Madison Prep?&lt;/title&gt;&lt;secondary-title&gt;The Capital Times&lt;/secondary-title&gt;&lt;/titles&gt;&lt;pages&gt;29&lt;/pages&gt;&lt;section&gt;All Edition&lt;/section&gt;&lt;dates&gt;&lt;year&gt;2014&lt;/year&gt;&lt;pub-dates&gt;&lt;date&gt;January 22&lt;/date&gt;&lt;/pub-dates&gt;&lt;/dates&gt;&lt;pub-location&gt;Madison,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355DD1DC" w14:textId="77777777" w:rsidTr="0012433F">
        <w:tc>
          <w:tcPr>
            <w:tcW w:w="4675" w:type="dxa"/>
          </w:tcPr>
          <w:p w14:paraId="14CE6E3D"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“Bold Words, Bold Deeds For Public Education”</w:t>
            </w:r>
          </w:p>
        </w:tc>
        <w:tc>
          <w:tcPr>
            <w:tcW w:w="1558" w:type="dxa"/>
          </w:tcPr>
          <w:p w14:paraId="4E67D26E"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04/23/2014</w:t>
            </w:r>
          </w:p>
        </w:tc>
        <w:tc>
          <w:tcPr>
            <w:tcW w:w="3117" w:type="dxa"/>
          </w:tcPr>
          <w:p w14:paraId="0000AF9D"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John Nichols</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Hidden="1"&gt;&lt;Author&gt;Nichols&lt;/Author&gt;&lt;Year&gt;2014&lt;/Year&gt;&lt;RecNum&gt;137&lt;/RecNum&gt;&lt;record&gt;&lt;rec-number&gt;137&lt;/rec-number&gt;&lt;foreign-keys&gt;&lt;key app="EN" db-id="etwareaz8xpxz3et59b50d9vxrata9z2w2zt" timestamp="1455741114"&gt;137&lt;/key&gt;&lt;/foreign-keys&gt;&lt;ref-type name="Newspaper Article"&gt;23&lt;/ref-type&gt;&lt;contributors&gt;&lt;authors&gt;&lt;author&gt;John Nichols&lt;/author&gt;&lt;/authors&gt;&lt;/contributors&gt;&lt;titles&gt;&lt;title&gt;Bold Words, Bold Deeds for Public Education&lt;/title&gt;&lt;secondary-title&gt;The Capital Times&lt;/secondary-title&gt;&lt;/titles&gt;&lt;pages&gt;27&lt;/pages&gt;&lt;section&gt;All Edition&lt;/section&gt;&lt;dates&gt;&lt;year&gt;2014&lt;/year&gt;&lt;pub-dates&gt;&lt;date&gt;April 23&lt;/date&gt;&lt;/pub-dates&gt;&lt;/dates&gt;&lt;pub-location&gt;Madison,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6C8892CD" w14:textId="77777777" w:rsidTr="0012433F">
        <w:tc>
          <w:tcPr>
            <w:tcW w:w="4675" w:type="dxa"/>
          </w:tcPr>
          <w:p w14:paraId="6B48A4C3"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“New Poll Shows Parents Divided On Teachers Unions; Schools”</w:t>
            </w:r>
          </w:p>
        </w:tc>
        <w:tc>
          <w:tcPr>
            <w:tcW w:w="1558" w:type="dxa"/>
          </w:tcPr>
          <w:p w14:paraId="5CE5AB2C"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10/15/2014</w:t>
            </w:r>
          </w:p>
        </w:tc>
        <w:tc>
          <w:tcPr>
            <w:tcW w:w="3117" w:type="dxa"/>
          </w:tcPr>
          <w:p w14:paraId="71E4AB32"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Pat Schneider</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Hidden="1"&gt;&lt;Author&gt;Schneider&lt;/Author&gt;&lt;Year&gt;2014&lt;/Year&gt;&lt;RecNum&gt;136&lt;/RecNum&gt;&lt;record&gt;&lt;rec-number&gt;136&lt;/rec-number&gt;&lt;foreign-keys&gt;&lt;key app="EN" db-id="etwareaz8xpxz3et59b50d9vxrata9z2w2zt" timestamp="1455741031"&gt;136&lt;/key&gt;&lt;/foreign-keys&gt;&lt;ref-type name="Newspaper Article"&gt;23&lt;/ref-type&gt;&lt;contributors&gt;&lt;authors&gt;&lt;author&gt;Pat Schneider&lt;/author&gt;&lt;/authors&gt;&lt;/contributors&gt;&lt;titles&gt;&lt;title&gt;New Poll Shows Parents Divded on Teachers Unions: Schools&lt;/title&gt;&lt;secondary-title&gt;The Capital Times&lt;/secondary-title&gt;&lt;/titles&gt;&lt;pages&gt;10&lt;/pages&gt;&lt;section&gt;Schools&lt;/section&gt;&lt;dates&gt;&lt;year&gt;2014&lt;/year&gt;&lt;pub-dates&gt;&lt;date&gt;October 15&lt;/date&gt;&lt;/pub-dates&gt;&lt;/dates&gt;&lt;pub-location&gt;Madison,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2C3605DC" w14:textId="77777777" w:rsidTr="0012433F">
        <w:tc>
          <w:tcPr>
            <w:tcW w:w="4675" w:type="dxa"/>
          </w:tcPr>
          <w:p w14:paraId="4E74A334"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“Is Wisconsin Destined To Be A Rust Belt BackWater?; Editors Column”</w:t>
            </w:r>
          </w:p>
        </w:tc>
        <w:tc>
          <w:tcPr>
            <w:tcW w:w="1558" w:type="dxa"/>
          </w:tcPr>
          <w:p w14:paraId="6BA5EEE9"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12/31/2014</w:t>
            </w:r>
          </w:p>
        </w:tc>
        <w:tc>
          <w:tcPr>
            <w:tcW w:w="3117" w:type="dxa"/>
          </w:tcPr>
          <w:p w14:paraId="57CB457F"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Paul Fanlund</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Hidden="1"&gt;&lt;Author&gt;Fanlund&lt;/Author&gt;&lt;Year&gt;2014&lt;/Year&gt;&lt;RecNum&gt;134&lt;/RecNum&gt;&lt;record&gt;&lt;rec-number&gt;134&lt;/rec-number&gt;&lt;foreign-keys&gt;&lt;key app="EN" db-id="etwareaz8xpxz3et59b50d9vxrata9z2w2zt" timestamp="1455740830"&gt;134&lt;/key&gt;&lt;/foreign-keys&gt;&lt;ref-type name="Newspaper Article"&gt;23&lt;/ref-type&gt;&lt;contributors&gt;&lt;authors&gt;&lt;author&gt;Paul Fanlund&lt;/author&gt;&lt;/authors&gt;&lt;/contributors&gt;&lt;titles&gt;&lt;title&gt;Is Wisconsin Destined to be a Rust Belt Backwater?: Editor&amp;apos;s Column&lt;/title&gt;&lt;secondary-title&gt;The Capital Times&lt;/secondary-title&gt;&lt;/titles&gt;&lt;pages&gt;7&lt;/pages&gt;&lt;section&gt;Editors Column&lt;/section&gt;&lt;dates&gt;&lt;year&gt;2014&lt;/year&gt;&lt;pub-dates&gt;&lt;date&gt;December 31&lt;/date&gt;&lt;/pub-dates&gt;&lt;/dates&gt;&lt;pub-location&gt;Madison,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3FB643C9" w14:textId="77777777" w:rsidTr="0012433F">
        <w:tc>
          <w:tcPr>
            <w:tcW w:w="4675" w:type="dxa"/>
          </w:tcPr>
          <w:p w14:paraId="2F8B91E7"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“Politicians Dish Out The Lies, And We Let Them; Plain Talk”</w:t>
            </w:r>
          </w:p>
        </w:tc>
        <w:tc>
          <w:tcPr>
            <w:tcW w:w="1558" w:type="dxa"/>
          </w:tcPr>
          <w:p w14:paraId="1869219D"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03/25/2015</w:t>
            </w:r>
          </w:p>
        </w:tc>
        <w:tc>
          <w:tcPr>
            <w:tcW w:w="3117" w:type="dxa"/>
          </w:tcPr>
          <w:p w14:paraId="143B3D95"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Dave Zweifel</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Hidden="1"&gt;&lt;Author&gt;Zweifel&lt;/Author&gt;&lt;Year&gt;2015&lt;/Year&gt;&lt;RecNum&gt;133&lt;/RecNum&gt;&lt;record&gt;&lt;rec-number&gt;133&lt;/rec-number&gt;&lt;foreign-keys&gt;&lt;key app="EN" db-id="etwareaz8xpxz3et59b50d9vxrata9z2w2zt" timestamp="1455740725"&gt;133&lt;/key&gt;&lt;/foreign-keys&gt;&lt;ref-type name="Newspaper Article"&gt;23&lt;/ref-type&gt;&lt;contributors&gt;&lt;authors&gt;&lt;author&gt;Ave Zweifel&lt;/author&gt;&lt;/authors&gt;&lt;/contributors&gt;&lt;titles&gt;&lt;title&gt;Politicians Dish Out the Lies, and We Let Them: Plain Talk&lt;/title&gt;&lt;secondary-title&gt;The Capital Times&lt;/secondary-title&gt;&lt;/titles&gt;&lt;pages&gt;40&lt;/pages&gt;&lt;section&gt;Plain Talk&lt;/section&gt;&lt;dates&gt;&lt;year&gt;2015&lt;/year&gt;&lt;pub-dates&gt;&lt;date&gt;March 25&lt;/date&gt;&lt;/pub-dates&gt;&lt;/dates&gt;&lt;pub-location&gt;Madison,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r w:rsidR="0012433F" w:rsidRPr="005D3F76" w14:paraId="7B57B8B3" w14:textId="77777777" w:rsidTr="0012433F">
        <w:tc>
          <w:tcPr>
            <w:tcW w:w="4675" w:type="dxa"/>
          </w:tcPr>
          <w:p w14:paraId="4E535ADF" w14:textId="77777777" w:rsidR="0012433F" w:rsidRPr="005D3F76" w:rsidRDefault="0012433F" w:rsidP="0012433F">
            <w:pPr>
              <w:pStyle w:val="EndnoteText"/>
              <w:spacing w:after="120"/>
              <w:rPr>
                <w:rFonts w:cs="Times New Roman"/>
                <w:sz w:val="24"/>
                <w:szCs w:val="24"/>
              </w:rPr>
            </w:pPr>
            <w:r w:rsidRPr="005D3F76">
              <w:rPr>
                <w:rFonts w:cs="Times New Roman"/>
                <w:sz w:val="24"/>
                <w:szCs w:val="24"/>
              </w:rPr>
              <w:t>“Rumors Of Teachers Unions; Deaths Greatly Exaggerated; Plain Talk”</w:t>
            </w:r>
          </w:p>
        </w:tc>
        <w:tc>
          <w:tcPr>
            <w:tcW w:w="1558" w:type="dxa"/>
          </w:tcPr>
          <w:p w14:paraId="6ED20995"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07/01/2015</w:t>
            </w:r>
          </w:p>
        </w:tc>
        <w:tc>
          <w:tcPr>
            <w:tcW w:w="3117" w:type="dxa"/>
          </w:tcPr>
          <w:p w14:paraId="0AC67A8A" w14:textId="77777777" w:rsidR="0012433F" w:rsidRPr="005D3F76" w:rsidRDefault="0012433F" w:rsidP="0012433F">
            <w:pPr>
              <w:pStyle w:val="EndnoteText"/>
              <w:spacing w:after="120"/>
              <w:jc w:val="center"/>
              <w:rPr>
                <w:rFonts w:cs="Times New Roman"/>
                <w:sz w:val="24"/>
                <w:szCs w:val="24"/>
              </w:rPr>
            </w:pPr>
            <w:r w:rsidRPr="005D3F76">
              <w:rPr>
                <w:rFonts w:cs="Times New Roman"/>
                <w:sz w:val="24"/>
                <w:szCs w:val="24"/>
              </w:rPr>
              <w:t>Dave Zweifel</w:t>
            </w:r>
            <w:r w:rsidRPr="005D3F76">
              <w:rPr>
                <w:rFonts w:cs="Times New Roman"/>
                <w:sz w:val="24"/>
                <w:szCs w:val="24"/>
              </w:rPr>
              <w:fldChar w:fldCharType="begin"/>
            </w:r>
            <w:r w:rsidRPr="005D3F76">
              <w:rPr>
                <w:rFonts w:cs="Times New Roman"/>
                <w:sz w:val="24"/>
                <w:szCs w:val="24"/>
              </w:rPr>
              <w:instrText xml:space="preserve"> ADDIN EN.CITE &lt;EndNote&gt;&lt;Cite ExcludeAuth="1" ExcludeYear="1" Hidden="1"&gt;&lt;Author&gt;Zweifel&lt;/Author&gt;&lt;Year&gt;2015&lt;/Year&gt;&lt;RecNum&gt;131&lt;/RecNum&gt;&lt;record&gt;&lt;rec-number&gt;131&lt;/rec-number&gt;&lt;foreign-keys&gt;&lt;key app="EN" db-id="etwareaz8xpxz3et59b50d9vxrata9z2w2zt" timestamp="1455740479"&gt;131&lt;/key&gt;&lt;/foreign-keys&gt;&lt;ref-type name="Newspaper Article"&gt;23&lt;/ref-type&gt;&lt;contributors&gt;&lt;authors&gt;&lt;author&gt;Dave Zweifel&lt;/author&gt;&lt;/authors&gt;&lt;/contributors&gt;&lt;titles&gt;&lt;title&gt;Rumors of Teachers Unions&amp;apos; Death Greatly Exaggerated: Plain Talk&lt;/title&gt;&lt;secondary-title&gt;The Capital Times&lt;/secondary-title&gt;&lt;/titles&gt;&lt;pages&gt;4D&lt;/pages&gt;&lt;section&gt;Plain Talk&lt;/section&gt;&lt;dates&gt;&lt;year&gt;2015&lt;/year&gt;&lt;pub-dates&gt;&lt;date&gt;July 1&lt;/date&gt;&lt;/pub-dates&gt;&lt;/dates&gt;&lt;pub-location&gt;Madison, Wisconsin&lt;/pub-location&gt;&lt;publisher&gt;Madison Newspapers&lt;/publisher&gt;&lt;urls&gt;&lt;/urls&gt;&lt;/record&gt;&lt;/Cite&gt;&lt;/EndNote&gt;</w:instrText>
            </w:r>
            <w:r w:rsidRPr="005D3F76">
              <w:rPr>
                <w:rFonts w:cs="Times New Roman"/>
                <w:sz w:val="24"/>
                <w:szCs w:val="24"/>
              </w:rPr>
              <w:fldChar w:fldCharType="end"/>
            </w:r>
          </w:p>
        </w:tc>
      </w:tr>
    </w:tbl>
    <w:p w14:paraId="4562DF13" w14:textId="77777777" w:rsidR="0012433F" w:rsidRPr="005D3F76" w:rsidRDefault="0012433F">
      <w:pPr>
        <w:spacing w:line="259" w:lineRule="auto"/>
        <w:rPr>
          <w:rFonts w:eastAsiaTheme="majorEastAsia" w:cs="Times New Roman"/>
          <w:b/>
          <w:sz w:val="32"/>
          <w:szCs w:val="32"/>
        </w:rPr>
      </w:pPr>
      <w:r w:rsidRPr="005D3F76">
        <w:rPr>
          <w:rFonts w:cs="Times New Roman"/>
        </w:rPr>
        <w:br w:type="page"/>
      </w:r>
    </w:p>
    <w:p w14:paraId="7D14AB3F" w14:textId="77777777" w:rsidR="0012433F" w:rsidRPr="005D3F76" w:rsidRDefault="0012433F" w:rsidP="006F28A3">
      <w:pPr>
        <w:pStyle w:val="Heading1"/>
        <w:rPr>
          <w:rFonts w:cs="Times New Roman"/>
        </w:rPr>
        <w:sectPr w:rsidR="0012433F" w:rsidRPr="005D3F76" w:rsidSect="003D72CB">
          <w:endnotePr>
            <w:numRestart w:val="eachSect"/>
          </w:endnotePr>
          <w:pgSz w:w="12240" w:h="15840"/>
          <w:pgMar w:top="1440" w:right="1440" w:bottom="1440" w:left="1440" w:header="720" w:footer="720" w:gutter="0"/>
          <w:cols w:space="720"/>
          <w:docGrid w:linePitch="360"/>
        </w:sectPr>
      </w:pPr>
    </w:p>
    <w:p w14:paraId="36B32CF0" w14:textId="0D84CF92" w:rsidR="0012433F" w:rsidRPr="005D3F76" w:rsidRDefault="0012433F" w:rsidP="00F3590C">
      <w:pPr>
        <w:pStyle w:val="Heading2"/>
        <w:rPr>
          <w:rFonts w:cs="Times New Roman"/>
        </w:rPr>
      </w:pPr>
      <w:bookmarkStart w:id="34" w:name="_Toc462843654"/>
      <w:r w:rsidRPr="005D3F76">
        <w:rPr>
          <w:rFonts w:cs="Times New Roman"/>
        </w:rPr>
        <w:lastRenderedPageBreak/>
        <w:t>Appendix B</w:t>
      </w:r>
      <w:r w:rsidR="00EA34B9" w:rsidRPr="005D3F76">
        <w:rPr>
          <w:rFonts w:cs="Times New Roman"/>
        </w:rPr>
        <w:t xml:space="preserve">: </w:t>
      </w:r>
      <w:r w:rsidRPr="005D3F76">
        <w:rPr>
          <w:rFonts w:cs="Times New Roman"/>
        </w:rPr>
        <w:t>Finalized Codes and Definitions</w:t>
      </w:r>
      <w:bookmarkEnd w:id="34"/>
    </w:p>
    <w:tbl>
      <w:tblPr>
        <w:tblStyle w:val="TableGrid"/>
        <w:tblW w:w="9360" w:type="dxa"/>
        <w:tblLayout w:type="fixed"/>
        <w:tblLook w:val="04A0" w:firstRow="1" w:lastRow="0" w:firstColumn="1" w:lastColumn="0" w:noHBand="0" w:noVBand="1"/>
      </w:tblPr>
      <w:tblGrid>
        <w:gridCol w:w="3600"/>
        <w:gridCol w:w="5760"/>
      </w:tblGrid>
      <w:tr w:rsidR="0012433F" w:rsidRPr="005D3F76" w14:paraId="51F2AC92" w14:textId="77777777" w:rsidTr="0012433F">
        <w:tc>
          <w:tcPr>
            <w:tcW w:w="3600" w:type="dxa"/>
            <w:tcBorders>
              <w:top w:val="nil"/>
              <w:left w:val="nil"/>
              <w:bottom w:val="single" w:sz="4" w:space="0" w:color="auto"/>
              <w:right w:val="nil"/>
            </w:tcBorders>
          </w:tcPr>
          <w:p w14:paraId="12CFC76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Code</w:t>
            </w:r>
          </w:p>
        </w:tc>
        <w:tc>
          <w:tcPr>
            <w:tcW w:w="5760" w:type="dxa"/>
            <w:tcBorders>
              <w:top w:val="nil"/>
              <w:left w:val="nil"/>
              <w:bottom w:val="single" w:sz="4" w:space="0" w:color="auto"/>
              <w:right w:val="nil"/>
            </w:tcBorders>
          </w:tcPr>
          <w:p w14:paraId="4821C0E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Definition</w:t>
            </w:r>
          </w:p>
        </w:tc>
      </w:tr>
      <w:tr w:rsidR="0012433F" w:rsidRPr="005D3F76" w14:paraId="4E1A4E80" w14:textId="77777777" w:rsidTr="0012433F">
        <w:tc>
          <w:tcPr>
            <w:tcW w:w="3600" w:type="dxa"/>
            <w:tcBorders>
              <w:left w:val="nil"/>
              <w:bottom w:val="nil"/>
              <w:right w:val="nil"/>
            </w:tcBorders>
          </w:tcPr>
          <w:p w14:paraId="65D33587" w14:textId="77777777" w:rsidR="0012433F" w:rsidRPr="005D3F76" w:rsidRDefault="0012433F" w:rsidP="0012433F">
            <w:pPr>
              <w:pStyle w:val="EndnoteText"/>
              <w:spacing w:before="360" w:after="240" w:line="276" w:lineRule="auto"/>
              <w:rPr>
                <w:rFonts w:cs="Times New Roman"/>
                <w:sz w:val="24"/>
                <w:szCs w:val="24"/>
              </w:rPr>
            </w:pPr>
            <w:r w:rsidRPr="005D3F76">
              <w:rPr>
                <w:rFonts w:cs="Times New Roman"/>
                <w:sz w:val="24"/>
                <w:szCs w:val="24"/>
              </w:rPr>
              <w:t xml:space="preserve">THEME: </w:t>
            </w:r>
            <w:r w:rsidRPr="005D3F76">
              <w:rPr>
                <w:rFonts w:cs="Times New Roman"/>
                <w:b/>
                <w:sz w:val="24"/>
                <w:szCs w:val="24"/>
              </w:rPr>
              <w:t>Neoliberalism</w:t>
            </w:r>
          </w:p>
        </w:tc>
        <w:tc>
          <w:tcPr>
            <w:tcW w:w="5760" w:type="dxa"/>
            <w:tcBorders>
              <w:left w:val="nil"/>
              <w:bottom w:val="nil"/>
              <w:right w:val="nil"/>
            </w:tcBorders>
          </w:tcPr>
          <w:p w14:paraId="72B969BC" w14:textId="77777777" w:rsidR="0012433F" w:rsidRPr="005D3F76" w:rsidRDefault="0012433F" w:rsidP="0012433F">
            <w:pPr>
              <w:pStyle w:val="EndnoteText"/>
              <w:spacing w:before="360" w:after="240" w:line="276" w:lineRule="auto"/>
              <w:rPr>
                <w:rFonts w:cs="Times New Roman"/>
                <w:sz w:val="24"/>
                <w:szCs w:val="24"/>
              </w:rPr>
            </w:pPr>
          </w:p>
        </w:tc>
      </w:tr>
      <w:tr w:rsidR="0012433F" w:rsidRPr="005D3F76" w14:paraId="0336B4E2" w14:textId="77777777" w:rsidTr="0012433F">
        <w:tc>
          <w:tcPr>
            <w:tcW w:w="3600" w:type="dxa"/>
            <w:tcBorders>
              <w:top w:val="nil"/>
              <w:left w:val="nil"/>
              <w:bottom w:val="nil"/>
              <w:right w:val="nil"/>
            </w:tcBorders>
          </w:tcPr>
          <w:p w14:paraId="6242726B" w14:textId="77777777" w:rsidR="0012433F" w:rsidRPr="005D3F76" w:rsidRDefault="0012433F" w:rsidP="0012433F">
            <w:pPr>
              <w:pStyle w:val="EndnoteText"/>
              <w:spacing w:after="120" w:line="276" w:lineRule="auto"/>
              <w:rPr>
                <w:rFonts w:cs="Times New Roman"/>
                <w:sz w:val="24"/>
                <w:szCs w:val="24"/>
              </w:rPr>
            </w:pPr>
            <w:r w:rsidRPr="005D3F76">
              <w:rPr>
                <w:rFonts w:cs="Times New Roman"/>
                <w:b/>
                <w:i/>
                <w:sz w:val="24"/>
                <w:szCs w:val="24"/>
              </w:rPr>
              <w:t>The New York Times</w:t>
            </w:r>
          </w:p>
        </w:tc>
        <w:tc>
          <w:tcPr>
            <w:tcW w:w="5760" w:type="dxa"/>
            <w:tcBorders>
              <w:top w:val="nil"/>
              <w:left w:val="nil"/>
              <w:bottom w:val="nil"/>
              <w:right w:val="nil"/>
            </w:tcBorders>
          </w:tcPr>
          <w:p w14:paraId="2A2C5E9F"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1345517B" w14:textId="77777777" w:rsidTr="0012433F">
        <w:tc>
          <w:tcPr>
            <w:tcW w:w="3600" w:type="dxa"/>
            <w:tcBorders>
              <w:top w:val="nil"/>
              <w:left w:val="nil"/>
              <w:bottom w:val="nil"/>
              <w:right w:val="nil"/>
            </w:tcBorders>
          </w:tcPr>
          <w:p w14:paraId="64C601A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Innovation</w:t>
            </w:r>
          </w:p>
        </w:tc>
        <w:tc>
          <w:tcPr>
            <w:tcW w:w="5760" w:type="dxa"/>
            <w:tcBorders>
              <w:top w:val="nil"/>
              <w:left w:val="nil"/>
              <w:bottom w:val="nil"/>
              <w:right w:val="nil"/>
            </w:tcBorders>
          </w:tcPr>
          <w:p w14:paraId="1B39CB9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new way of doing something. This newspaper refers to businesses being able to change things quicker than education systems do.</w:t>
            </w:r>
          </w:p>
        </w:tc>
      </w:tr>
      <w:tr w:rsidR="0012433F" w:rsidRPr="005D3F76" w14:paraId="04654136" w14:textId="77777777" w:rsidTr="0012433F">
        <w:tc>
          <w:tcPr>
            <w:tcW w:w="3600" w:type="dxa"/>
            <w:tcBorders>
              <w:top w:val="nil"/>
              <w:left w:val="nil"/>
              <w:bottom w:val="nil"/>
              <w:right w:val="nil"/>
            </w:tcBorders>
          </w:tcPr>
          <w:p w14:paraId="6553906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Economics</w:t>
            </w:r>
          </w:p>
        </w:tc>
        <w:tc>
          <w:tcPr>
            <w:tcW w:w="5760" w:type="dxa"/>
            <w:tcBorders>
              <w:top w:val="nil"/>
              <w:left w:val="nil"/>
              <w:bottom w:val="nil"/>
              <w:right w:val="nil"/>
            </w:tcBorders>
          </w:tcPr>
          <w:p w14:paraId="51D8C75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condition of a particular region or place. This is in reference to the money issues within Wisconsin.</w:t>
            </w:r>
          </w:p>
        </w:tc>
      </w:tr>
      <w:tr w:rsidR="0012433F" w:rsidRPr="005D3F76" w14:paraId="0E820B60" w14:textId="77777777" w:rsidTr="0012433F">
        <w:tc>
          <w:tcPr>
            <w:tcW w:w="3600" w:type="dxa"/>
            <w:tcBorders>
              <w:top w:val="nil"/>
              <w:left w:val="nil"/>
              <w:bottom w:val="nil"/>
              <w:right w:val="nil"/>
            </w:tcBorders>
          </w:tcPr>
          <w:p w14:paraId="3B8362D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Competition</w:t>
            </w:r>
          </w:p>
        </w:tc>
        <w:tc>
          <w:tcPr>
            <w:tcW w:w="5760" w:type="dxa"/>
            <w:tcBorders>
              <w:top w:val="nil"/>
              <w:left w:val="nil"/>
              <w:bottom w:val="nil"/>
              <w:right w:val="nil"/>
            </w:tcBorders>
          </w:tcPr>
          <w:p w14:paraId="3A73FB7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act of rivalling. In this newspaper, this was referring to whether or not education should take on more of a business look than a governmentality.</w:t>
            </w:r>
          </w:p>
        </w:tc>
      </w:tr>
      <w:tr w:rsidR="0012433F" w:rsidRPr="005D3F76" w14:paraId="02CEA7C7" w14:textId="77777777" w:rsidTr="0012433F">
        <w:tc>
          <w:tcPr>
            <w:tcW w:w="3600" w:type="dxa"/>
            <w:tcBorders>
              <w:top w:val="nil"/>
              <w:left w:val="nil"/>
              <w:bottom w:val="nil"/>
              <w:right w:val="nil"/>
            </w:tcBorders>
          </w:tcPr>
          <w:p w14:paraId="2DFB15E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Negotiations</w:t>
            </w:r>
          </w:p>
        </w:tc>
        <w:tc>
          <w:tcPr>
            <w:tcW w:w="5760" w:type="dxa"/>
            <w:tcBorders>
              <w:top w:val="nil"/>
              <w:left w:val="nil"/>
              <w:bottom w:val="nil"/>
              <w:right w:val="nil"/>
            </w:tcBorders>
          </w:tcPr>
          <w:p w14:paraId="14830E7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act of transferring ownership of responsibility from one party to another contractually. In this newspaper, this refers to how teacher unions have been negotiating within Wisconsin versus their business counterparts (private education).</w:t>
            </w:r>
          </w:p>
        </w:tc>
      </w:tr>
      <w:tr w:rsidR="0012433F" w:rsidRPr="005D3F76" w14:paraId="2A74BCAD" w14:textId="77777777" w:rsidTr="0012433F">
        <w:tc>
          <w:tcPr>
            <w:tcW w:w="3600" w:type="dxa"/>
            <w:tcBorders>
              <w:top w:val="nil"/>
              <w:left w:val="nil"/>
              <w:bottom w:val="nil"/>
              <w:right w:val="nil"/>
            </w:tcBorders>
          </w:tcPr>
          <w:p w14:paraId="4D0727C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Corporate</w:t>
            </w:r>
          </w:p>
        </w:tc>
        <w:tc>
          <w:tcPr>
            <w:tcW w:w="5760" w:type="dxa"/>
            <w:tcBorders>
              <w:top w:val="nil"/>
              <w:left w:val="nil"/>
              <w:bottom w:val="nil"/>
              <w:right w:val="nil"/>
            </w:tcBorders>
          </w:tcPr>
          <w:p w14:paraId="268DD6C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Relating to a corporation or large company.</w:t>
            </w:r>
          </w:p>
        </w:tc>
      </w:tr>
      <w:tr w:rsidR="0012433F" w:rsidRPr="005D3F76" w14:paraId="244F98DD" w14:textId="77777777" w:rsidTr="0012433F">
        <w:tc>
          <w:tcPr>
            <w:tcW w:w="3600" w:type="dxa"/>
            <w:tcBorders>
              <w:top w:val="nil"/>
              <w:left w:val="nil"/>
              <w:bottom w:val="nil"/>
              <w:right w:val="nil"/>
            </w:tcBorders>
          </w:tcPr>
          <w:p w14:paraId="5B76F76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Merit Pay</w:t>
            </w:r>
          </w:p>
        </w:tc>
        <w:tc>
          <w:tcPr>
            <w:tcW w:w="5760" w:type="dxa"/>
            <w:tcBorders>
              <w:top w:val="nil"/>
              <w:left w:val="nil"/>
              <w:bottom w:val="nil"/>
              <w:right w:val="nil"/>
            </w:tcBorders>
          </w:tcPr>
          <w:p w14:paraId="7DFE6AA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concept in the business world referring to the ability of a person to get extra pay and bonuses due to factors of performance. In this newspaper, this concept is linked to accountability of teachers.</w:t>
            </w:r>
          </w:p>
        </w:tc>
      </w:tr>
      <w:tr w:rsidR="0012433F" w:rsidRPr="005D3F76" w14:paraId="5CD0C9E3" w14:textId="77777777" w:rsidTr="0012433F">
        <w:tc>
          <w:tcPr>
            <w:tcW w:w="3600" w:type="dxa"/>
            <w:tcBorders>
              <w:top w:val="nil"/>
              <w:left w:val="nil"/>
              <w:bottom w:val="nil"/>
              <w:right w:val="nil"/>
            </w:tcBorders>
          </w:tcPr>
          <w:p w14:paraId="1CA80F4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Climate</w:t>
            </w:r>
          </w:p>
        </w:tc>
        <w:tc>
          <w:tcPr>
            <w:tcW w:w="5760" w:type="dxa"/>
            <w:tcBorders>
              <w:top w:val="nil"/>
              <w:left w:val="nil"/>
              <w:bottom w:val="nil"/>
              <w:right w:val="nil"/>
            </w:tcBorders>
          </w:tcPr>
          <w:p w14:paraId="766005F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atmosphere that something is found within. This refers to the governmentality of the education system versus that of the business climate.</w:t>
            </w:r>
          </w:p>
        </w:tc>
      </w:tr>
      <w:tr w:rsidR="0012433F" w:rsidRPr="005D3F76" w14:paraId="4D77F380" w14:textId="77777777" w:rsidTr="0012433F">
        <w:tc>
          <w:tcPr>
            <w:tcW w:w="3600" w:type="dxa"/>
            <w:tcBorders>
              <w:top w:val="nil"/>
              <w:left w:val="nil"/>
              <w:bottom w:val="nil"/>
              <w:right w:val="nil"/>
            </w:tcBorders>
          </w:tcPr>
          <w:p w14:paraId="50DDF37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Management</w:t>
            </w:r>
          </w:p>
        </w:tc>
        <w:tc>
          <w:tcPr>
            <w:tcW w:w="5760" w:type="dxa"/>
            <w:tcBorders>
              <w:top w:val="nil"/>
              <w:left w:val="nil"/>
              <w:bottom w:val="nil"/>
              <w:right w:val="nil"/>
            </w:tcBorders>
          </w:tcPr>
          <w:p w14:paraId="6DD2DD1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process of controlling certain individuals.</w:t>
            </w:r>
          </w:p>
        </w:tc>
      </w:tr>
      <w:tr w:rsidR="0012433F" w:rsidRPr="005D3F76" w14:paraId="7623A3B6" w14:textId="77777777" w:rsidTr="0012433F">
        <w:tc>
          <w:tcPr>
            <w:tcW w:w="3600" w:type="dxa"/>
            <w:tcBorders>
              <w:top w:val="nil"/>
              <w:left w:val="nil"/>
              <w:bottom w:val="nil"/>
              <w:right w:val="nil"/>
            </w:tcBorders>
          </w:tcPr>
          <w:p w14:paraId="0DC5480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Globalization</w:t>
            </w:r>
          </w:p>
        </w:tc>
        <w:tc>
          <w:tcPr>
            <w:tcW w:w="5760" w:type="dxa"/>
            <w:tcBorders>
              <w:top w:val="nil"/>
              <w:left w:val="nil"/>
              <w:bottom w:val="nil"/>
              <w:right w:val="nil"/>
            </w:tcBorders>
          </w:tcPr>
          <w:p w14:paraId="6467DAF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process of spreading technology, philosophy, business, and educational practices around the world. These practices lead to an interconnectivity of marketplace, philosophy, and practices.</w:t>
            </w:r>
          </w:p>
          <w:p w14:paraId="7F4789E5" w14:textId="77777777" w:rsidR="0012433F" w:rsidRPr="005D3F76" w:rsidRDefault="0012433F" w:rsidP="0012433F">
            <w:pPr>
              <w:pStyle w:val="EndnoteText"/>
              <w:spacing w:after="120" w:line="276" w:lineRule="auto"/>
              <w:rPr>
                <w:rFonts w:cs="Times New Roman"/>
                <w:sz w:val="24"/>
                <w:szCs w:val="24"/>
              </w:rPr>
            </w:pPr>
          </w:p>
          <w:p w14:paraId="76820C6D"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31FD403F" w14:textId="77777777" w:rsidTr="0012433F">
        <w:tc>
          <w:tcPr>
            <w:tcW w:w="3600" w:type="dxa"/>
            <w:tcBorders>
              <w:top w:val="nil"/>
              <w:left w:val="nil"/>
              <w:bottom w:val="nil"/>
              <w:right w:val="nil"/>
            </w:tcBorders>
          </w:tcPr>
          <w:p w14:paraId="504C6F88"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lastRenderedPageBreak/>
              <w:t>Wisconsin State Journal</w:t>
            </w:r>
          </w:p>
        </w:tc>
        <w:tc>
          <w:tcPr>
            <w:tcW w:w="5760" w:type="dxa"/>
            <w:tcBorders>
              <w:top w:val="nil"/>
              <w:left w:val="nil"/>
              <w:bottom w:val="nil"/>
              <w:right w:val="nil"/>
            </w:tcBorders>
          </w:tcPr>
          <w:p w14:paraId="1F5F9C56" w14:textId="77777777" w:rsidR="0012433F" w:rsidRPr="005D3F76" w:rsidRDefault="0012433F" w:rsidP="0012433F">
            <w:pPr>
              <w:pStyle w:val="EndnoteText"/>
              <w:spacing w:after="120" w:line="276" w:lineRule="auto"/>
              <w:rPr>
                <w:rFonts w:cs="Times New Roman"/>
                <w:b/>
                <w:i/>
                <w:sz w:val="24"/>
                <w:szCs w:val="24"/>
              </w:rPr>
            </w:pPr>
          </w:p>
        </w:tc>
      </w:tr>
      <w:tr w:rsidR="0012433F" w:rsidRPr="005D3F76" w14:paraId="5D10F280" w14:textId="77777777" w:rsidTr="0012433F">
        <w:tc>
          <w:tcPr>
            <w:tcW w:w="3600" w:type="dxa"/>
            <w:tcBorders>
              <w:top w:val="nil"/>
              <w:left w:val="nil"/>
              <w:bottom w:val="nil"/>
              <w:right w:val="nil"/>
            </w:tcBorders>
          </w:tcPr>
          <w:p w14:paraId="5B9682C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Budget</w:t>
            </w:r>
          </w:p>
        </w:tc>
        <w:tc>
          <w:tcPr>
            <w:tcW w:w="5760" w:type="dxa"/>
            <w:tcBorders>
              <w:top w:val="nil"/>
              <w:left w:val="nil"/>
              <w:bottom w:val="nil"/>
              <w:right w:val="nil"/>
            </w:tcBorders>
          </w:tcPr>
          <w:p w14:paraId="382420F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determined expenditure and income based system that is heavily monitored and adjusted accordingly based on market principles and fluctuations.</w:t>
            </w:r>
          </w:p>
        </w:tc>
      </w:tr>
      <w:tr w:rsidR="0012433F" w:rsidRPr="005D3F76" w14:paraId="3FAF4731" w14:textId="77777777" w:rsidTr="0012433F">
        <w:tc>
          <w:tcPr>
            <w:tcW w:w="3600" w:type="dxa"/>
            <w:tcBorders>
              <w:top w:val="nil"/>
              <w:left w:val="nil"/>
              <w:bottom w:val="nil"/>
              <w:right w:val="nil"/>
            </w:tcBorders>
          </w:tcPr>
          <w:p w14:paraId="6E340BB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Merit Pay</w:t>
            </w:r>
          </w:p>
        </w:tc>
        <w:tc>
          <w:tcPr>
            <w:tcW w:w="5760" w:type="dxa"/>
            <w:tcBorders>
              <w:top w:val="nil"/>
              <w:left w:val="nil"/>
              <w:bottom w:val="nil"/>
              <w:right w:val="nil"/>
            </w:tcBorders>
          </w:tcPr>
          <w:p w14:paraId="5DB3396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concept in the business world referring to the ability of a person to get extra pay and bonuses due to factors of performance.</w:t>
            </w:r>
          </w:p>
        </w:tc>
      </w:tr>
      <w:tr w:rsidR="0012433F" w:rsidRPr="005D3F76" w14:paraId="3A441D09" w14:textId="77777777" w:rsidTr="0012433F">
        <w:tc>
          <w:tcPr>
            <w:tcW w:w="3600" w:type="dxa"/>
            <w:tcBorders>
              <w:top w:val="nil"/>
              <w:left w:val="nil"/>
              <w:bottom w:val="nil"/>
              <w:right w:val="nil"/>
            </w:tcBorders>
          </w:tcPr>
          <w:p w14:paraId="424B03E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Rational Employment Model</w:t>
            </w:r>
          </w:p>
        </w:tc>
        <w:tc>
          <w:tcPr>
            <w:tcW w:w="5760" w:type="dxa"/>
            <w:tcBorders>
              <w:top w:val="nil"/>
              <w:left w:val="nil"/>
              <w:bottom w:val="nil"/>
              <w:right w:val="nil"/>
            </w:tcBorders>
          </w:tcPr>
          <w:p w14:paraId="52E1C4B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This is based on the ideas that human beings are rational and are motivated by self-interest. Where laissez faire conditions are optimal and government has little or no influence over the behaviors of both business and employees.</w:t>
            </w:r>
          </w:p>
        </w:tc>
      </w:tr>
      <w:tr w:rsidR="0012433F" w:rsidRPr="005D3F76" w14:paraId="1887A2C3" w14:textId="77777777" w:rsidTr="0012433F">
        <w:tc>
          <w:tcPr>
            <w:tcW w:w="3600" w:type="dxa"/>
            <w:tcBorders>
              <w:top w:val="nil"/>
              <w:left w:val="nil"/>
              <w:bottom w:val="nil"/>
              <w:right w:val="nil"/>
            </w:tcBorders>
          </w:tcPr>
          <w:p w14:paraId="621AAE7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Consumers</w:t>
            </w:r>
          </w:p>
        </w:tc>
        <w:tc>
          <w:tcPr>
            <w:tcW w:w="5760" w:type="dxa"/>
            <w:tcBorders>
              <w:top w:val="nil"/>
              <w:left w:val="nil"/>
              <w:bottom w:val="nil"/>
              <w:right w:val="nil"/>
            </w:tcBorders>
          </w:tcPr>
          <w:p w14:paraId="34A4276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this particular paper, consumers are seen as the students who are being educated in Wisconsin.</w:t>
            </w:r>
          </w:p>
        </w:tc>
      </w:tr>
      <w:tr w:rsidR="0012433F" w:rsidRPr="005D3F76" w14:paraId="509519F4" w14:textId="77777777" w:rsidTr="0012433F">
        <w:tc>
          <w:tcPr>
            <w:tcW w:w="3600" w:type="dxa"/>
            <w:tcBorders>
              <w:top w:val="nil"/>
              <w:left w:val="nil"/>
              <w:bottom w:val="nil"/>
              <w:right w:val="nil"/>
            </w:tcBorders>
          </w:tcPr>
          <w:p w14:paraId="267BC33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Vouchers</w:t>
            </w:r>
          </w:p>
        </w:tc>
        <w:tc>
          <w:tcPr>
            <w:tcW w:w="5760" w:type="dxa"/>
            <w:tcBorders>
              <w:top w:val="nil"/>
              <w:left w:val="nil"/>
              <w:bottom w:val="nil"/>
              <w:right w:val="nil"/>
            </w:tcBorders>
          </w:tcPr>
          <w:p w14:paraId="74FE086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system whereby students are given a type of coupon that can be used to go to a school outside the child’s normal environment where they are zoned for considering their house placement. These coupons act like money and can be used at both public and private schools. Vouchers can create a sense of competition within the education system, although the theory behind vouchers has not been proven to work within the education system. A form of privatization.</w:t>
            </w:r>
          </w:p>
        </w:tc>
      </w:tr>
      <w:tr w:rsidR="0012433F" w:rsidRPr="005D3F76" w14:paraId="274352D5" w14:textId="77777777" w:rsidTr="0012433F">
        <w:tc>
          <w:tcPr>
            <w:tcW w:w="3600" w:type="dxa"/>
            <w:tcBorders>
              <w:top w:val="nil"/>
              <w:left w:val="nil"/>
              <w:bottom w:val="nil"/>
              <w:right w:val="nil"/>
            </w:tcBorders>
          </w:tcPr>
          <w:p w14:paraId="03118AD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Competition</w:t>
            </w:r>
          </w:p>
        </w:tc>
        <w:tc>
          <w:tcPr>
            <w:tcW w:w="5760" w:type="dxa"/>
            <w:tcBorders>
              <w:top w:val="nil"/>
              <w:left w:val="nil"/>
              <w:bottom w:val="nil"/>
              <w:right w:val="nil"/>
            </w:tcBorders>
          </w:tcPr>
          <w:p w14:paraId="53094FB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act of rivalling. In this newspaper, this refers to how ACT 10 would open up the way for better teachers without seniority to stay in their positions.</w:t>
            </w:r>
          </w:p>
        </w:tc>
      </w:tr>
      <w:tr w:rsidR="0012433F" w:rsidRPr="005D3F76" w14:paraId="29F00417" w14:textId="77777777" w:rsidTr="0012433F">
        <w:tc>
          <w:tcPr>
            <w:tcW w:w="3600" w:type="dxa"/>
            <w:tcBorders>
              <w:top w:val="nil"/>
              <w:left w:val="nil"/>
              <w:bottom w:val="nil"/>
              <w:right w:val="nil"/>
            </w:tcBorders>
          </w:tcPr>
          <w:p w14:paraId="5CCD86D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Negotiations</w:t>
            </w:r>
          </w:p>
        </w:tc>
        <w:tc>
          <w:tcPr>
            <w:tcW w:w="5760" w:type="dxa"/>
            <w:tcBorders>
              <w:top w:val="nil"/>
              <w:left w:val="nil"/>
              <w:bottom w:val="nil"/>
              <w:right w:val="nil"/>
            </w:tcBorders>
          </w:tcPr>
          <w:p w14:paraId="53BA378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act of transferring ownership of responsibility from one party to another contractually. In this newspaper, this referred to how the teacher unions were outdated with their negotiations skills versus that of their business counterparts.</w:t>
            </w:r>
          </w:p>
        </w:tc>
      </w:tr>
      <w:tr w:rsidR="0012433F" w:rsidRPr="005D3F76" w14:paraId="20296667" w14:textId="77777777" w:rsidTr="0012433F">
        <w:tc>
          <w:tcPr>
            <w:tcW w:w="3600" w:type="dxa"/>
            <w:tcBorders>
              <w:top w:val="nil"/>
              <w:left w:val="nil"/>
              <w:bottom w:val="nil"/>
              <w:right w:val="nil"/>
            </w:tcBorders>
          </w:tcPr>
          <w:p w14:paraId="77D9B0F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Management</w:t>
            </w:r>
          </w:p>
        </w:tc>
        <w:tc>
          <w:tcPr>
            <w:tcW w:w="5760" w:type="dxa"/>
            <w:tcBorders>
              <w:top w:val="nil"/>
              <w:left w:val="nil"/>
              <w:bottom w:val="nil"/>
              <w:right w:val="nil"/>
            </w:tcBorders>
          </w:tcPr>
          <w:p w14:paraId="75678A1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process of controlling certain individuals.</w:t>
            </w:r>
          </w:p>
        </w:tc>
      </w:tr>
      <w:tr w:rsidR="0012433F" w:rsidRPr="005D3F76" w14:paraId="178F4788" w14:textId="77777777" w:rsidTr="0012433F">
        <w:tc>
          <w:tcPr>
            <w:tcW w:w="3600" w:type="dxa"/>
            <w:tcBorders>
              <w:top w:val="nil"/>
              <w:left w:val="nil"/>
              <w:bottom w:val="nil"/>
              <w:right w:val="nil"/>
            </w:tcBorders>
          </w:tcPr>
          <w:p w14:paraId="6F4A535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Globalization</w:t>
            </w:r>
          </w:p>
        </w:tc>
        <w:tc>
          <w:tcPr>
            <w:tcW w:w="5760" w:type="dxa"/>
            <w:tcBorders>
              <w:top w:val="nil"/>
              <w:left w:val="nil"/>
              <w:bottom w:val="nil"/>
              <w:right w:val="nil"/>
            </w:tcBorders>
          </w:tcPr>
          <w:p w14:paraId="116CD76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process of spreading technology, philosophy, business, and educational practices around the world. These practices lead to an interconnectivity of marketplace, philosophy, and practices.</w:t>
            </w:r>
          </w:p>
        </w:tc>
      </w:tr>
      <w:tr w:rsidR="0012433F" w:rsidRPr="005D3F76" w14:paraId="5FF23E73" w14:textId="77777777" w:rsidTr="0012433F">
        <w:tc>
          <w:tcPr>
            <w:tcW w:w="3600" w:type="dxa"/>
            <w:tcBorders>
              <w:top w:val="nil"/>
              <w:left w:val="nil"/>
              <w:bottom w:val="nil"/>
              <w:right w:val="nil"/>
            </w:tcBorders>
          </w:tcPr>
          <w:p w14:paraId="6EB7F51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America’s Competitive Edge</w:t>
            </w:r>
          </w:p>
        </w:tc>
        <w:tc>
          <w:tcPr>
            <w:tcW w:w="5760" w:type="dxa"/>
            <w:tcBorders>
              <w:top w:val="nil"/>
              <w:left w:val="nil"/>
              <w:bottom w:val="nil"/>
              <w:right w:val="nil"/>
            </w:tcBorders>
          </w:tcPr>
          <w:p w14:paraId="22422E2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perception that the U.S. was always the best at anything they were involved in socially, economically, or conceptually. The belief is that the U. S. is losing this competitive edge within the world.</w:t>
            </w:r>
          </w:p>
        </w:tc>
      </w:tr>
      <w:tr w:rsidR="0012433F" w:rsidRPr="005D3F76" w14:paraId="7FF47807" w14:textId="77777777" w:rsidTr="0012433F">
        <w:tc>
          <w:tcPr>
            <w:tcW w:w="3600" w:type="dxa"/>
            <w:tcBorders>
              <w:top w:val="nil"/>
              <w:left w:val="nil"/>
              <w:bottom w:val="nil"/>
              <w:right w:val="nil"/>
            </w:tcBorders>
          </w:tcPr>
          <w:p w14:paraId="6B52B444"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Capital Times</w:t>
            </w:r>
          </w:p>
        </w:tc>
        <w:tc>
          <w:tcPr>
            <w:tcW w:w="5760" w:type="dxa"/>
            <w:tcBorders>
              <w:top w:val="nil"/>
              <w:left w:val="nil"/>
              <w:bottom w:val="nil"/>
              <w:right w:val="nil"/>
            </w:tcBorders>
          </w:tcPr>
          <w:p w14:paraId="5EDA8385" w14:textId="77777777" w:rsidR="0012433F" w:rsidRPr="005D3F76" w:rsidRDefault="0012433F" w:rsidP="0012433F">
            <w:pPr>
              <w:pStyle w:val="EndnoteText"/>
              <w:spacing w:after="120" w:line="276" w:lineRule="auto"/>
              <w:rPr>
                <w:rFonts w:cs="Times New Roman"/>
                <w:b/>
                <w:i/>
                <w:sz w:val="24"/>
                <w:szCs w:val="24"/>
              </w:rPr>
            </w:pPr>
          </w:p>
        </w:tc>
      </w:tr>
      <w:tr w:rsidR="0012433F" w:rsidRPr="005D3F76" w14:paraId="55401A71" w14:textId="77777777" w:rsidTr="0012433F">
        <w:tc>
          <w:tcPr>
            <w:tcW w:w="3600" w:type="dxa"/>
            <w:tcBorders>
              <w:top w:val="nil"/>
              <w:left w:val="nil"/>
              <w:bottom w:val="nil"/>
              <w:right w:val="nil"/>
            </w:tcBorders>
          </w:tcPr>
          <w:p w14:paraId="60ADA84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Budget</w:t>
            </w:r>
          </w:p>
        </w:tc>
        <w:tc>
          <w:tcPr>
            <w:tcW w:w="5760" w:type="dxa"/>
            <w:tcBorders>
              <w:top w:val="nil"/>
              <w:left w:val="nil"/>
              <w:bottom w:val="nil"/>
              <w:right w:val="nil"/>
            </w:tcBorders>
          </w:tcPr>
          <w:p w14:paraId="011D1F2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determined expenditure and income based system that is heavily monitored and adjusted accordingly based on market principles and fluctuations.</w:t>
            </w:r>
          </w:p>
        </w:tc>
      </w:tr>
      <w:tr w:rsidR="0012433F" w:rsidRPr="005D3F76" w14:paraId="35AB8162" w14:textId="77777777" w:rsidTr="0012433F">
        <w:tc>
          <w:tcPr>
            <w:tcW w:w="3600" w:type="dxa"/>
            <w:tcBorders>
              <w:top w:val="nil"/>
              <w:left w:val="nil"/>
              <w:bottom w:val="nil"/>
              <w:right w:val="nil"/>
            </w:tcBorders>
          </w:tcPr>
          <w:p w14:paraId="174338A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Corporate Funding</w:t>
            </w:r>
          </w:p>
        </w:tc>
        <w:tc>
          <w:tcPr>
            <w:tcW w:w="5760" w:type="dxa"/>
            <w:tcBorders>
              <w:top w:val="nil"/>
              <w:left w:val="nil"/>
              <w:bottom w:val="nil"/>
              <w:right w:val="nil"/>
            </w:tcBorders>
          </w:tcPr>
          <w:p w14:paraId="08E0DDD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Money given to schools within Wisconsin to help make up for the shortfalls of the budget. Other types of funding were also mentioned, such as, when businesses give students merchandise for athletic teams, etc.</w:t>
            </w:r>
          </w:p>
        </w:tc>
      </w:tr>
      <w:tr w:rsidR="0012433F" w:rsidRPr="005D3F76" w14:paraId="2AF5CA59" w14:textId="77777777" w:rsidTr="0012433F">
        <w:tc>
          <w:tcPr>
            <w:tcW w:w="3600" w:type="dxa"/>
            <w:tcBorders>
              <w:top w:val="nil"/>
              <w:left w:val="nil"/>
              <w:bottom w:val="nil"/>
              <w:right w:val="nil"/>
            </w:tcBorders>
          </w:tcPr>
          <w:p w14:paraId="0F8F653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School Choice</w:t>
            </w:r>
          </w:p>
        </w:tc>
        <w:tc>
          <w:tcPr>
            <w:tcW w:w="5760" w:type="dxa"/>
            <w:tcBorders>
              <w:top w:val="nil"/>
              <w:left w:val="nil"/>
              <w:bottom w:val="nil"/>
              <w:right w:val="nil"/>
            </w:tcBorders>
          </w:tcPr>
          <w:p w14:paraId="0B2BD0C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term given when students and parents are given alternatives to traditional public schools or programs offered within a given district.</w:t>
            </w:r>
          </w:p>
        </w:tc>
      </w:tr>
      <w:tr w:rsidR="0012433F" w:rsidRPr="005D3F76" w14:paraId="5FC2991D" w14:textId="77777777" w:rsidTr="0012433F">
        <w:tc>
          <w:tcPr>
            <w:tcW w:w="3600" w:type="dxa"/>
            <w:tcBorders>
              <w:top w:val="nil"/>
              <w:left w:val="nil"/>
              <w:bottom w:val="nil"/>
              <w:right w:val="nil"/>
            </w:tcBorders>
          </w:tcPr>
          <w:p w14:paraId="3260809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Corporate</w:t>
            </w:r>
          </w:p>
        </w:tc>
        <w:tc>
          <w:tcPr>
            <w:tcW w:w="5760" w:type="dxa"/>
            <w:tcBorders>
              <w:top w:val="nil"/>
              <w:left w:val="nil"/>
              <w:bottom w:val="nil"/>
              <w:right w:val="nil"/>
            </w:tcBorders>
          </w:tcPr>
          <w:p w14:paraId="3B30F20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Relating to a corporation or large company.</w:t>
            </w:r>
          </w:p>
        </w:tc>
      </w:tr>
      <w:tr w:rsidR="0012433F" w:rsidRPr="005D3F76" w14:paraId="7C242CB9" w14:textId="77777777" w:rsidTr="0012433F">
        <w:tc>
          <w:tcPr>
            <w:tcW w:w="3600" w:type="dxa"/>
            <w:tcBorders>
              <w:top w:val="nil"/>
              <w:left w:val="nil"/>
              <w:bottom w:val="nil"/>
              <w:right w:val="nil"/>
            </w:tcBorders>
          </w:tcPr>
          <w:p w14:paraId="4778D6C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Mergers</w:t>
            </w:r>
          </w:p>
        </w:tc>
        <w:tc>
          <w:tcPr>
            <w:tcW w:w="5760" w:type="dxa"/>
            <w:tcBorders>
              <w:top w:val="nil"/>
              <w:left w:val="nil"/>
              <w:bottom w:val="nil"/>
              <w:right w:val="nil"/>
            </w:tcBorders>
          </w:tcPr>
          <w:p w14:paraId="01D5A4E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coming together of two entities, specifically in this context, a combining of two companies to help run the education system, something outside of the government.</w:t>
            </w:r>
          </w:p>
        </w:tc>
      </w:tr>
      <w:tr w:rsidR="0012433F" w:rsidRPr="005D3F76" w14:paraId="639637C6" w14:textId="77777777" w:rsidTr="0012433F">
        <w:tc>
          <w:tcPr>
            <w:tcW w:w="3600" w:type="dxa"/>
            <w:tcBorders>
              <w:top w:val="nil"/>
              <w:left w:val="nil"/>
              <w:bottom w:val="nil"/>
              <w:right w:val="nil"/>
            </w:tcBorders>
          </w:tcPr>
          <w:p w14:paraId="12D4AA4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Power Brokers</w:t>
            </w:r>
          </w:p>
        </w:tc>
        <w:tc>
          <w:tcPr>
            <w:tcW w:w="5760" w:type="dxa"/>
            <w:tcBorders>
              <w:top w:val="nil"/>
              <w:left w:val="nil"/>
              <w:bottom w:val="nil"/>
              <w:right w:val="nil"/>
            </w:tcBorders>
          </w:tcPr>
          <w:p w14:paraId="0394192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reference to a business person who affects the circulation of political and economic power by influence.</w:t>
            </w:r>
          </w:p>
        </w:tc>
      </w:tr>
      <w:tr w:rsidR="0012433F" w:rsidRPr="005D3F76" w14:paraId="4DDD2FCD" w14:textId="77777777" w:rsidTr="0012433F">
        <w:tc>
          <w:tcPr>
            <w:tcW w:w="3600" w:type="dxa"/>
            <w:tcBorders>
              <w:top w:val="nil"/>
              <w:left w:val="nil"/>
              <w:bottom w:val="nil"/>
              <w:right w:val="nil"/>
            </w:tcBorders>
          </w:tcPr>
          <w:p w14:paraId="14E686C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Privatization</w:t>
            </w:r>
          </w:p>
        </w:tc>
        <w:tc>
          <w:tcPr>
            <w:tcW w:w="5760" w:type="dxa"/>
            <w:tcBorders>
              <w:top w:val="nil"/>
              <w:left w:val="nil"/>
              <w:bottom w:val="nil"/>
              <w:right w:val="nil"/>
            </w:tcBorders>
          </w:tcPr>
          <w:p w14:paraId="6ACCCCE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ceasing of ownership by the government, replacing it with corporate ownership. This is in reference to the continued push to take control of education away from the government.</w:t>
            </w:r>
          </w:p>
        </w:tc>
      </w:tr>
      <w:tr w:rsidR="0012433F" w:rsidRPr="005D3F76" w14:paraId="5B17081E" w14:textId="77777777" w:rsidTr="0012433F">
        <w:tc>
          <w:tcPr>
            <w:tcW w:w="3600" w:type="dxa"/>
            <w:tcBorders>
              <w:top w:val="nil"/>
              <w:left w:val="nil"/>
              <w:bottom w:val="nil"/>
              <w:right w:val="nil"/>
            </w:tcBorders>
          </w:tcPr>
          <w:p w14:paraId="397FB7B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Vouchers</w:t>
            </w:r>
          </w:p>
        </w:tc>
        <w:tc>
          <w:tcPr>
            <w:tcW w:w="5760" w:type="dxa"/>
            <w:tcBorders>
              <w:top w:val="nil"/>
              <w:left w:val="nil"/>
              <w:bottom w:val="nil"/>
              <w:right w:val="nil"/>
            </w:tcBorders>
          </w:tcPr>
          <w:p w14:paraId="73B8DFE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system whereby students are given a type of coupon that can be used to go to a school outside the child’s normal environment where they are zoned for considering their house placement. These coupons act like money and can be used at both public and private schools. Vouchers can create a sense of competition within the education system, although the theory behind vouchers has not been proven to work within the education system. A form of privatization.</w:t>
            </w:r>
          </w:p>
          <w:p w14:paraId="167329CB"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6B682341" w14:textId="77777777" w:rsidTr="0012433F">
        <w:tc>
          <w:tcPr>
            <w:tcW w:w="3600" w:type="dxa"/>
            <w:tcBorders>
              <w:top w:val="nil"/>
              <w:left w:val="nil"/>
              <w:bottom w:val="nil"/>
              <w:right w:val="nil"/>
            </w:tcBorders>
          </w:tcPr>
          <w:p w14:paraId="1D9F49A8" w14:textId="77777777" w:rsidR="0012433F" w:rsidRPr="005D3F76" w:rsidRDefault="0012433F" w:rsidP="0012433F">
            <w:pPr>
              <w:pStyle w:val="EndnoteText"/>
              <w:spacing w:before="240" w:after="240" w:line="276" w:lineRule="auto"/>
              <w:rPr>
                <w:rFonts w:cs="Times New Roman"/>
                <w:b/>
                <w:sz w:val="24"/>
                <w:szCs w:val="24"/>
              </w:rPr>
            </w:pPr>
            <w:r w:rsidRPr="005D3F76">
              <w:rPr>
                <w:rFonts w:cs="Times New Roman"/>
                <w:sz w:val="24"/>
                <w:szCs w:val="24"/>
              </w:rPr>
              <w:lastRenderedPageBreak/>
              <w:t xml:space="preserve">THEME: </w:t>
            </w:r>
            <w:r w:rsidRPr="005D3F76">
              <w:rPr>
                <w:rFonts w:cs="Times New Roman"/>
                <w:b/>
                <w:sz w:val="24"/>
                <w:szCs w:val="24"/>
              </w:rPr>
              <w:t>Teacher</w:t>
            </w:r>
          </w:p>
        </w:tc>
        <w:tc>
          <w:tcPr>
            <w:tcW w:w="5760" w:type="dxa"/>
            <w:tcBorders>
              <w:top w:val="nil"/>
              <w:left w:val="nil"/>
              <w:bottom w:val="nil"/>
              <w:right w:val="nil"/>
            </w:tcBorders>
          </w:tcPr>
          <w:p w14:paraId="02D974F2" w14:textId="77777777" w:rsidR="0012433F" w:rsidRPr="005D3F76" w:rsidRDefault="0012433F" w:rsidP="0012433F">
            <w:pPr>
              <w:pStyle w:val="EndnoteText"/>
              <w:spacing w:before="240" w:after="240" w:line="276" w:lineRule="auto"/>
              <w:rPr>
                <w:rFonts w:cs="Times New Roman"/>
                <w:b/>
                <w:sz w:val="24"/>
                <w:szCs w:val="24"/>
              </w:rPr>
            </w:pPr>
          </w:p>
        </w:tc>
      </w:tr>
      <w:tr w:rsidR="0012433F" w:rsidRPr="005D3F76" w14:paraId="65C74224" w14:textId="77777777" w:rsidTr="0012433F">
        <w:tc>
          <w:tcPr>
            <w:tcW w:w="3600" w:type="dxa"/>
            <w:tcBorders>
              <w:top w:val="nil"/>
              <w:left w:val="nil"/>
              <w:bottom w:val="nil"/>
              <w:right w:val="nil"/>
            </w:tcBorders>
          </w:tcPr>
          <w:p w14:paraId="151D6F6D"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The New York Times</w:t>
            </w:r>
          </w:p>
        </w:tc>
        <w:tc>
          <w:tcPr>
            <w:tcW w:w="5760" w:type="dxa"/>
            <w:tcBorders>
              <w:top w:val="nil"/>
              <w:left w:val="nil"/>
              <w:bottom w:val="nil"/>
              <w:right w:val="nil"/>
            </w:tcBorders>
          </w:tcPr>
          <w:p w14:paraId="254867EA"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18980B83" w14:textId="77777777" w:rsidTr="0012433F">
        <w:tc>
          <w:tcPr>
            <w:tcW w:w="3600" w:type="dxa"/>
            <w:tcBorders>
              <w:top w:val="nil"/>
              <w:left w:val="nil"/>
              <w:bottom w:val="nil"/>
              <w:right w:val="nil"/>
            </w:tcBorders>
          </w:tcPr>
          <w:p w14:paraId="2841398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Seniority</w:t>
            </w:r>
          </w:p>
        </w:tc>
        <w:tc>
          <w:tcPr>
            <w:tcW w:w="5760" w:type="dxa"/>
            <w:tcBorders>
              <w:top w:val="nil"/>
              <w:left w:val="nil"/>
              <w:bottom w:val="nil"/>
              <w:right w:val="nil"/>
            </w:tcBorders>
          </w:tcPr>
          <w:p w14:paraId="6948600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First in, first laid off</w:t>
            </w:r>
          </w:p>
        </w:tc>
      </w:tr>
      <w:tr w:rsidR="0012433F" w:rsidRPr="005D3F76" w14:paraId="257651D1" w14:textId="77777777" w:rsidTr="0012433F">
        <w:tc>
          <w:tcPr>
            <w:tcW w:w="3600" w:type="dxa"/>
            <w:tcBorders>
              <w:top w:val="nil"/>
              <w:left w:val="nil"/>
              <w:bottom w:val="nil"/>
              <w:right w:val="nil"/>
            </w:tcBorders>
          </w:tcPr>
          <w:p w14:paraId="1BFE71D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Tenure</w:t>
            </w:r>
          </w:p>
        </w:tc>
        <w:tc>
          <w:tcPr>
            <w:tcW w:w="5760" w:type="dxa"/>
            <w:tcBorders>
              <w:top w:val="nil"/>
              <w:left w:val="nil"/>
              <w:bottom w:val="nil"/>
              <w:right w:val="nil"/>
            </w:tcBorders>
          </w:tcPr>
          <w:p w14:paraId="0B610E8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concerned about job security (weakening)</w:t>
            </w:r>
          </w:p>
        </w:tc>
      </w:tr>
      <w:tr w:rsidR="0012433F" w:rsidRPr="005D3F76" w14:paraId="48B0069A" w14:textId="77777777" w:rsidTr="0012433F">
        <w:tc>
          <w:tcPr>
            <w:tcW w:w="3600" w:type="dxa"/>
            <w:tcBorders>
              <w:top w:val="nil"/>
              <w:left w:val="nil"/>
              <w:bottom w:val="nil"/>
              <w:right w:val="nil"/>
            </w:tcBorders>
          </w:tcPr>
          <w:p w14:paraId="472D886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Testing</w:t>
            </w:r>
          </w:p>
        </w:tc>
        <w:tc>
          <w:tcPr>
            <w:tcW w:w="5760" w:type="dxa"/>
            <w:tcBorders>
              <w:top w:val="nil"/>
              <w:left w:val="nil"/>
              <w:bottom w:val="nil"/>
              <w:right w:val="nil"/>
            </w:tcBorders>
          </w:tcPr>
          <w:p w14:paraId="38D7C51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 quality reduced to a number on a test</w:t>
            </w:r>
          </w:p>
        </w:tc>
      </w:tr>
      <w:tr w:rsidR="0012433F" w:rsidRPr="005D3F76" w14:paraId="30E558DB" w14:textId="77777777" w:rsidTr="0012433F">
        <w:tc>
          <w:tcPr>
            <w:tcW w:w="3600" w:type="dxa"/>
            <w:tcBorders>
              <w:top w:val="nil"/>
              <w:left w:val="nil"/>
              <w:bottom w:val="nil"/>
              <w:right w:val="nil"/>
            </w:tcBorders>
          </w:tcPr>
          <w:p w14:paraId="23FA0B3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Accountability</w:t>
            </w:r>
          </w:p>
        </w:tc>
        <w:tc>
          <w:tcPr>
            <w:tcW w:w="5760" w:type="dxa"/>
            <w:tcBorders>
              <w:top w:val="nil"/>
              <w:left w:val="nil"/>
              <w:bottom w:val="nil"/>
              <w:right w:val="nil"/>
            </w:tcBorders>
          </w:tcPr>
          <w:p w14:paraId="4A8D7C4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responsible for ability of students to have superb outcomes. High stakes testing contributes to this.</w:t>
            </w:r>
          </w:p>
        </w:tc>
      </w:tr>
      <w:tr w:rsidR="0012433F" w:rsidRPr="005D3F76" w14:paraId="43A587C3" w14:textId="77777777" w:rsidTr="0012433F">
        <w:tc>
          <w:tcPr>
            <w:tcW w:w="3600" w:type="dxa"/>
            <w:tcBorders>
              <w:top w:val="nil"/>
              <w:left w:val="nil"/>
              <w:bottom w:val="nil"/>
              <w:right w:val="nil"/>
            </w:tcBorders>
          </w:tcPr>
          <w:p w14:paraId="698E91B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Scapegoats</w:t>
            </w:r>
          </w:p>
        </w:tc>
        <w:tc>
          <w:tcPr>
            <w:tcW w:w="5760" w:type="dxa"/>
            <w:tcBorders>
              <w:top w:val="nil"/>
              <w:left w:val="nil"/>
              <w:bottom w:val="nil"/>
              <w:right w:val="nil"/>
            </w:tcBorders>
          </w:tcPr>
          <w:p w14:paraId="1D78F04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used as a means to explain sliding position of American students on international testing models.</w:t>
            </w:r>
          </w:p>
        </w:tc>
      </w:tr>
      <w:tr w:rsidR="0012433F" w:rsidRPr="005D3F76" w14:paraId="0D767485" w14:textId="77777777" w:rsidTr="0012433F">
        <w:tc>
          <w:tcPr>
            <w:tcW w:w="3600" w:type="dxa"/>
            <w:tcBorders>
              <w:top w:val="nil"/>
              <w:left w:val="nil"/>
              <w:bottom w:val="nil"/>
              <w:right w:val="nil"/>
            </w:tcBorders>
          </w:tcPr>
          <w:p w14:paraId="40562CB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Performance</w:t>
            </w:r>
          </w:p>
        </w:tc>
        <w:tc>
          <w:tcPr>
            <w:tcW w:w="5760" w:type="dxa"/>
            <w:tcBorders>
              <w:top w:val="nil"/>
              <w:left w:val="nil"/>
              <w:bottom w:val="nil"/>
              <w:right w:val="nil"/>
            </w:tcBorders>
          </w:tcPr>
          <w:p w14:paraId="44FF33E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ability to accomplish certain tasks and requirements within the classroom. Also refers in part to student testing achievement.</w:t>
            </w:r>
          </w:p>
        </w:tc>
      </w:tr>
      <w:tr w:rsidR="0012433F" w:rsidRPr="005D3F76" w14:paraId="5D6FBF49" w14:textId="77777777" w:rsidTr="0012433F">
        <w:tc>
          <w:tcPr>
            <w:tcW w:w="3600" w:type="dxa"/>
            <w:tcBorders>
              <w:top w:val="nil"/>
              <w:left w:val="nil"/>
              <w:bottom w:val="nil"/>
              <w:right w:val="nil"/>
            </w:tcBorders>
          </w:tcPr>
          <w:p w14:paraId="1460B8C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Professional</w:t>
            </w:r>
          </w:p>
        </w:tc>
        <w:tc>
          <w:tcPr>
            <w:tcW w:w="5760" w:type="dxa"/>
            <w:tcBorders>
              <w:top w:val="nil"/>
              <w:left w:val="nil"/>
              <w:bottom w:val="nil"/>
              <w:right w:val="nil"/>
            </w:tcBorders>
          </w:tcPr>
          <w:p w14:paraId="5D9CA4E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An atmosphere that holds certain standards and practices within its field and membership.</w:t>
            </w:r>
          </w:p>
        </w:tc>
      </w:tr>
      <w:tr w:rsidR="0012433F" w:rsidRPr="005D3F76" w14:paraId="11ACAC38" w14:textId="77777777" w:rsidTr="0012433F">
        <w:trPr>
          <w:trHeight w:val="101"/>
        </w:trPr>
        <w:tc>
          <w:tcPr>
            <w:tcW w:w="3600" w:type="dxa"/>
            <w:tcBorders>
              <w:top w:val="nil"/>
              <w:left w:val="nil"/>
              <w:bottom w:val="nil"/>
              <w:right w:val="nil"/>
            </w:tcBorders>
          </w:tcPr>
          <w:p w14:paraId="230A2D4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Benefits</w:t>
            </w:r>
          </w:p>
        </w:tc>
        <w:tc>
          <w:tcPr>
            <w:tcW w:w="5760" w:type="dxa"/>
            <w:tcBorders>
              <w:top w:val="nil"/>
              <w:left w:val="nil"/>
              <w:bottom w:val="nil"/>
              <w:right w:val="nil"/>
            </w:tcBorders>
          </w:tcPr>
          <w:p w14:paraId="5878143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Within this newspaper, these were dealing with health and retirement compensation after completion of employment.</w:t>
            </w:r>
          </w:p>
        </w:tc>
      </w:tr>
      <w:tr w:rsidR="0012433F" w:rsidRPr="005D3F76" w14:paraId="2F394045" w14:textId="77777777" w:rsidTr="0012433F">
        <w:tc>
          <w:tcPr>
            <w:tcW w:w="3600" w:type="dxa"/>
            <w:tcBorders>
              <w:top w:val="nil"/>
              <w:left w:val="nil"/>
              <w:bottom w:val="nil"/>
              <w:right w:val="nil"/>
            </w:tcBorders>
          </w:tcPr>
          <w:p w14:paraId="2857AE3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Target</w:t>
            </w:r>
          </w:p>
        </w:tc>
        <w:tc>
          <w:tcPr>
            <w:tcW w:w="5760" w:type="dxa"/>
            <w:tcBorders>
              <w:top w:val="nil"/>
              <w:left w:val="nil"/>
              <w:bottom w:val="nil"/>
              <w:right w:val="nil"/>
            </w:tcBorders>
          </w:tcPr>
          <w:p w14:paraId="46C2837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person selected for an attack.</w:t>
            </w:r>
          </w:p>
        </w:tc>
      </w:tr>
      <w:tr w:rsidR="0012433F" w:rsidRPr="005D3F76" w14:paraId="5E56057C" w14:textId="77777777" w:rsidTr="0012433F">
        <w:tc>
          <w:tcPr>
            <w:tcW w:w="3600" w:type="dxa"/>
            <w:tcBorders>
              <w:top w:val="nil"/>
              <w:left w:val="nil"/>
              <w:bottom w:val="nil"/>
              <w:right w:val="nil"/>
            </w:tcBorders>
          </w:tcPr>
          <w:p w14:paraId="42637613"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Wisconsin State Journal</w:t>
            </w:r>
          </w:p>
        </w:tc>
        <w:tc>
          <w:tcPr>
            <w:tcW w:w="5760" w:type="dxa"/>
            <w:tcBorders>
              <w:top w:val="nil"/>
              <w:left w:val="nil"/>
              <w:bottom w:val="nil"/>
              <w:right w:val="nil"/>
            </w:tcBorders>
          </w:tcPr>
          <w:p w14:paraId="7CB59D07"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6022B81C" w14:textId="77777777" w:rsidTr="0012433F">
        <w:tc>
          <w:tcPr>
            <w:tcW w:w="3600" w:type="dxa"/>
            <w:tcBorders>
              <w:top w:val="nil"/>
              <w:left w:val="nil"/>
              <w:bottom w:val="nil"/>
              <w:right w:val="nil"/>
            </w:tcBorders>
          </w:tcPr>
          <w:p w14:paraId="251D4E4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Seniority</w:t>
            </w:r>
          </w:p>
        </w:tc>
        <w:tc>
          <w:tcPr>
            <w:tcW w:w="5760" w:type="dxa"/>
            <w:tcBorders>
              <w:top w:val="nil"/>
              <w:left w:val="nil"/>
              <w:bottom w:val="nil"/>
              <w:right w:val="nil"/>
            </w:tcBorders>
          </w:tcPr>
          <w:p w14:paraId="7050A04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First in, first laid off.</w:t>
            </w:r>
          </w:p>
        </w:tc>
      </w:tr>
      <w:tr w:rsidR="0012433F" w:rsidRPr="005D3F76" w14:paraId="7E9D6615" w14:textId="77777777" w:rsidTr="0012433F">
        <w:tc>
          <w:tcPr>
            <w:tcW w:w="3600" w:type="dxa"/>
            <w:tcBorders>
              <w:top w:val="nil"/>
              <w:left w:val="nil"/>
              <w:bottom w:val="nil"/>
              <w:right w:val="nil"/>
            </w:tcBorders>
          </w:tcPr>
          <w:p w14:paraId="2EFDFA0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Tenure</w:t>
            </w:r>
          </w:p>
        </w:tc>
        <w:tc>
          <w:tcPr>
            <w:tcW w:w="5760" w:type="dxa"/>
            <w:tcBorders>
              <w:top w:val="nil"/>
              <w:left w:val="nil"/>
              <w:bottom w:val="nil"/>
              <w:right w:val="nil"/>
            </w:tcBorders>
          </w:tcPr>
          <w:p w14:paraId="606E32B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concerned about job security (weakening)</w:t>
            </w:r>
          </w:p>
        </w:tc>
      </w:tr>
      <w:tr w:rsidR="0012433F" w:rsidRPr="005D3F76" w14:paraId="345AD618" w14:textId="77777777" w:rsidTr="0012433F">
        <w:tc>
          <w:tcPr>
            <w:tcW w:w="3600" w:type="dxa"/>
            <w:tcBorders>
              <w:top w:val="nil"/>
              <w:left w:val="nil"/>
              <w:bottom w:val="nil"/>
              <w:right w:val="nil"/>
            </w:tcBorders>
          </w:tcPr>
          <w:p w14:paraId="7762234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Professional</w:t>
            </w:r>
          </w:p>
        </w:tc>
        <w:tc>
          <w:tcPr>
            <w:tcW w:w="5760" w:type="dxa"/>
            <w:tcBorders>
              <w:top w:val="nil"/>
              <w:left w:val="nil"/>
              <w:bottom w:val="nil"/>
              <w:right w:val="nil"/>
            </w:tcBorders>
          </w:tcPr>
          <w:p w14:paraId="0AF000C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An atmosphere that holds certain standards and practices within its field and membership.</w:t>
            </w:r>
          </w:p>
        </w:tc>
      </w:tr>
      <w:tr w:rsidR="0012433F" w:rsidRPr="005D3F76" w14:paraId="616299D0" w14:textId="77777777" w:rsidTr="0012433F">
        <w:tc>
          <w:tcPr>
            <w:tcW w:w="3600" w:type="dxa"/>
            <w:tcBorders>
              <w:top w:val="nil"/>
              <w:left w:val="nil"/>
              <w:bottom w:val="nil"/>
              <w:right w:val="nil"/>
            </w:tcBorders>
          </w:tcPr>
          <w:p w14:paraId="1BD41D9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Performance</w:t>
            </w:r>
          </w:p>
        </w:tc>
        <w:tc>
          <w:tcPr>
            <w:tcW w:w="5760" w:type="dxa"/>
            <w:tcBorders>
              <w:top w:val="nil"/>
              <w:left w:val="nil"/>
              <w:bottom w:val="nil"/>
              <w:right w:val="nil"/>
            </w:tcBorders>
          </w:tcPr>
          <w:p w14:paraId="3380705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ability to accomplish certain tasks and requirements within the classroom.</w:t>
            </w:r>
          </w:p>
        </w:tc>
      </w:tr>
      <w:tr w:rsidR="0012433F" w:rsidRPr="005D3F76" w14:paraId="3797CE10" w14:textId="77777777" w:rsidTr="0012433F">
        <w:tc>
          <w:tcPr>
            <w:tcW w:w="3600" w:type="dxa"/>
            <w:tcBorders>
              <w:top w:val="nil"/>
              <w:left w:val="nil"/>
              <w:bottom w:val="nil"/>
              <w:right w:val="nil"/>
            </w:tcBorders>
          </w:tcPr>
          <w:p w14:paraId="1EB3A31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Ability</w:t>
            </w:r>
          </w:p>
        </w:tc>
        <w:tc>
          <w:tcPr>
            <w:tcW w:w="5760" w:type="dxa"/>
            <w:tcBorders>
              <w:top w:val="nil"/>
              <w:left w:val="nil"/>
              <w:bottom w:val="nil"/>
              <w:right w:val="nil"/>
            </w:tcBorders>
          </w:tcPr>
          <w:p w14:paraId="6C84A41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Skill or talent to effectively teach.</w:t>
            </w:r>
          </w:p>
        </w:tc>
      </w:tr>
      <w:tr w:rsidR="0012433F" w:rsidRPr="005D3F76" w14:paraId="04A44567" w14:textId="77777777" w:rsidTr="0012433F">
        <w:tc>
          <w:tcPr>
            <w:tcW w:w="3600" w:type="dxa"/>
            <w:tcBorders>
              <w:top w:val="nil"/>
              <w:left w:val="nil"/>
              <w:bottom w:val="nil"/>
              <w:right w:val="nil"/>
            </w:tcBorders>
          </w:tcPr>
          <w:p w14:paraId="55C90F3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Evaluation</w:t>
            </w:r>
          </w:p>
        </w:tc>
        <w:tc>
          <w:tcPr>
            <w:tcW w:w="5760" w:type="dxa"/>
            <w:tcBorders>
              <w:top w:val="nil"/>
              <w:left w:val="nil"/>
              <w:bottom w:val="nil"/>
              <w:right w:val="nil"/>
            </w:tcBorders>
          </w:tcPr>
          <w:p w14:paraId="1D59447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judgement or value of a particular teacher based on criteria provided in each individual county.</w:t>
            </w:r>
          </w:p>
        </w:tc>
      </w:tr>
      <w:tr w:rsidR="0012433F" w:rsidRPr="005D3F76" w14:paraId="4C5965B8" w14:textId="77777777" w:rsidTr="0012433F">
        <w:tc>
          <w:tcPr>
            <w:tcW w:w="3600" w:type="dxa"/>
            <w:tcBorders>
              <w:top w:val="nil"/>
              <w:left w:val="nil"/>
              <w:bottom w:val="nil"/>
              <w:right w:val="nil"/>
            </w:tcBorders>
          </w:tcPr>
          <w:p w14:paraId="2D072E6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Safety</w:t>
            </w:r>
          </w:p>
        </w:tc>
        <w:tc>
          <w:tcPr>
            <w:tcW w:w="5760" w:type="dxa"/>
            <w:tcBorders>
              <w:top w:val="nil"/>
              <w:left w:val="nil"/>
              <w:bottom w:val="nil"/>
              <w:right w:val="nil"/>
            </w:tcBorders>
          </w:tcPr>
          <w:p w14:paraId="078CD34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Bodily harm of teachers within Madison, Wisconsin.</w:t>
            </w:r>
          </w:p>
          <w:p w14:paraId="40932AA8" w14:textId="77777777" w:rsidR="0012433F" w:rsidRPr="005D3F76" w:rsidRDefault="0012433F" w:rsidP="0012433F">
            <w:pPr>
              <w:pStyle w:val="EndnoteText"/>
              <w:spacing w:after="120" w:line="276" w:lineRule="auto"/>
              <w:rPr>
                <w:rFonts w:cs="Times New Roman"/>
                <w:sz w:val="24"/>
                <w:szCs w:val="24"/>
              </w:rPr>
            </w:pPr>
          </w:p>
          <w:p w14:paraId="68D84845"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7C92CACD" w14:textId="77777777" w:rsidTr="0012433F">
        <w:tc>
          <w:tcPr>
            <w:tcW w:w="3600" w:type="dxa"/>
            <w:tcBorders>
              <w:top w:val="nil"/>
              <w:left w:val="nil"/>
              <w:bottom w:val="nil"/>
              <w:right w:val="nil"/>
            </w:tcBorders>
          </w:tcPr>
          <w:p w14:paraId="1CA017D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Accountability</w:t>
            </w:r>
          </w:p>
        </w:tc>
        <w:tc>
          <w:tcPr>
            <w:tcW w:w="5760" w:type="dxa"/>
            <w:tcBorders>
              <w:top w:val="nil"/>
              <w:left w:val="nil"/>
              <w:bottom w:val="nil"/>
              <w:right w:val="nil"/>
            </w:tcBorders>
          </w:tcPr>
          <w:p w14:paraId="44BF5E5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responsible for ability of students to have superb outcomes, as well as responsibility to the government for performing a certain way within the classroom.</w:t>
            </w:r>
          </w:p>
        </w:tc>
      </w:tr>
      <w:tr w:rsidR="0012433F" w:rsidRPr="005D3F76" w14:paraId="0033510F" w14:textId="77777777" w:rsidTr="0012433F">
        <w:tc>
          <w:tcPr>
            <w:tcW w:w="3600" w:type="dxa"/>
            <w:tcBorders>
              <w:top w:val="nil"/>
              <w:left w:val="nil"/>
              <w:bottom w:val="nil"/>
              <w:right w:val="nil"/>
            </w:tcBorders>
          </w:tcPr>
          <w:p w14:paraId="267B183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Benefits</w:t>
            </w:r>
          </w:p>
        </w:tc>
        <w:tc>
          <w:tcPr>
            <w:tcW w:w="5760" w:type="dxa"/>
            <w:tcBorders>
              <w:top w:val="nil"/>
              <w:left w:val="nil"/>
              <w:bottom w:val="nil"/>
              <w:right w:val="nil"/>
            </w:tcBorders>
          </w:tcPr>
          <w:p w14:paraId="5B5C54F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Within this newspaper, these were dealing with health, retirement, and vacation compensation during and after completion of employment.</w:t>
            </w:r>
          </w:p>
        </w:tc>
      </w:tr>
      <w:tr w:rsidR="0012433F" w:rsidRPr="005D3F76" w14:paraId="2B93D061" w14:textId="77777777" w:rsidTr="0012433F">
        <w:tc>
          <w:tcPr>
            <w:tcW w:w="3600" w:type="dxa"/>
            <w:tcBorders>
              <w:top w:val="nil"/>
              <w:left w:val="nil"/>
              <w:bottom w:val="nil"/>
              <w:right w:val="nil"/>
            </w:tcBorders>
          </w:tcPr>
          <w:p w14:paraId="4BB9661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Transparency</w:t>
            </w:r>
          </w:p>
        </w:tc>
        <w:tc>
          <w:tcPr>
            <w:tcW w:w="5760" w:type="dxa"/>
            <w:tcBorders>
              <w:top w:val="nil"/>
              <w:left w:val="nil"/>
              <w:bottom w:val="nil"/>
              <w:right w:val="nil"/>
            </w:tcBorders>
          </w:tcPr>
          <w:p w14:paraId="228D8E2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ability of parents, government entities, and evaluators to judge, correct, and determine appropriate changes in the education system concerning teachers.</w:t>
            </w:r>
          </w:p>
        </w:tc>
      </w:tr>
      <w:tr w:rsidR="0012433F" w:rsidRPr="005D3F76" w14:paraId="247F64AD" w14:textId="77777777" w:rsidTr="0012433F">
        <w:tc>
          <w:tcPr>
            <w:tcW w:w="3600" w:type="dxa"/>
            <w:tcBorders>
              <w:top w:val="nil"/>
              <w:left w:val="nil"/>
              <w:bottom w:val="nil"/>
              <w:right w:val="nil"/>
            </w:tcBorders>
          </w:tcPr>
          <w:p w14:paraId="60ADDB0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Graduation Rates</w:t>
            </w:r>
          </w:p>
        </w:tc>
        <w:tc>
          <w:tcPr>
            <w:tcW w:w="5760" w:type="dxa"/>
            <w:tcBorders>
              <w:top w:val="nil"/>
              <w:left w:val="nil"/>
              <w:bottom w:val="nil"/>
              <w:right w:val="nil"/>
            </w:tcBorders>
          </w:tcPr>
          <w:p w14:paraId="08B8617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number of students that a teacher is able to get to completion of their schooling.</w:t>
            </w:r>
          </w:p>
        </w:tc>
      </w:tr>
      <w:tr w:rsidR="0012433F" w:rsidRPr="005D3F76" w14:paraId="2046C98E" w14:textId="77777777" w:rsidTr="0012433F">
        <w:tc>
          <w:tcPr>
            <w:tcW w:w="3600" w:type="dxa"/>
            <w:tcBorders>
              <w:top w:val="nil"/>
              <w:left w:val="nil"/>
              <w:bottom w:val="nil"/>
              <w:right w:val="nil"/>
            </w:tcBorders>
          </w:tcPr>
          <w:p w14:paraId="464609E7"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Capital Times</w:t>
            </w:r>
          </w:p>
        </w:tc>
        <w:tc>
          <w:tcPr>
            <w:tcW w:w="5760" w:type="dxa"/>
            <w:tcBorders>
              <w:top w:val="nil"/>
              <w:left w:val="nil"/>
              <w:bottom w:val="nil"/>
              <w:right w:val="nil"/>
            </w:tcBorders>
          </w:tcPr>
          <w:p w14:paraId="07F6C095"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62015EE6" w14:textId="77777777" w:rsidTr="0012433F">
        <w:tc>
          <w:tcPr>
            <w:tcW w:w="3600" w:type="dxa"/>
            <w:tcBorders>
              <w:top w:val="nil"/>
              <w:left w:val="nil"/>
              <w:bottom w:val="nil"/>
              <w:right w:val="nil"/>
            </w:tcBorders>
          </w:tcPr>
          <w:p w14:paraId="56AF139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Performance</w:t>
            </w:r>
          </w:p>
        </w:tc>
        <w:tc>
          <w:tcPr>
            <w:tcW w:w="5760" w:type="dxa"/>
            <w:tcBorders>
              <w:top w:val="nil"/>
              <w:left w:val="nil"/>
              <w:bottom w:val="nil"/>
              <w:right w:val="nil"/>
            </w:tcBorders>
          </w:tcPr>
          <w:p w14:paraId="159075B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ability to accomplish certain tasks and requirements within the classroom.</w:t>
            </w:r>
          </w:p>
        </w:tc>
      </w:tr>
      <w:tr w:rsidR="0012433F" w:rsidRPr="005D3F76" w14:paraId="0C8CFA67" w14:textId="77777777" w:rsidTr="0012433F">
        <w:tc>
          <w:tcPr>
            <w:tcW w:w="3600" w:type="dxa"/>
            <w:tcBorders>
              <w:top w:val="nil"/>
              <w:left w:val="nil"/>
              <w:bottom w:val="nil"/>
              <w:right w:val="nil"/>
            </w:tcBorders>
          </w:tcPr>
          <w:p w14:paraId="69A280D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Safety</w:t>
            </w:r>
          </w:p>
        </w:tc>
        <w:tc>
          <w:tcPr>
            <w:tcW w:w="5760" w:type="dxa"/>
            <w:tcBorders>
              <w:top w:val="nil"/>
              <w:left w:val="nil"/>
              <w:bottom w:val="nil"/>
              <w:right w:val="nil"/>
            </w:tcBorders>
          </w:tcPr>
          <w:p w14:paraId="1A355F1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Bodily harm of teachers, but also cognitive and emotional harm.</w:t>
            </w:r>
          </w:p>
        </w:tc>
      </w:tr>
      <w:tr w:rsidR="0012433F" w:rsidRPr="005D3F76" w14:paraId="666D97B8" w14:textId="77777777" w:rsidTr="0012433F">
        <w:tc>
          <w:tcPr>
            <w:tcW w:w="3600" w:type="dxa"/>
            <w:tcBorders>
              <w:top w:val="nil"/>
              <w:left w:val="nil"/>
              <w:bottom w:val="nil"/>
              <w:right w:val="nil"/>
            </w:tcBorders>
          </w:tcPr>
          <w:p w14:paraId="176EF22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Accountability</w:t>
            </w:r>
          </w:p>
        </w:tc>
        <w:tc>
          <w:tcPr>
            <w:tcW w:w="5760" w:type="dxa"/>
            <w:tcBorders>
              <w:top w:val="nil"/>
              <w:left w:val="nil"/>
              <w:bottom w:val="nil"/>
              <w:right w:val="nil"/>
            </w:tcBorders>
          </w:tcPr>
          <w:p w14:paraId="164B6BA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responsible for ability of students to have superb outcomes.</w:t>
            </w:r>
          </w:p>
        </w:tc>
      </w:tr>
      <w:tr w:rsidR="0012433F" w:rsidRPr="005D3F76" w14:paraId="2CCB2D79" w14:textId="77777777" w:rsidTr="0012433F">
        <w:tc>
          <w:tcPr>
            <w:tcW w:w="3600" w:type="dxa"/>
            <w:tcBorders>
              <w:top w:val="nil"/>
              <w:left w:val="nil"/>
              <w:bottom w:val="nil"/>
              <w:right w:val="nil"/>
            </w:tcBorders>
          </w:tcPr>
          <w:p w14:paraId="1562549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Graduation Rates</w:t>
            </w:r>
          </w:p>
        </w:tc>
        <w:tc>
          <w:tcPr>
            <w:tcW w:w="5760" w:type="dxa"/>
            <w:tcBorders>
              <w:top w:val="nil"/>
              <w:left w:val="nil"/>
              <w:bottom w:val="nil"/>
              <w:right w:val="nil"/>
            </w:tcBorders>
          </w:tcPr>
          <w:p w14:paraId="7853400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number of students that a teacher is able to get to completion of their schooling.</w:t>
            </w:r>
          </w:p>
        </w:tc>
      </w:tr>
      <w:tr w:rsidR="0012433F" w:rsidRPr="005D3F76" w14:paraId="10EA33D1" w14:textId="77777777" w:rsidTr="0012433F">
        <w:tc>
          <w:tcPr>
            <w:tcW w:w="3600" w:type="dxa"/>
            <w:tcBorders>
              <w:top w:val="nil"/>
              <w:left w:val="nil"/>
              <w:bottom w:val="nil"/>
              <w:right w:val="nil"/>
            </w:tcBorders>
          </w:tcPr>
          <w:p w14:paraId="099C3CF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Reformers</w:t>
            </w:r>
          </w:p>
        </w:tc>
        <w:tc>
          <w:tcPr>
            <w:tcW w:w="5760" w:type="dxa"/>
            <w:tcBorders>
              <w:top w:val="nil"/>
              <w:left w:val="nil"/>
              <w:bottom w:val="nil"/>
              <w:right w:val="nil"/>
            </w:tcBorders>
          </w:tcPr>
          <w:p w14:paraId="49DBD0E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that are actively involved with the protests/sit-ins within Madison.</w:t>
            </w:r>
          </w:p>
        </w:tc>
      </w:tr>
      <w:tr w:rsidR="0012433F" w:rsidRPr="005D3F76" w14:paraId="10FD299E" w14:textId="77777777" w:rsidTr="0012433F">
        <w:tc>
          <w:tcPr>
            <w:tcW w:w="3600" w:type="dxa"/>
            <w:tcBorders>
              <w:top w:val="nil"/>
              <w:left w:val="nil"/>
              <w:bottom w:val="nil"/>
              <w:right w:val="nil"/>
            </w:tcBorders>
          </w:tcPr>
          <w:p w14:paraId="03D2A31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Professional</w:t>
            </w:r>
          </w:p>
        </w:tc>
        <w:tc>
          <w:tcPr>
            <w:tcW w:w="5760" w:type="dxa"/>
            <w:tcBorders>
              <w:top w:val="nil"/>
              <w:left w:val="nil"/>
              <w:bottom w:val="nil"/>
              <w:right w:val="nil"/>
            </w:tcBorders>
          </w:tcPr>
          <w:p w14:paraId="42C815E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An atmosphere that holds certain standards and practices within its field and membership.</w:t>
            </w:r>
          </w:p>
        </w:tc>
      </w:tr>
      <w:tr w:rsidR="0012433F" w:rsidRPr="005D3F76" w14:paraId="4C6EC503" w14:textId="77777777" w:rsidTr="0012433F">
        <w:tc>
          <w:tcPr>
            <w:tcW w:w="3600" w:type="dxa"/>
            <w:tcBorders>
              <w:top w:val="nil"/>
              <w:left w:val="nil"/>
              <w:bottom w:val="nil"/>
              <w:right w:val="nil"/>
            </w:tcBorders>
          </w:tcPr>
          <w:p w14:paraId="5B325F0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Benefits</w:t>
            </w:r>
          </w:p>
        </w:tc>
        <w:tc>
          <w:tcPr>
            <w:tcW w:w="5760" w:type="dxa"/>
            <w:tcBorders>
              <w:top w:val="nil"/>
              <w:left w:val="nil"/>
              <w:bottom w:val="nil"/>
              <w:right w:val="nil"/>
            </w:tcBorders>
          </w:tcPr>
          <w:p w14:paraId="3675489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Within this newspaper, health and vacation compensation during years working were focused upon.</w:t>
            </w:r>
          </w:p>
        </w:tc>
      </w:tr>
      <w:tr w:rsidR="0012433F" w:rsidRPr="005D3F76" w14:paraId="2D32FEF2" w14:textId="77777777" w:rsidTr="0012433F">
        <w:tc>
          <w:tcPr>
            <w:tcW w:w="3600" w:type="dxa"/>
            <w:tcBorders>
              <w:top w:val="nil"/>
              <w:left w:val="nil"/>
              <w:bottom w:val="nil"/>
              <w:right w:val="nil"/>
            </w:tcBorders>
          </w:tcPr>
          <w:p w14:paraId="5088DD1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Sacrifice</w:t>
            </w:r>
          </w:p>
        </w:tc>
        <w:tc>
          <w:tcPr>
            <w:tcW w:w="5760" w:type="dxa"/>
            <w:tcBorders>
              <w:top w:val="nil"/>
              <w:left w:val="nil"/>
              <w:bottom w:val="nil"/>
              <w:right w:val="nil"/>
            </w:tcBorders>
          </w:tcPr>
          <w:p w14:paraId="2D97268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act of surrendering a person to a cause. This is in reference to, how teachers have been the ones that make all the accommodations and are still being mistreated within the education system and through the ACT 10 legislation.</w:t>
            </w:r>
          </w:p>
          <w:p w14:paraId="1AAEF5F2" w14:textId="77777777" w:rsidR="0012433F" w:rsidRPr="005D3F76" w:rsidRDefault="0012433F" w:rsidP="0012433F">
            <w:pPr>
              <w:pStyle w:val="EndnoteText"/>
              <w:spacing w:after="120" w:line="276" w:lineRule="auto"/>
              <w:rPr>
                <w:rFonts w:cs="Times New Roman"/>
                <w:sz w:val="24"/>
                <w:szCs w:val="24"/>
              </w:rPr>
            </w:pPr>
          </w:p>
          <w:p w14:paraId="451E0F05"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0CFA65C7" w14:textId="77777777" w:rsidTr="0012433F">
        <w:tc>
          <w:tcPr>
            <w:tcW w:w="3600" w:type="dxa"/>
            <w:tcBorders>
              <w:top w:val="nil"/>
              <w:left w:val="nil"/>
              <w:bottom w:val="nil"/>
              <w:right w:val="nil"/>
            </w:tcBorders>
          </w:tcPr>
          <w:p w14:paraId="186B525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Captives</w:t>
            </w:r>
          </w:p>
        </w:tc>
        <w:tc>
          <w:tcPr>
            <w:tcW w:w="5760" w:type="dxa"/>
            <w:tcBorders>
              <w:top w:val="nil"/>
              <w:left w:val="nil"/>
              <w:bottom w:val="nil"/>
              <w:right w:val="nil"/>
            </w:tcBorders>
          </w:tcPr>
          <w:p w14:paraId="6843D2C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Teachers are being commandeered through the ACT 10 legislation. According to this newspaper, they are being told either do what the legislature wants or they will be out of a job.</w:t>
            </w:r>
          </w:p>
        </w:tc>
      </w:tr>
      <w:tr w:rsidR="0012433F" w:rsidRPr="005D3F76" w14:paraId="078A6877" w14:textId="77777777" w:rsidTr="0012433F">
        <w:tc>
          <w:tcPr>
            <w:tcW w:w="3600" w:type="dxa"/>
            <w:tcBorders>
              <w:top w:val="nil"/>
              <w:left w:val="nil"/>
              <w:bottom w:val="nil"/>
              <w:right w:val="nil"/>
            </w:tcBorders>
          </w:tcPr>
          <w:p w14:paraId="7D1F475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Defeats</w:t>
            </w:r>
          </w:p>
        </w:tc>
        <w:tc>
          <w:tcPr>
            <w:tcW w:w="5760" w:type="dxa"/>
            <w:tcBorders>
              <w:top w:val="nil"/>
              <w:left w:val="nil"/>
              <w:bottom w:val="nil"/>
              <w:right w:val="nil"/>
            </w:tcBorders>
          </w:tcPr>
          <w:p w14:paraId="340038A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reference to how teachers have been let down again in the education system within Wisconsin.</w:t>
            </w:r>
          </w:p>
        </w:tc>
      </w:tr>
      <w:tr w:rsidR="0012433F" w:rsidRPr="005D3F76" w14:paraId="61F467E8" w14:textId="77777777" w:rsidTr="0012433F">
        <w:tc>
          <w:tcPr>
            <w:tcW w:w="3600" w:type="dxa"/>
            <w:tcBorders>
              <w:top w:val="nil"/>
              <w:left w:val="nil"/>
              <w:bottom w:val="nil"/>
              <w:right w:val="nil"/>
            </w:tcBorders>
          </w:tcPr>
          <w:p w14:paraId="63D65221" w14:textId="77777777" w:rsidR="0012433F" w:rsidRPr="005D3F76" w:rsidRDefault="0012433F" w:rsidP="0012433F">
            <w:pPr>
              <w:pStyle w:val="EndnoteText"/>
              <w:spacing w:before="240" w:after="240" w:line="276" w:lineRule="auto"/>
              <w:rPr>
                <w:rFonts w:cs="Times New Roman"/>
                <w:b/>
                <w:sz w:val="24"/>
                <w:szCs w:val="24"/>
              </w:rPr>
            </w:pPr>
            <w:r w:rsidRPr="005D3F76">
              <w:rPr>
                <w:rFonts w:cs="Times New Roman"/>
                <w:sz w:val="24"/>
                <w:szCs w:val="24"/>
              </w:rPr>
              <w:t xml:space="preserve">THEME: </w:t>
            </w:r>
            <w:r w:rsidRPr="005D3F76">
              <w:rPr>
                <w:rFonts w:cs="Times New Roman"/>
                <w:b/>
                <w:sz w:val="24"/>
                <w:szCs w:val="24"/>
              </w:rPr>
              <w:t>Parents</w:t>
            </w:r>
          </w:p>
        </w:tc>
        <w:tc>
          <w:tcPr>
            <w:tcW w:w="5760" w:type="dxa"/>
            <w:tcBorders>
              <w:top w:val="nil"/>
              <w:left w:val="nil"/>
              <w:bottom w:val="nil"/>
              <w:right w:val="nil"/>
            </w:tcBorders>
          </w:tcPr>
          <w:p w14:paraId="30199EF8" w14:textId="77777777" w:rsidR="0012433F" w:rsidRPr="005D3F76" w:rsidRDefault="0012433F" w:rsidP="0012433F">
            <w:pPr>
              <w:pStyle w:val="EndnoteText"/>
              <w:spacing w:before="240" w:after="240" w:line="276" w:lineRule="auto"/>
              <w:rPr>
                <w:rFonts w:cs="Times New Roman"/>
                <w:sz w:val="24"/>
                <w:szCs w:val="24"/>
              </w:rPr>
            </w:pPr>
          </w:p>
        </w:tc>
      </w:tr>
      <w:tr w:rsidR="0012433F" w:rsidRPr="005D3F76" w14:paraId="5DA68FF1" w14:textId="77777777" w:rsidTr="0012433F">
        <w:tc>
          <w:tcPr>
            <w:tcW w:w="3600" w:type="dxa"/>
            <w:tcBorders>
              <w:top w:val="nil"/>
              <w:left w:val="nil"/>
              <w:bottom w:val="nil"/>
              <w:right w:val="nil"/>
            </w:tcBorders>
          </w:tcPr>
          <w:p w14:paraId="78432AFC"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The New York Times</w:t>
            </w:r>
          </w:p>
        </w:tc>
        <w:tc>
          <w:tcPr>
            <w:tcW w:w="5760" w:type="dxa"/>
            <w:tcBorders>
              <w:top w:val="nil"/>
              <w:left w:val="nil"/>
              <w:bottom w:val="nil"/>
              <w:right w:val="nil"/>
            </w:tcBorders>
          </w:tcPr>
          <w:p w14:paraId="43D5017A"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5B56ECD2" w14:textId="77777777" w:rsidTr="0012433F">
        <w:tc>
          <w:tcPr>
            <w:tcW w:w="3600" w:type="dxa"/>
            <w:tcBorders>
              <w:top w:val="nil"/>
              <w:left w:val="nil"/>
              <w:bottom w:val="nil"/>
              <w:right w:val="nil"/>
            </w:tcBorders>
          </w:tcPr>
          <w:p w14:paraId="59ECFC9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Reformers</w:t>
            </w:r>
          </w:p>
        </w:tc>
        <w:tc>
          <w:tcPr>
            <w:tcW w:w="5760" w:type="dxa"/>
            <w:tcBorders>
              <w:top w:val="nil"/>
              <w:left w:val="nil"/>
              <w:bottom w:val="nil"/>
              <w:right w:val="nil"/>
            </w:tcBorders>
          </w:tcPr>
          <w:p w14:paraId="73A3509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Parents taking a role in reforming public education. Many of them in this newspaper were pro-union and were calling for change in government, not education.</w:t>
            </w:r>
          </w:p>
        </w:tc>
      </w:tr>
      <w:tr w:rsidR="0012433F" w:rsidRPr="005D3F76" w14:paraId="06DBE5DA" w14:textId="77777777" w:rsidTr="0012433F">
        <w:tc>
          <w:tcPr>
            <w:tcW w:w="3600" w:type="dxa"/>
            <w:tcBorders>
              <w:top w:val="nil"/>
              <w:left w:val="nil"/>
              <w:bottom w:val="nil"/>
              <w:right w:val="nil"/>
            </w:tcBorders>
          </w:tcPr>
          <w:p w14:paraId="30C810D4"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Wisconsin State Journal</w:t>
            </w:r>
          </w:p>
        </w:tc>
        <w:tc>
          <w:tcPr>
            <w:tcW w:w="5760" w:type="dxa"/>
            <w:tcBorders>
              <w:top w:val="nil"/>
              <w:left w:val="nil"/>
              <w:bottom w:val="nil"/>
              <w:right w:val="nil"/>
            </w:tcBorders>
          </w:tcPr>
          <w:p w14:paraId="063A5502"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1AC0AE31" w14:textId="77777777" w:rsidTr="0012433F">
        <w:tc>
          <w:tcPr>
            <w:tcW w:w="3600" w:type="dxa"/>
            <w:tcBorders>
              <w:top w:val="nil"/>
              <w:left w:val="nil"/>
              <w:bottom w:val="nil"/>
              <w:right w:val="nil"/>
            </w:tcBorders>
          </w:tcPr>
          <w:p w14:paraId="3D0D918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Critics</w:t>
            </w:r>
          </w:p>
        </w:tc>
        <w:tc>
          <w:tcPr>
            <w:tcW w:w="5760" w:type="dxa"/>
            <w:tcBorders>
              <w:top w:val="nil"/>
              <w:left w:val="nil"/>
              <w:bottom w:val="nil"/>
              <w:right w:val="nil"/>
            </w:tcBorders>
          </w:tcPr>
          <w:p w14:paraId="4C9567E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Parents that are critical of teachers and the unions that they are a part of.</w:t>
            </w:r>
          </w:p>
        </w:tc>
      </w:tr>
      <w:tr w:rsidR="0012433F" w:rsidRPr="005D3F76" w14:paraId="3D50CFE7" w14:textId="77777777" w:rsidTr="0012433F">
        <w:tc>
          <w:tcPr>
            <w:tcW w:w="3600" w:type="dxa"/>
            <w:tcBorders>
              <w:top w:val="nil"/>
              <w:left w:val="nil"/>
              <w:bottom w:val="nil"/>
              <w:right w:val="nil"/>
            </w:tcBorders>
          </w:tcPr>
          <w:p w14:paraId="6CE73F0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Madisonians</w:t>
            </w:r>
          </w:p>
        </w:tc>
        <w:tc>
          <w:tcPr>
            <w:tcW w:w="5760" w:type="dxa"/>
            <w:tcBorders>
              <w:top w:val="nil"/>
              <w:left w:val="nil"/>
              <w:bottom w:val="nil"/>
              <w:right w:val="nil"/>
            </w:tcBorders>
          </w:tcPr>
          <w:p w14:paraId="7E69D65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Individuals who live in or around Madison. These parents were some of the most vocal and involved during the protest/sit-ins during 2011-2012.</w:t>
            </w:r>
          </w:p>
        </w:tc>
      </w:tr>
      <w:tr w:rsidR="0012433F" w:rsidRPr="005D3F76" w14:paraId="5AF01A6E" w14:textId="77777777" w:rsidTr="0012433F">
        <w:tc>
          <w:tcPr>
            <w:tcW w:w="3600" w:type="dxa"/>
            <w:tcBorders>
              <w:top w:val="nil"/>
              <w:left w:val="nil"/>
              <w:bottom w:val="nil"/>
              <w:right w:val="nil"/>
            </w:tcBorders>
          </w:tcPr>
          <w:p w14:paraId="604493FA"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Capital Times</w:t>
            </w:r>
          </w:p>
        </w:tc>
        <w:tc>
          <w:tcPr>
            <w:tcW w:w="5760" w:type="dxa"/>
            <w:tcBorders>
              <w:top w:val="nil"/>
              <w:left w:val="nil"/>
              <w:bottom w:val="nil"/>
              <w:right w:val="nil"/>
            </w:tcBorders>
          </w:tcPr>
          <w:p w14:paraId="41EDCD77"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42C10F0C" w14:textId="77777777" w:rsidTr="0012433F">
        <w:tc>
          <w:tcPr>
            <w:tcW w:w="3600" w:type="dxa"/>
            <w:tcBorders>
              <w:top w:val="nil"/>
              <w:left w:val="nil"/>
              <w:bottom w:val="nil"/>
              <w:right w:val="nil"/>
            </w:tcBorders>
          </w:tcPr>
          <w:p w14:paraId="4832E3B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Community Support</w:t>
            </w:r>
          </w:p>
        </w:tc>
        <w:tc>
          <w:tcPr>
            <w:tcW w:w="5760" w:type="dxa"/>
            <w:tcBorders>
              <w:top w:val="nil"/>
              <w:left w:val="nil"/>
              <w:bottom w:val="nil"/>
              <w:right w:val="nil"/>
            </w:tcBorders>
          </w:tcPr>
          <w:p w14:paraId="635804E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Parents within individual places in Wisconsin that were lending their support for teachers, public sector unions, and the protests and sit-ins.</w:t>
            </w:r>
          </w:p>
        </w:tc>
      </w:tr>
      <w:tr w:rsidR="0012433F" w:rsidRPr="005D3F76" w14:paraId="566EF5E4" w14:textId="77777777" w:rsidTr="0012433F">
        <w:tc>
          <w:tcPr>
            <w:tcW w:w="3600" w:type="dxa"/>
            <w:tcBorders>
              <w:top w:val="nil"/>
              <w:left w:val="nil"/>
              <w:bottom w:val="nil"/>
              <w:right w:val="nil"/>
            </w:tcBorders>
          </w:tcPr>
          <w:p w14:paraId="036B263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Reformers</w:t>
            </w:r>
          </w:p>
        </w:tc>
        <w:tc>
          <w:tcPr>
            <w:tcW w:w="5760" w:type="dxa"/>
            <w:tcBorders>
              <w:top w:val="nil"/>
              <w:left w:val="nil"/>
              <w:bottom w:val="nil"/>
              <w:right w:val="nil"/>
            </w:tcBorders>
          </w:tcPr>
          <w:p w14:paraId="40A6B4B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Parents taking a role in reforming public education. Many of them in this newspaper were pro-union, and were calling for compromises from all parties involved.</w:t>
            </w:r>
          </w:p>
        </w:tc>
      </w:tr>
      <w:tr w:rsidR="0012433F" w:rsidRPr="005D3F76" w14:paraId="772F3703" w14:textId="77777777" w:rsidTr="0012433F">
        <w:tc>
          <w:tcPr>
            <w:tcW w:w="3600" w:type="dxa"/>
            <w:tcBorders>
              <w:top w:val="nil"/>
              <w:left w:val="nil"/>
              <w:bottom w:val="nil"/>
              <w:right w:val="nil"/>
            </w:tcBorders>
          </w:tcPr>
          <w:p w14:paraId="79DC14E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Advocacy Groups</w:t>
            </w:r>
          </w:p>
        </w:tc>
        <w:tc>
          <w:tcPr>
            <w:tcW w:w="5760" w:type="dxa"/>
            <w:tcBorders>
              <w:top w:val="nil"/>
              <w:left w:val="nil"/>
              <w:bottom w:val="nil"/>
              <w:right w:val="nil"/>
            </w:tcBorders>
          </w:tcPr>
          <w:p w14:paraId="0B19C88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Parent sponsored and organized groups that state they are giving a voice to students who are not represented in teacher unions or other societal entities.</w:t>
            </w:r>
          </w:p>
        </w:tc>
      </w:tr>
      <w:tr w:rsidR="0012433F" w:rsidRPr="005D3F76" w14:paraId="73D42685" w14:textId="77777777" w:rsidTr="0012433F">
        <w:tc>
          <w:tcPr>
            <w:tcW w:w="3600" w:type="dxa"/>
            <w:tcBorders>
              <w:top w:val="nil"/>
              <w:left w:val="nil"/>
              <w:bottom w:val="nil"/>
              <w:right w:val="nil"/>
            </w:tcBorders>
          </w:tcPr>
          <w:p w14:paraId="695E68F8" w14:textId="77777777" w:rsidR="0012433F" w:rsidRPr="005D3F76" w:rsidRDefault="0012433F" w:rsidP="0012433F">
            <w:pPr>
              <w:pStyle w:val="EndnoteText"/>
              <w:spacing w:before="360" w:after="240" w:line="276" w:lineRule="auto"/>
              <w:rPr>
                <w:rFonts w:cs="Times New Roman"/>
                <w:b/>
                <w:sz w:val="24"/>
                <w:szCs w:val="24"/>
              </w:rPr>
            </w:pPr>
            <w:r w:rsidRPr="005D3F76">
              <w:rPr>
                <w:rFonts w:cs="Times New Roman"/>
                <w:sz w:val="24"/>
                <w:szCs w:val="24"/>
              </w:rPr>
              <w:t xml:space="preserve">THEME: </w:t>
            </w:r>
            <w:r w:rsidRPr="005D3F76">
              <w:rPr>
                <w:rFonts w:cs="Times New Roman"/>
                <w:b/>
                <w:sz w:val="24"/>
                <w:szCs w:val="24"/>
              </w:rPr>
              <w:t>Student</w:t>
            </w:r>
          </w:p>
        </w:tc>
        <w:tc>
          <w:tcPr>
            <w:tcW w:w="5760" w:type="dxa"/>
            <w:tcBorders>
              <w:top w:val="nil"/>
              <w:left w:val="nil"/>
              <w:bottom w:val="nil"/>
              <w:right w:val="nil"/>
            </w:tcBorders>
          </w:tcPr>
          <w:p w14:paraId="65EDEE19" w14:textId="77777777" w:rsidR="0012433F" w:rsidRPr="005D3F76" w:rsidRDefault="0012433F" w:rsidP="0012433F">
            <w:pPr>
              <w:pStyle w:val="EndnoteText"/>
              <w:spacing w:before="360" w:after="240" w:line="276" w:lineRule="auto"/>
              <w:rPr>
                <w:rFonts w:cs="Times New Roman"/>
                <w:sz w:val="24"/>
                <w:szCs w:val="24"/>
              </w:rPr>
            </w:pPr>
          </w:p>
        </w:tc>
      </w:tr>
      <w:tr w:rsidR="0012433F" w:rsidRPr="005D3F76" w14:paraId="306775F4" w14:textId="77777777" w:rsidTr="0012433F">
        <w:tc>
          <w:tcPr>
            <w:tcW w:w="3600" w:type="dxa"/>
            <w:tcBorders>
              <w:top w:val="nil"/>
              <w:left w:val="nil"/>
              <w:bottom w:val="nil"/>
              <w:right w:val="nil"/>
            </w:tcBorders>
          </w:tcPr>
          <w:p w14:paraId="2CD6BCAC"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The New York Times</w:t>
            </w:r>
          </w:p>
        </w:tc>
        <w:tc>
          <w:tcPr>
            <w:tcW w:w="5760" w:type="dxa"/>
            <w:tcBorders>
              <w:top w:val="nil"/>
              <w:left w:val="nil"/>
              <w:bottom w:val="nil"/>
              <w:right w:val="nil"/>
            </w:tcBorders>
          </w:tcPr>
          <w:p w14:paraId="4510CBCE"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116D8552" w14:textId="77777777" w:rsidTr="0012433F">
        <w:tc>
          <w:tcPr>
            <w:tcW w:w="3600" w:type="dxa"/>
            <w:tcBorders>
              <w:top w:val="nil"/>
              <w:left w:val="nil"/>
              <w:bottom w:val="nil"/>
              <w:right w:val="nil"/>
            </w:tcBorders>
          </w:tcPr>
          <w:p w14:paraId="0C24DC7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Achievement</w:t>
            </w:r>
          </w:p>
        </w:tc>
        <w:tc>
          <w:tcPr>
            <w:tcW w:w="5760" w:type="dxa"/>
            <w:tcBorders>
              <w:top w:val="nil"/>
              <w:left w:val="nil"/>
              <w:bottom w:val="nil"/>
              <w:right w:val="nil"/>
            </w:tcBorders>
          </w:tcPr>
          <w:p w14:paraId="7D2BB93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How well a student can do within the education system and their means of finishing school.</w:t>
            </w:r>
          </w:p>
        </w:tc>
      </w:tr>
      <w:tr w:rsidR="0012433F" w:rsidRPr="005D3F76" w14:paraId="5F746E7A" w14:textId="77777777" w:rsidTr="0012433F">
        <w:tc>
          <w:tcPr>
            <w:tcW w:w="3600" w:type="dxa"/>
            <w:tcBorders>
              <w:top w:val="nil"/>
              <w:left w:val="nil"/>
              <w:bottom w:val="nil"/>
              <w:right w:val="nil"/>
            </w:tcBorders>
          </w:tcPr>
          <w:p w14:paraId="31A0448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Testing</w:t>
            </w:r>
          </w:p>
        </w:tc>
        <w:tc>
          <w:tcPr>
            <w:tcW w:w="5760" w:type="dxa"/>
            <w:tcBorders>
              <w:top w:val="nil"/>
              <w:left w:val="nil"/>
              <w:bottom w:val="nil"/>
              <w:right w:val="nil"/>
            </w:tcBorders>
          </w:tcPr>
          <w:p w14:paraId="6C71A92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High-stakes means to examine student ability.</w:t>
            </w:r>
          </w:p>
        </w:tc>
      </w:tr>
      <w:tr w:rsidR="0012433F" w:rsidRPr="005D3F76" w14:paraId="28CECA03" w14:textId="77777777" w:rsidTr="0012433F">
        <w:tc>
          <w:tcPr>
            <w:tcW w:w="3600" w:type="dxa"/>
            <w:tcBorders>
              <w:top w:val="nil"/>
              <w:left w:val="nil"/>
              <w:bottom w:val="nil"/>
              <w:right w:val="nil"/>
            </w:tcBorders>
          </w:tcPr>
          <w:p w14:paraId="10BF28A6"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lastRenderedPageBreak/>
              <w:t>Wisconsin State Journal</w:t>
            </w:r>
          </w:p>
        </w:tc>
        <w:tc>
          <w:tcPr>
            <w:tcW w:w="5760" w:type="dxa"/>
            <w:tcBorders>
              <w:top w:val="nil"/>
              <w:left w:val="nil"/>
              <w:bottom w:val="nil"/>
              <w:right w:val="nil"/>
            </w:tcBorders>
          </w:tcPr>
          <w:p w14:paraId="1087121E"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40C2EE61" w14:textId="77777777" w:rsidTr="0012433F">
        <w:tc>
          <w:tcPr>
            <w:tcW w:w="3600" w:type="dxa"/>
            <w:tcBorders>
              <w:top w:val="nil"/>
              <w:left w:val="nil"/>
              <w:bottom w:val="nil"/>
              <w:right w:val="nil"/>
            </w:tcBorders>
          </w:tcPr>
          <w:p w14:paraId="2028A90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Achievement</w:t>
            </w:r>
          </w:p>
        </w:tc>
        <w:tc>
          <w:tcPr>
            <w:tcW w:w="5760" w:type="dxa"/>
            <w:tcBorders>
              <w:top w:val="nil"/>
              <w:left w:val="nil"/>
              <w:bottom w:val="nil"/>
              <w:right w:val="nil"/>
            </w:tcBorders>
          </w:tcPr>
          <w:p w14:paraId="52E89C5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How well a student can do within the education system and their means of finishing school.</w:t>
            </w:r>
          </w:p>
        </w:tc>
      </w:tr>
      <w:tr w:rsidR="0012433F" w:rsidRPr="005D3F76" w14:paraId="7FB209BA" w14:textId="77777777" w:rsidTr="0012433F">
        <w:tc>
          <w:tcPr>
            <w:tcW w:w="3600" w:type="dxa"/>
            <w:tcBorders>
              <w:top w:val="nil"/>
              <w:left w:val="nil"/>
              <w:bottom w:val="nil"/>
              <w:right w:val="nil"/>
            </w:tcBorders>
          </w:tcPr>
          <w:p w14:paraId="113FD63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Ability</w:t>
            </w:r>
          </w:p>
        </w:tc>
        <w:tc>
          <w:tcPr>
            <w:tcW w:w="5760" w:type="dxa"/>
            <w:tcBorders>
              <w:top w:val="nil"/>
              <w:left w:val="nil"/>
              <w:bottom w:val="nil"/>
              <w:right w:val="nil"/>
            </w:tcBorders>
          </w:tcPr>
          <w:p w14:paraId="590A6AD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means or skill to do something, in this case schooling.</w:t>
            </w:r>
          </w:p>
        </w:tc>
      </w:tr>
      <w:tr w:rsidR="0012433F" w:rsidRPr="005D3F76" w14:paraId="19526DE5" w14:textId="77777777" w:rsidTr="0012433F">
        <w:tc>
          <w:tcPr>
            <w:tcW w:w="3600" w:type="dxa"/>
            <w:tcBorders>
              <w:top w:val="nil"/>
              <w:left w:val="nil"/>
              <w:bottom w:val="nil"/>
              <w:right w:val="nil"/>
            </w:tcBorders>
          </w:tcPr>
          <w:p w14:paraId="6C2C3149"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Capital Times</w:t>
            </w:r>
          </w:p>
        </w:tc>
        <w:tc>
          <w:tcPr>
            <w:tcW w:w="5760" w:type="dxa"/>
            <w:tcBorders>
              <w:top w:val="nil"/>
              <w:left w:val="nil"/>
              <w:bottom w:val="nil"/>
              <w:right w:val="nil"/>
            </w:tcBorders>
          </w:tcPr>
          <w:p w14:paraId="766B9C27"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6B597684" w14:textId="77777777" w:rsidTr="0012433F">
        <w:tc>
          <w:tcPr>
            <w:tcW w:w="3600" w:type="dxa"/>
            <w:tcBorders>
              <w:top w:val="nil"/>
              <w:left w:val="nil"/>
              <w:bottom w:val="nil"/>
              <w:right w:val="nil"/>
            </w:tcBorders>
          </w:tcPr>
          <w:p w14:paraId="0A4EA90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Learning Conditions</w:t>
            </w:r>
          </w:p>
        </w:tc>
        <w:tc>
          <w:tcPr>
            <w:tcW w:w="5760" w:type="dxa"/>
            <w:tcBorders>
              <w:top w:val="nil"/>
              <w:left w:val="nil"/>
              <w:bottom w:val="nil"/>
              <w:right w:val="nil"/>
            </w:tcBorders>
          </w:tcPr>
          <w:p w14:paraId="06B8672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Refers to the cultures, circumstances, and physical places where students learn.</w:t>
            </w:r>
          </w:p>
        </w:tc>
      </w:tr>
      <w:tr w:rsidR="0012433F" w:rsidRPr="005D3F76" w14:paraId="35DF3A18" w14:textId="77777777" w:rsidTr="0012433F">
        <w:tc>
          <w:tcPr>
            <w:tcW w:w="3600" w:type="dxa"/>
            <w:tcBorders>
              <w:top w:val="nil"/>
              <w:left w:val="nil"/>
              <w:bottom w:val="nil"/>
              <w:right w:val="nil"/>
            </w:tcBorders>
          </w:tcPr>
          <w:p w14:paraId="622486C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Standards</w:t>
            </w:r>
          </w:p>
        </w:tc>
        <w:tc>
          <w:tcPr>
            <w:tcW w:w="5760" w:type="dxa"/>
            <w:tcBorders>
              <w:top w:val="nil"/>
              <w:left w:val="nil"/>
              <w:bottom w:val="nil"/>
              <w:right w:val="nil"/>
            </w:tcBorders>
          </w:tcPr>
          <w:p w14:paraId="2E52B46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set of guidelines that students must follow.</w:t>
            </w:r>
          </w:p>
        </w:tc>
      </w:tr>
      <w:tr w:rsidR="0012433F" w:rsidRPr="005D3F76" w14:paraId="3B1FA63D" w14:textId="77777777" w:rsidTr="0012433F">
        <w:tc>
          <w:tcPr>
            <w:tcW w:w="3600" w:type="dxa"/>
            <w:tcBorders>
              <w:top w:val="nil"/>
              <w:left w:val="nil"/>
              <w:bottom w:val="nil"/>
              <w:right w:val="nil"/>
            </w:tcBorders>
          </w:tcPr>
          <w:p w14:paraId="4FC4756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Captives</w:t>
            </w:r>
          </w:p>
        </w:tc>
        <w:tc>
          <w:tcPr>
            <w:tcW w:w="5760" w:type="dxa"/>
            <w:tcBorders>
              <w:top w:val="nil"/>
              <w:left w:val="nil"/>
              <w:bottom w:val="nil"/>
              <w:right w:val="nil"/>
            </w:tcBorders>
          </w:tcPr>
          <w:p w14:paraId="3ED98DBF" w14:textId="23234FC2" w:rsidR="0012433F" w:rsidRPr="005D3F76" w:rsidRDefault="00CE4DFC" w:rsidP="0012433F">
            <w:pPr>
              <w:pStyle w:val="EndnoteText"/>
              <w:spacing w:after="120" w:line="276" w:lineRule="auto"/>
              <w:rPr>
                <w:rFonts w:cs="Times New Roman"/>
                <w:sz w:val="24"/>
                <w:szCs w:val="24"/>
              </w:rPr>
            </w:pPr>
            <w:r w:rsidRPr="005D3F76">
              <w:rPr>
                <w:rFonts w:cs="Times New Roman"/>
                <w:sz w:val="24"/>
                <w:szCs w:val="24"/>
              </w:rPr>
              <w:t>Student’s</w:t>
            </w:r>
            <w:r w:rsidR="0012433F" w:rsidRPr="005D3F76">
              <w:rPr>
                <w:rFonts w:cs="Times New Roman"/>
                <w:sz w:val="24"/>
                <w:szCs w:val="24"/>
              </w:rPr>
              <w:t xml:space="preserve"> education being disregarded in the fight against teacher unions.</w:t>
            </w:r>
          </w:p>
        </w:tc>
      </w:tr>
      <w:tr w:rsidR="0012433F" w:rsidRPr="005D3F76" w14:paraId="4F24E64A" w14:textId="77777777" w:rsidTr="0012433F">
        <w:tc>
          <w:tcPr>
            <w:tcW w:w="3600" w:type="dxa"/>
            <w:tcBorders>
              <w:top w:val="nil"/>
              <w:left w:val="nil"/>
              <w:bottom w:val="nil"/>
              <w:right w:val="nil"/>
            </w:tcBorders>
          </w:tcPr>
          <w:p w14:paraId="4839416F" w14:textId="77777777" w:rsidR="0012433F" w:rsidRPr="005D3F76" w:rsidRDefault="0012433F" w:rsidP="0012433F">
            <w:pPr>
              <w:pStyle w:val="EndnoteText"/>
              <w:spacing w:before="360" w:after="240" w:line="276" w:lineRule="auto"/>
              <w:rPr>
                <w:rFonts w:cs="Times New Roman"/>
                <w:b/>
                <w:sz w:val="24"/>
                <w:szCs w:val="24"/>
              </w:rPr>
            </w:pPr>
            <w:r w:rsidRPr="005D3F76">
              <w:rPr>
                <w:rFonts w:cs="Times New Roman"/>
                <w:sz w:val="24"/>
                <w:szCs w:val="24"/>
              </w:rPr>
              <w:t xml:space="preserve">THEME: </w:t>
            </w:r>
            <w:r w:rsidRPr="005D3F76">
              <w:rPr>
                <w:rFonts w:cs="Times New Roman"/>
                <w:b/>
                <w:sz w:val="24"/>
                <w:szCs w:val="24"/>
              </w:rPr>
              <w:t>Teacher Unions</w:t>
            </w:r>
          </w:p>
        </w:tc>
        <w:tc>
          <w:tcPr>
            <w:tcW w:w="5760" w:type="dxa"/>
            <w:tcBorders>
              <w:top w:val="nil"/>
              <w:left w:val="nil"/>
              <w:bottom w:val="nil"/>
              <w:right w:val="nil"/>
            </w:tcBorders>
          </w:tcPr>
          <w:p w14:paraId="57901FE8" w14:textId="77777777" w:rsidR="0012433F" w:rsidRPr="005D3F76" w:rsidRDefault="0012433F" w:rsidP="0012433F">
            <w:pPr>
              <w:pStyle w:val="EndnoteText"/>
              <w:spacing w:before="360" w:after="240" w:line="276" w:lineRule="auto"/>
              <w:rPr>
                <w:rFonts w:cs="Times New Roman"/>
                <w:sz w:val="24"/>
                <w:szCs w:val="24"/>
              </w:rPr>
            </w:pPr>
          </w:p>
        </w:tc>
      </w:tr>
      <w:tr w:rsidR="0012433F" w:rsidRPr="005D3F76" w14:paraId="15E47733" w14:textId="77777777" w:rsidTr="0012433F">
        <w:tc>
          <w:tcPr>
            <w:tcW w:w="3600" w:type="dxa"/>
            <w:tcBorders>
              <w:top w:val="nil"/>
              <w:left w:val="nil"/>
              <w:bottom w:val="nil"/>
              <w:right w:val="nil"/>
            </w:tcBorders>
          </w:tcPr>
          <w:p w14:paraId="55A38B02"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The New York Times</w:t>
            </w:r>
          </w:p>
        </w:tc>
        <w:tc>
          <w:tcPr>
            <w:tcW w:w="5760" w:type="dxa"/>
            <w:tcBorders>
              <w:top w:val="nil"/>
              <w:left w:val="nil"/>
              <w:bottom w:val="nil"/>
              <w:right w:val="nil"/>
            </w:tcBorders>
          </w:tcPr>
          <w:p w14:paraId="7E18BBAA"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214F68D3" w14:textId="77777777" w:rsidTr="0012433F">
        <w:tc>
          <w:tcPr>
            <w:tcW w:w="3600" w:type="dxa"/>
            <w:tcBorders>
              <w:top w:val="nil"/>
              <w:left w:val="nil"/>
              <w:bottom w:val="nil"/>
              <w:right w:val="nil"/>
            </w:tcBorders>
          </w:tcPr>
          <w:p w14:paraId="78BD9E8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Collective Bargaining Rights</w:t>
            </w:r>
          </w:p>
        </w:tc>
        <w:tc>
          <w:tcPr>
            <w:tcW w:w="5760" w:type="dxa"/>
            <w:tcBorders>
              <w:top w:val="nil"/>
              <w:left w:val="nil"/>
              <w:bottom w:val="nil"/>
              <w:right w:val="nil"/>
            </w:tcBorders>
          </w:tcPr>
          <w:p w14:paraId="1D780B1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Refers to negotiations between an employer and a collection of employees where certain conditions of employment are decided upon. These are often negotiated by a union.</w:t>
            </w:r>
          </w:p>
        </w:tc>
      </w:tr>
      <w:tr w:rsidR="0012433F" w:rsidRPr="005D3F76" w14:paraId="1604089A" w14:textId="77777777" w:rsidTr="0012433F">
        <w:tc>
          <w:tcPr>
            <w:tcW w:w="3600" w:type="dxa"/>
            <w:tcBorders>
              <w:top w:val="nil"/>
              <w:left w:val="nil"/>
              <w:bottom w:val="nil"/>
              <w:right w:val="nil"/>
            </w:tcBorders>
          </w:tcPr>
          <w:p w14:paraId="7E7521D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Powerful</w:t>
            </w:r>
          </w:p>
        </w:tc>
        <w:tc>
          <w:tcPr>
            <w:tcW w:w="5760" w:type="dxa"/>
            <w:tcBorders>
              <w:top w:val="nil"/>
              <w:left w:val="nil"/>
              <w:bottom w:val="nil"/>
              <w:right w:val="nil"/>
            </w:tcBorders>
          </w:tcPr>
          <w:p w14:paraId="6EA0485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Within this newspaper there is a mixed understanding between the unions having strength and perceptibility to them being too strong and politically motivated.</w:t>
            </w:r>
          </w:p>
        </w:tc>
      </w:tr>
      <w:tr w:rsidR="0012433F" w:rsidRPr="005D3F76" w14:paraId="251B0704" w14:textId="77777777" w:rsidTr="0012433F">
        <w:tc>
          <w:tcPr>
            <w:tcW w:w="3600" w:type="dxa"/>
            <w:tcBorders>
              <w:top w:val="nil"/>
              <w:left w:val="nil"/>
              <w:bottom w:val="nil"/>
              <w:right w:val="nil"/>
            </w:tcBorders>
          </w:tcPr>
          <w:p w14:paraId="33CAAB1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Political</w:t>
            </w:r>
          </w:p>
        </w:tc>
        <w:tc>
          <w:tcPr>
            <w:tcW w:w="5760" w:type="dxa"/>
            <w:tcBorders>
              <w:top w:val="nil"/>
              <w:left w:val="nil"/>
              <w:bottom w:val="nil"/>
              <w:right w:val="nil"/>
            </w:tcBorders>
          </w:tcPr>
          <w:p w14:paraId="0111DB6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Active within the political sphere either through direct or indirect actions.</w:t>
            </w:r>
          </w:p>
        </w:tc>
      </w:tr>
      <w:tr w:rsidR="0012433F" w:rsidRPr="005D3F76" w14:paraId="6AC9BF90" w14:textId="77777777" w:rsidTr="0012433F">
        <w:tc>
          <w:tcPr>
            <w:tcW w:w="3600" w:type="dxa"/>
            <w:tcBorders>
              <w:top w:val="nil"/>
              <w:left w:val="nil"/>
              <w:bottom w:val="nil"/>
              <w:right w:val="nil"/>
            </w:tcBorders>
          </w:tcPr>
          <w:p w14:paraId="18E8DCF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Neglect</w:t>
            </w:r>
          </w:p>
        </w:tc>
        <w:tc>
          <w:tcPr>
            <w:tcW w:w="5760" w:type="dxa"/>
            <w:tcBorders>
              <w:top w:val="nil"/>
              <w:left w:val="nil"/>
              <w:bottom w:val="nil"/>
              <w:right w:val="nil"/>
            </w:tcBorders>
          </w:tcPr>
          <w:p w14:paraId="387139F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Within this newspaper, neglect refers to how the teacher unions have not properly cared for the teachers and education systems.</w:t>
            </w:r>
          </w:p>
        </w:tc>
      </w:tr>
      <w:tr w:rsidR="0012433F" w:rsidRPr="005D3F76" w14:paraId="52541544" w14:textId="77777777" w:rsidTr="0012433F">
        <w:tc>
          <w:tcPr>
            <w:tcW w:w="3600" w:type="dxa"/>
            <w:tcBorders>
              <w:top w:val="nil"/>
              <w:left w:val="nil"/>
              <w:bottom w:val="nil"/>
              <w:right w:val="nil"/>
            </w:tcBorders>
          </w:tcPr>
          <w:p w14:paraId="58C6DF0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Champions</w:t>
            </w:r>
          </w:p>
        </w:tc>
        <w:tc>
          <w:tcPr>
            <w:tcW w:w="5760" w:type="dxa"/>
            <w:tcBorders>
              <w:top w:val="nil"/>
              <w:left w:val="nil"/>
              <w:bottom w:val="nil"/>
              <w:right w:val="nil"/>
            </w:tcBorders>
          </w:tcPr>
          <w:p w14:paraId="60665EE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Refers to how teacher unions have fought or argued for causes on behalf of teachers and students.</w:t>
            </w:r>
          </w:p>
        </w:tc>
      </w:tr>
      <w:tr w:rsidR="0012433F" w:rsidRPr="005D3F76" w14:paraId="0E44064B" w14:textId="77777777" w:rsidTr="0012433F">
        <w:tc>
          <w:tcPr>
            <w:tcW w:w="3600" w:type="dxa"/>
            <w:tcBorders>
              <w:top w:val="nil"/>
              <w:left w:val="nil"/>
              <w:bottom w:val="nil"/>
              <w:right w:val="nil"/>
            </w:tcBorders>
          </w:tcPr>
          <w:p w14:paraId="7EC0BED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Battles</w:t>
            </w:r>
          </w:p>
        </w:tc>
        <w:tc>
          <w:tcPr>
            <w:tcW w:w="5760" w:type="dxa"/>
            <w:tcBorders>
              <w:top w:val="nil"/>
              <w:left w:val="nil"/>
              <w:bottom w:val="nil"/>
              <w:right w:val="nil"/>
            </w:tcBorders>
          </w:tcPr>
          <w:p w14:paraId="436763C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fight between the governor and the Republican legislators, and the public sector unions.</w:t>
            </w:r>
          </w:p>
          <w:p w14:paraId="706C93CD" w14:textId="77777777" w:rsidR="0012433F" w:rsidRPr="005D3F76" w:rsidRDefault="0012433F" w:rsidP="0012433F">
            <w:pPr>
              <w:pStyle w:val="EndnoteText"/>
              <w:spacing w:after="120" w:line="276" w:lineRule="auto"/>
              <w:rPr>
                <w:rFonts w:cs="Times New Roman"/>
                <w:sz w:val="24"/>
                <w:szCs w:val="24"/>
              </w:rPr>
            </w:pPr>
          </w:p>
          <w:p w14:paraId="106F01A2" w14:textId="77777777" w:rsidR="0012433F" w:rsidRPr="005D3F76" w:rsidRDefault="0012433F" w:rsidP="0012433F">
            <w:pPr>
              <w:pStyle w:val="EndnoteText"/>
              <w:spacing w:after="120" w:line="276" w:lineRule="auto"/>
              <w:rPr>
                <w:rFonts w:cs="Times New Roman"/>
                <w:sz w:val="24"/>
                <w:szCs w:val="24"/>
              </w:rPr>
            </w:pPr>
          </w:p>
          <w:p w14:paraId="0D9E5588"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4928356B" w14:textId="77777777" w:rsidTr="0012433F">
        <w:tc>
          <w:tcPr>
            <w:tcW w:w="3600" w:type="dxa"/>
            <w:tcBorders>
              <w:top w:val="nil"/>
              <w:left w:val="nil"/>
              <w:bottom w:val="nil"/>
              <w:right w:val="nil"/>
            </w:tcBorders>
          </w:tcPr>
          <w:p w14:paraId="62B23473"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lastRenderedPageBreak/>
              <w:t>Wisconsin State Journal</w:t>
            </w:r>
          </w:p>
        </w:tc>
        <w:tc>
          <w:tcPr>
            <w:tcW w:w="5760" w:type="dxa"/>
            <w:tcBorders>
              <w:top w:val="nil"/>
              <w:left w:val="nil"/>
              <w:bottom w:val="nil"/>
              <w:right w:val="nil"/>
            </w:tcBorders>
          </w:tcPr>
          <w:p w14:paraId="69930B5F"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69680D24" w14:textId="77777777" w:rsidTr="0012433F">
        <w:tc>
          <w:tcPr>
            <w:tcW w:w="3600" w:type="dxa"/>
            <w:tcBorders>
              <w:top w:val="nil"/>
              <w:left w:val="nil"/>
              <w:bottom w:val="nil"/>
              <w:right w:val="nil"/>
            </w:tcBorders>
          </w:tcPr>
          <w:p w14:paraId="2696380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Collective Bargaining Rights</w:t>
            </w:r>
          </w:p>
        </w:tc>
        <w:tc>
          <w:tcPr>
            <w:tcW w:w="5760" w:type="dxa"/>
            <w:tcBorders>
              <w:top w:val="nil"/>
              <w:left w:val="nil"/>
              <w:bottom w:val="nil"/>
              <w:right w:val="nil"/>
            </w:tcBorders>
          </w:tcPr>
          <w:p w14:paraId="6BEFCBB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Refers to negotiations between an employer and a collection of employees where certain conditions of employment are decided upon. These are often negotiated by a union.</w:t>
            </w:r>
          </w:p>
        </w:tc>
      </w:tr>
      <w:tr w:rsidR="0012433F" w:rsidRPr="005D3F76" w14:paraId="78898024" w14:textId="77777777" w:rsidTr="0012433F">
        <w:tc>
          <w:tcPr>
            <w:tcW w:w="3600" w:type="dxa"/>
            <w:tcBorders>
              <w:top w:val="nil"/>
              <w:left w:val="nil"/>
              <w:bottom w:val="nil"/>
              <w:right w:val="nil"/>
            </w:tcBorders>
          </w:tcPr>
          <w:p w14:paraId="57CD051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Recertification</w:t>
            </w:r>
          </w:p>
        </w:tc>
        <w:tc>
          <w:tcPr>
            <w:tcW w:w="5760" w:type="dxa"/>
            <w:tcBorders>
              <w:top w:val="nil"/>
              <w:left w:val="nil"/>
              <w:bottom w:val="nil"/>
              <w:right w:val="nil"/>
            </w:tcBorders>
          </w:tcPr>
          <w:p w14:paraId="6F49AD4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conjunction with ACT 10 law, teacher unions are required to vote every year to determine whether or not they should remain open for members. Every unit must participate, and every one must have at least 75% of their members vote, if they do not, the recertification fails and by law that particular branch must close permanently.</w:t>
            </w:r>
          </w:p>
        </w:tc>
      </w:tr>
      <w:tr w:rsidR="0012433F" w:rsidRPr="005D3F76" w14:paraId="0D7F56DD" w14:textId="77777777" w:rsidTr="0012433F">
        <w:tc>
          <w:tcPr>
            <w:tcW w:w="3600" w:type="dxa"/>
            <w:tcBorders>
              <w:top w:val="nil"/>
              <w:left w:val="nil"/>
              <w:bottom w:val="nil"/>
              <w:right w:val="nil"/>
            </w:tcBorders>
          </w:tcPr>
          <w:p w14:paraId="4E05CEF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Reforms</w:t>
            </w:r>
          </w:p>
        </w:tc>
        <w:tc>
          <w:tcPr>
            <w:tcW w:w="5760" w:type="dxa"/>
            <w:tcBorders>
              <w:top w:val="nil"/>
              <w:left w:val="nil"/>
              <w:bottom w:val="nil"/>
              <w:right w:val="nil"/>
            </w:tcBorders>
          </w:tcPr>
          <w:p w14:paraId="4FE1337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 xml:space="preserve">To make changes in something. In the </w:t>
            </w:r>
            <w:r w:rsidRPr="005D3F76">
              <w:rPr>
                <w:rFonts w:cs="Times New Roman"/>
                <w:i/>
                <w:sz w:val="24"/>
                <w:szCs w:val="24"/>
              </w:rPr>
              <w:t>WSJ</w:t>
            </w:r>
            <w:r w:rsidRPr="005D3F76">
              <w:rPr>
                <w:rFonts w:cs="Times New Roman"/>
                <w:sz w:val="24"/>
                <w:szCs w:val="24"/>
              </w:rPr>
              <w:t>, reforms refer to the need for teacher unions to have significant changes made internally and how they handle new circumstances within education.</w:t>
            </w:r>
          </w:p>
        </w:tc>
      </w:tr>
      <w:tr w:rsidR="0012433F" w:rsidRPr="005D3F76" w14:paraId="4BB90DE9" w14:textId="77777777" w:rsidTr="0012433F">
        <w:tc>
          <w:tcPr>
            <w:tcW w:w="3600" w:type="dxa"/>
            <w:tcBorders>
              <w:top w:val="nil"/>
              <w:left w:val="nil"/>
              <w:bottom w:val="nil"/>
              <w:right w:val="nil"/>
            </w:tcBorders>
          </w:tcPr>
          <w:p w14:paraId="6934037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Pay Standards</w:t>
            </w:r>
          </w:p>
        </w:tc>
        <w:tc>
          <w:tcPr>
            <w:tcW w:w="5760" w:type="dxa"/>
            <w:tcBorders>
              <w:top w:val="nil"/>
              <w:left w:val="nil"/>
              <w:bottom w:val="nil"/>
              <w:right w:val="nil"/>
            </w:tcBorders>
          </w:tcPr>
          <w:p w14:paraId="0B7612B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Certain level of pay consummate with the position and duties being done within a field.</w:t>
            </w:r>
          </w:p>
        </w:tc>
      </w:tr>
      <w:tr w:rsidR="0012433F" w:rsidRPr="005D3F76" w14:paraId="5628E3E0" w14:textId="77777777" w:rsidTr="0012433F">
        <w:tc>
          <w:tcPr>
            <w:tcW w:w="3600" w:type="dxa"/>
            <w:tcBorders>
              <w:top w:val="nil"/>
              <w:left w:val="nil"/>
              <w:bottom w:val="nil"/>
              <w:right w:val="nil"/>
            </w:tcBorders>
          </w:tcPr>
          <w:p w14:paraId="1557812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WEAC</w:t>
            </w:r>
          </w:p>
        </w:tc>
        <w:tc>
          <w:tcPr>
            <w:tcW w:w="5760" w:type="dxa"/>
            <w:tcBorders>
              <w:top w:val="nil"/>
              <w:left w:val="nil"/>
              <w:bottom w:val="nil"/>
              <w:right w:val="nil"/>
            </w:tcBorders>
          </w:tcPr>
          <w:p w14:paraId="5902A96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Acronym for the Wisconsin Education Association Council. They are one of the largest unions within the state of Wisconsin and represent many teachers throughout the state.</w:t>
            </w:r>
          </w:p>
        </w:tc>
      </w:tr>
      <w:tr w:rsidR="0012433F" w:rsidRPr="005D3F76" w14:paraId="015CFF39" w14:textId="77777777" w:rsidTr="0012433F">
        <w:tc>
          <w:tcPr>
            <w:tcW w:w="3600" w:type="dxa"/>
            <w:tcBorders>
              <w:top w:val="nil"/>
              <w:left w:val="nil"/>
              <w:bottom w:val="nil"/>
              <w:right w:val="nil"/>
            </w:tcBorders>
          </w:tcPr>
          <w:p w14:paraId="79BAE8F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Protests</w:t>
            </w:r>
          </w:p>
        </w:tc>
        <w:tc>
          <w:tcPr>
            <w:tcW w:w="5760" w:type="dxa"/>
            <w:tcBorders>
              <w:top w:val="nil"/>
              <w:left w:val="nil"/>
              <w:bottom w:val="nil"/>
              <w:right w:val="nil"/>
            </w:tcBorders>
          </w:tcPr>
          <w:p w14:paraId="1287DE0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Teacher unions (WEAC) in objection to ACT 10 demonstrated within Madison, Wisconsin.</w:t>
            </w:r>
          </w:p>
        </w:tc>
      </w:tr>
      <w:tr w:rsidR="0012433F" w:rsidRPr="005D3F76" w14:paraId="79D556F7" w14:textId="77777777" w:rsidTr="0012433F">
        <w:tc>
          <w:tcPr>
            <w:tcW w:w="3600" w:type="dxa"/>
            <w:tcBorders>
              <w:top w:val="nil"/>
              <w:left w:val="nil"/>
              <w:bottom w:val="nil"/>
              <w:right w:val="nil"/>
            </w:tcBorders>
          </w:tcPr>
          <w:p w14:paraId="67B7D0E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Transparency</w:t>
            </w:r>
          </w:p>
        </w:tc>
        <w:tc>
          <w:tcPr>
            <w:tcW w:w="5760" w:type="dxa"/>
            <w:tcBorders>
              <w:top w:val="nil"/>
              <w:left w:val="nil"/>
              <w:bottom w:val="nil"/>
              <w:right w:val="nil"/>
            </w:tcBorders>
          </w:tcPr>
          <w:p w14:paraId="11D6D5D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this newspaper, this refers to the ability to see all that the teachers and teacher unions are doing.</w:t>
            </w:r>
          </w:p>
        </w:tc>
      </w:tr>
      <w:tr w:rsidR="0012433F" w:rsidRPr="005D3F76" w14:paraId="02D529D9" w14:textId="77777777" w:rsidTr="0012433F">
        <w:tc>
          <w:tcPr>
            <w:tcW w:w="3600" w:type="dxa"/>
            <w:tcBorders>
              <w:top w:val="nil"/>
              <w:left w:val="nil"/>
              <w:bottom w:val="nil"/>
              <w:right w:val="nil"/>
            </w:tcBorders>
          </w:tcPr>
          <w:p w14:paraId="087629B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Employee Handbook</w:t>
            </w:r>
          </w:p>
        </w:tc>
        <w:tc>
          <w:tcPr>
            <w:tcW w:w="5760" w:type="dxa"/>
            <w:tcBorders>
              <w:top w:val="nil"/>
              <w:left w:val="nil"/>
              <w:bottom w:val="nil"/>
              <w:right w:val="nil"/>
            </w:tcBorders>
          </w:tcPr>
          <w:p w14:paraId="382BC94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New book that details rules and regulations for teachers. Put into law with ACT 10 and written with the help of the teacher unions in individual areas.</w:t>
            </w:r>
          </w:p>
        </w:tc>
      </w:tr>
      <w:tr w:rsidR="0012433F" w:rsidRPr="005D3F76" w14:paraId="31AE2F7D" w14:textId="77777777" w:rsidTr="0012433F">
        <w:tc>
          <w:tcPr>
            <w:tcW w:w="3600" w:type="dxa"/>
            <w:tcBorders>
              <w:top w:val="nil"/>
              <w:left w:val="nil"/>
              <w:bottom w:val="nil"/>
              <w:right w:val="nil"/>
            </w:tcBorders>
          </w:tcPr>
          <w:p w14:paraId="46B30BC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Falling Revenue</w:t>
            </w:r>
          </w:p>
        </w:tc>
        <w:tc>
          <w:tcPr>
            <w:tcW w:w="5760" w:type="dxa"/>
            <w:tcBorders>
              <w:top w:val="nil"/>
              <w:left w:val="nil"/>
              <w:bottom w:val="nil"/>
              <w:right w:val="nil"/>
            </w:tcBorders>
          </w:tcPr>
          <w:p w14:paraId="5DD78FA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money teacher unions take in every year has been steadily declining every year since the beginning of the 21</w:t>
            </w:r>
            <w:r w:rsidRPr="005D3F76">
              <w:rPr>
                <w:rFonts w:cs="Times New Roman"/>
                <w:sz w:val="24"/>
                <w:szCs w:val="24"/>
                <w:vertAlign w:val="superscript"/>
              </w:rPr>
              <w:t>st</w:t>
            </w:r>
            <w:r w:rsidRPr="005D3F76">
              <w:rPr>
                <w:rFonts w:cs="Times New Roman"/>
                <w:sz w:val="24"/>
                <w:szCs w:val="24"/>
              </w:rPr>
              <w:t xml:space="preserve"> century.</w:t>
            </w:r>
          </w:p>
        </w:tc>
      </w:tr>
      <w:tr w:rsidR="0012433F" w:rsidRPr="005D3F76" w14:paraId="1C71214A" w14:textId="77777777" w:rsidTr="0012433F">
        <w:tc>
          <w:tcPr>
            <w:tcW w:w="3600" w:type="dxa"/>
            <w:tcBorders>
              <w:top w:val="nil"/>
              <w:left w:val="nil"/>
              <w:bottom w:val="nil"/>
              <w:right w:val="nil"/>
            </w:tcBorders>
          </w:tcPr>
          <w:p w14:paraId="0260AEF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Powerful</w:t>
            </w:r>
          </w:p>
        </w:tc>
        <w:tc>
          <w:tcPr>
            <w:tcW w:w="5760" w:type="dxa"/>
            <w:tcBorders>
              <w:top w:val="nil"/>
              <w:left w:val="nil"/>
              <w:bottom w:val="nil"/>
              <w:right w:val="nil"/>
            </w:tcBorders>
          </w:tcPr>
          <w:p w14:paraId="5226254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belief that the teacher unions hold too much political and economic clout within the state of Wisconsin.</w:t>
            </w:r>
          </w:p>
        </w:tc>
      </w:tr>
      <w:tr w:rsidR="0012433F" w:rsidRPr="005D3F76" w14:paraId="5A4B3A44" w14:textId="77777777" w:rsidTr="0012433F">
        <w:tc>
          <w:tcPr>
            <w:tcW w:w="3600" w:type="dxa"/>
            <w:tcBorders>
              <w:top w:val="nil"/>
              <w:left w:val="nil"/>
              <w:bottom w:val="nil"/>
              <w:right w:val="nil"/>
            </w:tcBorders>
          </w:tcPr>
          <w:p w14:paraId="3B16CE1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Battles</w:t>
            </w:r>
          </w:p>
        </w:tc>
        <w:tc>
          <w:tcPr>
            <w:tcW w:w="5760" w:type="dxa"/>
            <w:tcBorders>
              <w:top w:val="nil"/>
              <w:left w:val="nil"/>
              <w:bottom w:val="nil"/>
              <w:right w:val="nil"/>
            </w:tcBorders>
          </w:tcPr>
          <w:p w14:paraId="74ED9A74" w14:textId="4F6215E3"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 xml:space="preserve">The sustained fight between </w:t>
            </w:r>
            <w:r w:rsidR="00E341FA" w:rsidRPr="005D3F76">
              <w:rPr>
                <w:rFonts w:cs="Times New Roman"/>
                <w:sz w:val="24"/>
                <w:szCs w:val="24"/>
              </w:rPr>
              <w:t>teacher’s</w:t>
            </w:r>
            <w:r w:rsidRPr="005D3F76">
              <w:rPr>
                <w:rFonts w:cs="Times New Roman"/>
                <w:sz w:val="24"/>
                <w:szCs w:val="24"/>
              </w:rPr>
              <w:t xml:space="preserve"> unions and the governor and Republican legislators within the state of Wisconsin.</w:t>
            </w:r>
          </w:p>
        </w:tc>
      </w:tr>
      <w:tr w:rsidR="0012433F" w:rsidRPr="005D3F76" w14:paraId="0A9C04A7" w14:textId="77777777" w:rsidTr="0012433F">
        <w:tc>
          <w:tcPr>
            <w:tcW w:w="3600" w:type="dxa"/>
            <w:tcBorders>
              <w:top w:val="nil"/>
              <w:left w:val="nil"/>
              <w:bottom w:val="nil"/>
              <w:right w:val="nil"/>
            </w:tcBorders>
          </w:tcPr>
          <w:p w14:paraId="130732B9"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lastRenderedPageBreak/>
              <w:t>Capital Times</w:t>
            </w:r>
          </w:p>
        </w:tc>
        <w:tc>
          <w:tcPr>
            <w:tcW w:w="5760" w:type="dxa"/>
            <w:tcBorders>
              <w:top w:val="nil"/>
              <w:left w:val="nil"/>
              <w:bottom w:val="nil"/>
              <w:right w:val="nil"/>
            </w:tcBorders>
          </w:tcPr>
          <w:p w14:paraId="1631ABE4"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1B9ED1FF" w14:textId="77777777" w:rsidTr="0012433F">
        <w:tc>
          <w:tcPr>
            <w:tcW w:w="3600" w:type="dxa"/>
            <w:tcBorders>
              <w:top w:val="nil"/>
              <w:left w:val="nil"/>
              <w:bottom w:val="nil"/>
              <w:right w:val="nil"/>
            </w:tcBorders>
          </w:tcPr>
          <w:p w14:paraId="1E6B1E5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Collective Bargaining Rights</w:t>
            </w:r>
          </w:p>
        </w:tc>
        <w:tc>
          <w:tcPr>
            <w:tcW w:w="5760" w:type="dxa"/>
            <w:tcBorders>
              <w:top w:val="nil"/>
              <w:left w:val="nil"/>
              <w:bottom w:val="nil"/>
              <w:right w:val="nil"/>
            </w:tcBorders>
          </w:tcPr>
          <w:p w14:paraId="0E778E6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Refers to negotiations between an employer and a collection of employees where certain conditions of employment are decided upon. These are often negotiated by a union.</w:t>
            </w:r>
          </w:p>
        </w:tc>
      </w:tr>
      <w:tr w:rsidR="0012433F" w:rsidRPr="005D3F76" w14:paraId="5255B400" w14:textId="77777777" w:rsidTr="0012433F">
        <w:tc>
          <w:tcPr>
            <w:tcW w:w="3600" w:type="dxa"/>
            <w:tcBorders>
              <w:top w:val="nil"/>
              <w:left w:val="nil"/>
              <w:bottom w:val="nil"/>
              <w:right w:val="nil"/>
            </w:tcBorders>
          </w:tcPr>
          <w:p w14:paraId="36EAEF8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Recertification</w:t>
            </w:r>
          </w:p>
        </w:tc>
        <w:tc>
          <w:tcPr>
            <w:tcW w:w="5760" w:type="dxa"/>
            <w:tcBorders>
              <w:top w:val="nil"/>
              <w:left w:val="nil"/>
              <w:bottom w:val="nil"/>
              <w:right w:val="nil"/>
            </w:tcBorders>
          </w:tcPr>
          <w:p w14:paraId="6DF45B0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conjunction with ACT 10 law, teacher unions are required to vote every year to determine whether or not they should remain open for members. Every unit must participate, and every one must have at least 75% of their members vote, if they do not, the recertification fails and by law that particular branch must close permanently.</w:t>
            </w:r>
          </w:p>
        </w:tc>
      </w:tr>
      <w:tr w:rsidR="0012433F" w:rsidRPr="005D3F76" w14:paraId="5DF4043E" w14:textId="77777777" w:rsidTr="0012433F">
        <w:tc>
          <w:tcPr>
            <w:tcW w:w="3600" w:type="dxa"/>
            <w:tcBorders>
              <w:top w:val="nil"/>
              <w:left w:val="nil"/>
              <w:bottom w:val="nil"/>
              <w:right w:val="nil"/>
            </w:tcBorders>
          </w:tcPr>
          <w:p w14:paraId="3CE7395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Part-time unionization</w:t>
            </w:r>
          </w:p>
        </w:tc>
        <w:tc>
          <w:tcPr>
            <w:tcW w:w="5760" w:type="dxa"/>
            <w:tcBorders>
              <w:top w:val="nil"/>
              <w:left w:val="nil"/>
              <w:bottom w:val="nil"/>
              <w:right w:val="nil"/>
            </w:tcBorders>
          </w:tcPr>
          <w:p w14:paraId="0D8FBA8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Unions that have mostly members that do not work full-time within their given profession.</w:t>
            </w:r>
          </w:p>
        </w:tc>
      </w:tr>
      <w:tr w:rsidR="0012433F" w:rsidRPr="005D3F76" w14:paraId="38046ABD" w14:textId="77777777" w:rsidTr="0012433F">
        <w:tc>
          <w:tcPr>
            <w:tcW w:w="3600" w:type="dxa"/>
            <w:tcBorders>
              <w:top w:val="nil"/>
              <w:left w:val="nil"/>
              <w:bottom w:val="nil"/>
              <w:right w:val="nil"/>
            </w:tcBorders>
          </w:tcPr>
          <w:p w14:paraId="75539CA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Critical</w:t>
            </w:r>
          </w:p>
        </w:tc>
        <w:tc>
          <w:tcPr>
            <w:tcW w:w="5760" w:type="dxa"/>
            <w:tcBorders>
              <w:top w:val="nil"/>
              <w:left w:val="nil"/>
              <w:bottom w:val="nil"/>
              <w:right w:val="nil"/>
            </w:tcBorders>
          </w:tcPr>
          <w:p w14:paraId="23ACD21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Analysis of teacher unions and the work they have and continue to do.</w:t>
            </w:r>
          </w:p>
        </w:tc>
      </w:tr>
      <w:tr w:rsidR="0012433F" w:rsidRPr="005D3F76" w14:paraId="2DEB84F9" w14:textId="77777777" w:rsidTr="0012433F">
        <w:tc>
          <w:tcPr>
            <w:tcW w:w="3600" w:type="dxa"/>
            <w:tcBorders>
              <w:top w:val="nil"/>
              <w:left w:val="nil"/>
              <w:bottom w:val="nil"/>
              <w:right w:val="nil"/>
            </w:tcBorders>
          </w:tcPr>
          <w:p w14:paraId="1C7F98D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Traditional</w:t>
            </w:r>
          </w:p>
        </w:tc>
        <w:tc>
          <w:tcPr>
            <w:tcW w:w="5760" w:type="dxa"/>
            <w:tcBorders>
              <w:top w:val="nil"/>
              <w:left w:val="nil"/>
              <w:bottom w:val="nil"/>
              <w:right w:val="nil"/>
            </w:tcBorders>
          </w:tcPr>
          <w:p w14:paraId="66177B8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long established idea of teacher unions within Wisconsin.</w:t>
            </w:r>
          </w:p>
        </w:tc>
      </w:tr>
      <w:tr w:rsidR="0012433F" w:rsidRPr="005D3F76" w14:paraId="6344F98B" w14:textId="77777777" w:rsidTr="0012433F">
        <w:tc>
          <w:tcPr>
            <w:tcW w:w="3600" w:type="dxa"/>
            <w:tcBorders>
              <w:top w:val="nil"/>
              <w:left w:val="nil"/>
              <w:bottom w:val="nil"/>
              <w:right w:val="nil"/>
            </w:tcBorders>
          </w:tcPr>
          <w:p w14:paraId="3F59198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Services</w:t>
            </w:r>
          </w:p>
        </w:tc>
        <w:tc>
          <w:tcPr>
            <w:tcW w:w="5760" w:type="dxa"/>
            <w:tcBorders>
              <w:top w:val="nil"/>
              <w:left w:val="nil"/>
              <w:bottom w:val="nil"/>
              <w:right w:val="nil"/>
            </w:tcBorders>
          </w:tcPr>
          <w:p w14:paraId="5834238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work that the teacher unions do for the teachers themselves, such as, law suit protection, collective bargaining, and contract negotiations, etc.</w:t>
            </w:r>
          </w:p>
        </w:tc>
      </w:tr>
      <w:tr w:rsidR="0012433F" w:rsidRPr="005D3F76" w14:paraId="3F34175A" w14:textId="77777777" w:rsidTr="0012433F">
        <w:tc>
          <w:tcPr>
            <w:tcW w:w="3600" w:type="dxa"/>
            <w:tcBorders>
              <w:top w:val="nil"/>
              <w:left w:val="nil"/>
              <w:bottom w:val="nil"/>
              <w:right w:val="nil"/>
            </w:tcBorders>
          </w:tcPr>
          <w:p w14:paraId="6826261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Stakeholders</w:t>
            </w:r>
          </w:p>
        </w:tc>
        <w:tc>
          <w:tcPr>
            <w:tcW w:w="5760" w:type="dxa"/>
            <w:tcBorders>
              <w:top w:val="nil"/>
              <w:left w:val="nil"/>
              <w:bottom w:val="nil"/>
              <w:right w:val="nil"/>
            </w:tcBorders>
          </w:tcPr>
          <w:p w14:paraId="1A90C72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Someone that has an interest or concern with a particular domain.</w:t>
            </w:r>
          </w:p>
        </w:tc>
      </w:tr>
      <w:tr w:rsidR="0012433F" w:rsidRPr="005D3F76" w14:paraId="1BD97F2A" w14:textId="77777777" w:rsidTr="0012433F">
        <w:tc>
          <w:tcPr>
            <w:tcW w:w="3600" w:type="dxa"/>
            <w:tcBorders>
              <w:top w:val="nil"/>
              <w:left w:val="nil"/>
              <w:bottom w:val="nil"/>
              <w:right w:val="nil"/>
            </w:tcBorders>
          </w:tcPr>
          <w:p w14:paraId="4C70B3C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Negotiations</w:t>
            </w:r>
          </w:p>
        </w:tc>
        <w:tc>
          <w:tcPr>
            <w:tcW w:w="5760" w:type="dxa"/>
            <w:tcBorders>
              <w:top w:val="nil"/>
              <w:left w:val="nil"/>
              <w:bottom w:val="nil"/>
              <w:right w:val="nil"/>
            </w:tcBorders>
          </w:tcPr>
          <w:p w14:paraId="1AADE29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conversation in an attempt of reaching an agreement. In this paper, they are referring to how the governor and the legislators were not trying to do any negotiations or discussion with protesters, teachers, or the various public sector unions during 2011-2012.</w:t>
            </w:r>
          </w:p>
        </w:tc>
      </w:tr>
      <w:tr w:rsidR="0012433F" w:rsidRPr="005D3F76" w14:paraId="542AC408" w14:textId="77777777" w:rsidTr="0012433F">
        <w:tc>
          <w:tcPr>
            <w:tcW w:w="3600" w:type="dxa"/>
            <w:tcBorders>
              <w:top w:val="nil"/>
              <w:left w:val="nil"/>
              <w:bottom w:val="nil"/>
              <w:right w:val="nil"/>
            </w:tcBorders>
          </w:tcPr>
          <w:p w14:paraId="01F0215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Protests/Sit-ins</w:t>
            </w:r>
          </w:p>
        </w:tc>
        <w:tc>
          <w:tcPr>
            <w:tcW w:w="5760" w:type="dxa"/>
            <w:tcBorders>
              <w:top w:val="nil"/>
              <w:left w:val="nil"/>
              <w:bottom w:val="nil"/>
              <w:right w:val="nil"/>
            </w:tcBorders>
          </w:tcPr>
          <w:p w14:paraId="743C9B9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Demonstrations against a particular set of actions. In this paper, this is in reference to Madison, Wisconsin and ACT 10 legislation.</w:t>
            </w:r>
          </w:p>
        </w:tc>
      </w:tr>
      <w:tr w:rsidR="0012433F" w:rsidRPr="005D3F76" w14:paraId="6DF157D7" w14:textId="77777777" w:rsidTr="0012433F">
        <w:tc>
          <w:tcPr>
            <w:tcW w:w="3600" w:type="dxa"/>
            <w:tcBorders>
              <w:top w:val="nil"/>
              <w:left w:val="nil"/>
              <w:bottom w:val="nil"/>
              <w:right w:val="nil"/>
            </w:tcBorders>
          </w:tcPr>
          <w:p w14:paraId="07AF4A57" w14:textId="77777777" w:rsidR="0012433F" w:rsidRPr="005D3F76" w:rsidRDefault="0012433F" w:rsidP="0012433F">
            <w:pPr>
              <w:pStyle w:val="EndnoteText"/>
              <w:spacing w:before="360" w:after="240" w:line="276" w:lineRule="auto"/>
              <w:rPr>
                <w:rFonts w:cs="Times New Roman"/>
                <w:b/>
                <w:sz w:val="24"/>
                <w:szCs w:val="24"/>
              </w:rPr>
            </w:pPr>
            <w:r w:rsidRPr="005D3F76">
              <w:rPr>
                <w:rFonts w:cs="Times New Roman"/>
                <w:sz w:val="24"/>
                <w:szCs w:val="24"/>
              </w:rPr>
              <w:t xml:space="preserve">THEME: </w:t>
            </w:r>
            <w:r w:rsidRPr="005D3F76">
              <w:rPr>
                <w:rFonts w:cs="Times New Roman"/>
                <w:b/>
                <w:sz w:val="24"/>
                <w:szCs w:val="24"/>
              </w:rPr>
              <w:t>Government</w:t>
            </w:r>
          </w:p>
        </w:tc>
        <w:tc>
          <w:tcPr>
            <w:tcW w:w="5760" w:type="dxa"/>
            <w:tcBorders>
              <w:top w:val="nil"/>
              <w:left w:val="nil"/>
              <w:bottom w:val="nil"/>
              <w:right w:val="nil"/>
            </w:tcBorders>
          </w:tcPr>
          <w:p w14:paraId="6AC3A081" w14:textId="77777777" w:rsidR="0012433F" w:rsidRPr="005D3F76" w:rsidRDefault="0012433F" w:rsidP="0012433F">
            <w:pPr>
              <w:pStyle w:val="EndnoteText"/>
              <w:spacing w:before="360" w:after="240" w:line="276" w:lineRule="auto"/>
              <w:rPr>
                <w:rFonts w:cs="Times New Roman"/>
                <w:sz w:val="24"/>
                <w:szCs w:val="24"/>
              </w:rPr>
            </w:pPr>
          </w:p>
        </w:tc>
      </w:tr>
      <w:tr w:rsidR="0012433F" w:rsidRPr="005D3F76" w14:paraId="621A9DDA" w14:textId="77777777" w:rsidTr="0012433F">
        <w:tc>
          <w:tcPr>
            <w:tcW w:w="3600" w:type="dxa"/>
            <w:tcBorders>
              <w:top w:val="nil"/>
              <w:left w:val="nil"/>
              <w:bottom w:val="nil"/>
              <w:right w:val="nil"/>
            </w:tcBorders>
          </w:tcPr>
          <w:p w14:paraId="5EC3D148"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The New York Times</w:t>
            </w:r>
          </w:p>
        </w:tc>
        <w:tc>
          <w:tcPr>
            <w:tcW w:w="5760" w:type="dxa"/>
            <w:tcBorders>
              <w:top w:val="nil"/>
              <w:left w:val="nil"/>
              <w:bottom w:val="nil"/>
              <w:right w:val="nil"/>
            </w:tcBorders>
          </w:tcPr>
          <w:p w14:paraId="1940B2DE"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73BD8AAA" w14:textId="77777777" w:rsidTr="0012433F">
        <w:tc>
          <w:tcPr>
            <w:tcW w:w="3600" w:type="dxa"/>
            <w:tcBorders>
              <w:top w:val="nil"/>
              <w:left w:val="nil"/>
              <w:bottom w:val="nil"/>
              <w:right w:val="nil"/>
            </w:tcBorders>
          </w:tcPr>
          <w:p w14:paraId="32269EA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Scott Walker</w:t>
            </w:r>
          </w:p>
        </w:tc>
        <w:tc>
          <w:tcPr>
            <w:tcW w:w="5760" w:type="dxa"/>
            <w:tcBorders>
              <w:top w:val="nil"/>
              <w:left w:val="nil"/>
              <w:bottom w:val="nil"/>
              <w:right w:val="nil"/>
            </w:tcBorders>
          </w:tcPr>
          <w:p w14:paraId="0EA1E43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Wisconsin governor from 2010 till present.</w:t>
            </w:r>
          </w:p>
        </w:tc>
      </w:tr>
      <w:tr w:rsidR="0012433F" w:rsidRPr="005D3F76" w14:paraId="372DD44F" w14:textId="77777777" w:rsidTr="0012433F">
        <w:tc>
          <w:tcPr>
            <w:tcW w:w="3600" w:type="dxa"/>
            <w:tcBorders>
              <w:top w:val="nil"/>
              <w:left w:val="nil"/>
              <w:bottom w:val="nil"/>
              <w:right w:val="nil"/>
            </w:tcBorders>
          </w:tcPr>
          <w:p w14:paraId="497D96C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Chris Christie</w:t>
            </w:r>
          </w:p>
        </w:tc>
        <w:tc>
          <w:tcPr>
            <w:tcW w:w="5760" w:type="dxa"/>
            <w:tcBorders>
              <w:top w:val="nil"/>
              <w:left w:val="nil"/>
              <w:bottom w:val="nil"/>
              <w:right w:val="nil"/>
            </w:tcBorders>
          </w:tcPr>
          <w:p w14:paraId="720EA71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New Jersey governor from 2010 till present.</w:t>
            </w:r>
          </w:p>
        </w:tc>
      </w:tr>
      <w:tr w:rsidR="0012433F" w:rsidRPr="005D3F76" w14:paraId="02A079E0" w14:textId="77777777" w:rsidTr="0012433F">
        <w:tc>
          <w:tcPr>
            <w:tcW w:w="3600" w:type="dxa"/>
            <w:tcBorders>
              <w:top w:val="nil"/>
              <w:left w:val="nil"/>
              <w:bottom w:val="nil"/>
              <w:right w:val="nil"/>
            </w:tcBorders>
          </w:tcPr>
          <w:p w14:paraId="7436AD5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Democratic Legislators</w:t>
            </w:r>
          </w:p>
        </w:tc>
        <w:tc>
          <w:tcPr>
            <w:tcW w:w="5760" w:type="dxa"/>
            <w:tcBorders>
              <w:top w:val="nil"/>
              <w:left w:val="nil"/>
              <w:bottom w:val="nil"/>
              <w:right w:val="nil"/>
            </w:tcBorders>
          </w:tcPr>
          <w:p w14:paraId="70A4F03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Those legislators in the Democratic Party.</w:t>
            </w:r>
          </w:p>
        </w:tc>
      </w:tr>
      <w:tr w:rsidR="0012433F" w:rsidRPr="005D3F76" w14:paraId="2EE87B0B" w14:textId="77777777" w:rsidTr="0012433F">
        <w:tc>
          <w:tcPr>
            <w:tcW w:w="3600" w:type="dxa"/>
            <w:tcBorders>
              <w:top w:val="nil"/>
              <w:left w:val="nil"/>
              <w:bottom w:val="nil"/>
              <w:right w:val="nil"/>
            </w:tcBorders>
          </w:tcPr>
          <w:p w14:paraId="61703EA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Republican Legislators</w:t>
            </w:r>
          </w:p>
        </w:tc>
        <w:tc>
          <w:tcPr>
            <w:tcW w:w="5760" w:type="dxa"/>
            <w:tcBorders>
              <w:top w:val="nil"/>
              <w:left w:val="nil"/>
              <w:bottom w:val="nil"/>
              <w:right w:val="nil"/>
            </w:tcBorders>
          </w:tcPr>
          <w:p w14:paraId="2A20299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Those legislators in the Republican Party.</w:t>
            </w:r>
          </w:p>
        </w:tc>
      </w:tr>
      <w:tr w:rsidR="0012433F" w:rsidRPr="005D3F76" w14:paraId="36FE8416" w14:textId="77777777" w:rsidTr="0012433F">
        <w:tc>
          <w:tcPr>
            <w:tcW w:w="3600" w:type="dxa"/>
            <w:tcBorders>
              <w:top w:val="nil"/>
              <w:left w:val="nil"/>
              <w:bottom w:val="nil"/>
              <w:right w:val="nil"/>
            </w:tcBorders>
          </w:tcPr>
          <w:p w14:paraId="27C5322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Budget</w:t>
            </w:r>
          </w:p>
        </w:tc>
        <w:tc>
          <w:tcPr>
            <w:tcW w:w="5760" w:type="dxa"/>
            <w:tcBorders>
              <w:top w:val="nil"/>
              <w:left w:val="nil"/>
              <w:bottom w:val="nil"/>
              <w:right w:val="nil"/>
            </w:tcBorders>
          </w:tcPr>
          <w:p w14:paraId="532113B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plan for spending and income for a particular state. Within this newspaper, the budget referred to two facets: the budget shortfalls within Wisconsin and the lack of education budget for the corresponding year justified by the articles date.</w:t>
            </w:r>
          </w:p>
        </w:tc>
      </w:tr>
      <w:tr w:rsidR="0012433F" w:rsidRPr="005D3F76" w14:paraId="1A54F902" w14:textId="77777777" w:rsidTr="0012433F">
        <w:tc>
          <w:tcPr>
            <w:tcW w:w="3600" w:type="dxa"/>
            <w:tcBorders>
              <w:top w:val="nil"/>
              <w:left w:val="nil"/>
              <w:bottom w:val="nil"/>
              <w:right w:val="nil"/>
            </w:tcBorders>
          </w:tcPr>
          <w:p w14:paraId="5D1E1EB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Reform</w:t>
            </w:r>
          </w:p>
        </w:tc>
        <w:tc>
          <w:tcPr>
            <w:tcW w:w="5760" w:type="dxa"/>
            <w:tcBorders>
              <w:top w:val="nil"/>
              <w:left w:val="nil"/>
              <w:bottom w:val="nil"/>
              <w:right w:val="nil"/>
            </w:tcBorders>
          </w:tcPr>
          <w:p w14:paraId="678CA9A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 xml:space="preserve">To make changes in something. In this context, </w:t>
            </w:r>
            <w:r w:rsidRPr="005D3F76">
              <w:rPr>
                <w:rFonts w:cs="Times New Roman"/>
                <w:i/>
                <w:sz w:val="24"/>
                <w:szCs w:val="24"/>
              </w:rPr>
              <w:t>The Times</w:t>
            </w:r>
            <w:r w:rsidRPr="005D3F76">
              <w:rPr>
                <w:rFonts w:cs="Times New Roman"/>
                <w:sz w:val="24"/>
                <w:szCs w:val="24"/>
              </w:rPr>
              <w:t xml:space="preserve"> is referring to educational reforms in a broader sense outside teacher unions control.</w:t>
            </w:r>
          </w:p>
        </w:tc>
      </w:tr>
      <w:tr w:rsidR="0012433F" w:rsidRPr="005D3F76" w14:paraId="32EF481E" w14:textId="77777777" w:rsidTr="0012433F">
        <w:tc>
          <w:tcPr>
            <w:tcW w:w="3600" w:type="dxa"/>
            <w:tcBorders>
              <w:top w:val="nil"/>
              <w:left w:val="nil"/>
              <w:bottom w:val="nil"/>
              <w:right w:val="nil"/>
            </w:tcBorders>
          </w:tcPr>
          <w:p w14:paraId="48E181F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Race to the Top</w:t>
            </w:r>
          </w:p>
        </w:tc>
        <w:tc>
          <w:tcPr>
            <w:tcW w:w="5760" w:type="dxa"/>
            <w:tcBorders>
              <w:top w:val="nil"/>
              <w:left w:val="nil"/>
              <w:bottom w:val="nil"/>
              <w:right w:val="nil"/>
            </w:tcBorders>
          </w:tcPr>
          <w:p w14:paraId="0E42C79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grant program set up by the U.S. Department of Education to give incentive to K-12 schools based on innovation and improvement within their systems.</w:t>
            </w:r>
          </w:p>
        </w:tc>
      </w:tr>
      <w:tr w:rsidR="0012433F" w:rsidRPr="005D3F76" w14:paraId="5968143D" w14:textId="77777777" w:rsidTr="0012433F">
        <w:tc>
          <w:tcPr>
            <w:tcW w:w="3600" w:type="dxa"/>
            <w:tcBorders>
              <w:top w:val="nil"/>
              <w:left w:val="nil"/>
              <w:bottom w:val="nil"/>
              <w:right w:val="nil"/>
            </w:tcBorders>
          </w:tcPr>
          <w:p w14:paraId="20AE681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Military</w:t>
            </w:r>
          </w:p>
        </w:tc>
        <w:tc>
          <w:tcPr>
            <w:tcW w:w="5760" w:type="dxa"/>
            <w:tcBorders>
              <w:top w:val="nil"/>
              <w:left w:val="nil"/>
              <w:bottom w:val="nil"/>
              <w:right w:val="nil"/>
            </w:tcBorders>
          </w:tcPr>
          <w:p w14:paraId="5DDBEEE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There are two references here. One, the real military was called into Madison, Wisconsin to assist with protestors; and two, the use of excessive force in how the governor is exercising his ability to make changes to the laws in the state.</w:t>
            </w:r>
          </w:p>
        </w:tc>
      </w:tr>
      <w:tr w:rsidR="0012433F" w:rsidRPr="005D3F76" w14:paraId="377DF3C2" w14:textId="77777777" w:rsidTr="0012433F">
        <w:tc>
          <w:tcPr>
            <w:tcW w:w="3600" w:type="dxa"/>
            <w:tcBorders>
              <w:top w:val="nil"/>
              <w:left w:val="nil"/>
              <w:bottom w:val="nil"/>
              <w:right w:val="nil"/>
            </w:tcBorders>
          </w:tcPr>
          <w:p w14:paraId="08DD549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Declaration of War</w:t>
            </w:r>
          </w:p>
        </w:tc>
        <w:tc>
          <w:tcPr>
            <w:tcW w:w="5760" w:type="dxa"/>
            <w:tcBorders>
              <w:top w:val="nil"/>
              <w:left w:val="nil"/>
              <w:bottom w:val="nil"/>
              <w:right w:val="nil"/>
            </w:tcBorders>
          </w:tcPr>
          <w:p w14:paraId="2E02AB9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sentiment that perceives violence between the government of Wisconsin and the public sector unions.</w:t>
            </w:r>
          </w:p>
        </w:tc>
      </w:tr>
      <w:tr w:rsidR="0012433F" w:rsidRPr="005D3F76" w14:paraId="0DBADFE1" w14:textId="77777777" w:rsidTr="0012433F">
        <w:tc>
          <w:tcPr>
            <w:tcW w:w="3600" w:type="dxa"/>
            <w:tcBorders>
              <w:top w:val="nil"/>
              <w:left w:val="nil"/>
              <w:bottom w:val="nil"/>
              <w:right w:val="nil"/>
            </w:tcBorders>
          </w:tcPr>
          <w:p w14:paraId="75FD37E2"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Wisconsin State Journal</w:t>
            </w:r>
          </w:p>
        </w:tc>
        <w:tc>
          <w:tcPr>
            <w:tcW w:w="5760" w:type="dxa"/>
            <w:tcBorders>
              <w:top w:val="nil"/>
              <w:left w:val="nil"/>
              <w:bottom w:val="nil"/>
              <w:right w:val="nil"/>
            </w:tcBorders>
          </w:tcPr>
          <w:p w14:paraId="0E55D436"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402C347D" w14:textId="77777777" w:rsidTr="0012433F">
        <w:tc>
          <w:tcPr>
            <w:tcW w:w="3600" w:type="dxa"/>
            <w:tcBorders>
              <w:top w:val="nil"/>
              <w:left w:val="nil"/>
              <w:bottom w:val="nil"/>
              <w:right w:val="nil"/>
            </w:tcBorders>
          </w:tcPr>
          <w:p w14:paraId="552B806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Scott Walker</w:t>
            </w:r>
          </w:p>
        </w:tc>
        <w:tc>
          <w:tcPr>
            <w:tcW w:w="5760" w:type="dxa"/>
            <w:tcBorders>
              <w:top w:val="nil"/>
              <w:left w:val="nil"/>
              <w:bottom w:val="nil"/>
              <w:right w:val="nil"/>
            </w:tcBorders>
          </w:tcPr>
          <w:p w14:paraId="00EA863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Wisconsin governor from 2010 till present. In reference to ACT legislation and right to work laws.</w:t>
            </w:r>
          </w:p>
        </w:tc>
      </w:tr>
      <w:tr w:rsidR="0012433F" w:rsidRPr="005D3F76" w14:paraId="36ACB07A" w14:textId="77777777" w:rsidTr="0012433F">
        <w:tc>
          <w:tcPr>
            <w:tcW w:w="3600" w:type="dxa"/>
            <w:tcBorders>
              <w:top w:val="nil"/>
              <w:left w:val="nil"/>
              <w:bottom w:val="nil"/>
              <w:right w:val="nil"/>
            </w:tcBorders>
          </w:tcPr>
          <w:p w14:paraId="7AE67BF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Race to the Top</w:t>
            </w:r>
          </w:p>
        </w:tc>
        <w:tc>
          <w:tcPr>
            <w:tcW w:w="5760" w:type="dxa"/>
            <w:tcBorders>
              <w:top w:val="nil"/>
              <w:left w:val="nil"/>
              <w:bottom w:val="nil"/>
              <w:right w:val="nil"/>
            </w:tcBorders>
          </w:tcPr>
          <w:p w14:paraId="772DE4B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grant program set up by the U.S. Department of Education to give incentive to K-12 schools based on innovation and improvement within their systems.</w:t>
            </w:r>
          </w:p>
        </w:tc>
      </w:tr>
      <w:tr w:rsidR="0012433F" w:rsidRPr="005D3F76" w14:paraId="255A0F70" w14:textId="77777777" w:rsidTr="0012433F">
        <w:tc>
          <w:tcPr>
            <w:tcW w:w="3600" w:type="dxa"/>
            <w:tcBorders>
              <w:top w:val="nil"/>
              <w:left w:val="nil"/>
              <w:bottom w:val="nil"/>
              <w:right w:val="nil"/>
            </w:tcBorders>
          </w:tcPr>
          <w:p w14:paraId="19FB0A5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Budget</w:t>
            </w:r>
          </w:p>
        </w:tc>
        <w:tc>
          <w:tcPr>
            <w:tcW w:w="5760" w:type="dxa"/>
            <w:tcBorders>
              <w:top w:val="nil"/>
              <w:left w:val="nil"/>
              <w:bottom w:val="nil"/>
              <w:right w:val="nil"/>
            </w:tcBorders>
          </w:tcPr>
          <w:p w14:paraId="4EC98E0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plan for spending and income for a particular state. In this newspaper, referral to the budget was about the budget shortfall within the state of Wisconsin.</w:t>
            </w:r>
          </w:p>
        </w:tc>
      </w:tr>
      <w:tr w:rsidR="0012433F" w:rsidRPr="005D3F76" w14:paraId="2374B2B2" w14:textId="77777777" w:rsidTr="0012433F">
        <w:tc>
          <w:tcPr>
            <w:tcW w:w="3600" w:type="dxa"/>
            <w:tcBorders>
              <w:top w:val="nil"/>
              <w:left w:val="nil"/>
              <w:bottom w:val="nil"/>
              <w:right w:val="nil"/>
            </w:tcBorders>
          </w:tcPr>
          <w:p w14:paraId="0B0F095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Democratic Legislators</w:t>
            </w:r>
          </w:p>
        </w:tc>
        <w:tc>
          <w:tcPr>
            <w:tcW w:w="5760" w:type="dxa"/>
            <w:tcBorders>
              <w:top w:val="nil"/>
              <w:left w:val="nil"/>
              <w:bottom w:val="nil"/>
              <w:right w:val="nil"/>
            </w:tcBorders>
          </w:tcPr>
          <w:p w14:paraId="5AE522C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Those legislators in the Democratic Party.</w:t>
            </w:r>
          </w:p>
        </w:tc>
      </w:tr>
      <w:tr w:rsidR="0012433F" w:rsidRPr="005D3F76" w14:paraId="7DC76D3B" w14:textId="77777777" w:rsidTr="0012433F">
        <w:tc>
          <w:tcPr>
            <w:tcW w:w="3600" w:type="dxa"/>
            <w:tcBorders>
              <w:top w:val="nil"/>
              <w:left w:val="nil"/>
              <w:bottom w:val="nil"/>
              <w:right w:val="nil"/>
            </w:tcBorders>
          </w:tcPr>
          <w:p w14:paraId="4EF80E2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Republican Legislators</w:t>
            </w:r>
          </w:p>
        </w:tc>
        <w:tc>
          <w:tcPr>
            <w:tcW w:w="5760" w:type="dxa"/>
            <w:tcBorders>
              <w:top w:val="nil"/>
              <w:left w:val="nil"/>
              <w:bottom w:val="nil"/>
              <w:right w:val="nil"/>
            </w:tcBorders>
          </w:tcPr>
          <w:p w14:paraId="1D4511C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Those legislators in the Republican Party.</w:t>
            </w:r>
          </w:p>
        </w:tc>
      </w:tr>
      <w:tr w:rsidR="0012433F" w:rsidRPr="005D3F76" w14:paraId="6E7FA505" w14:textId="77777777" w:rsidTr="0012433F">
        <w:tc>
          <w:tcPr>
            <w:tcW w:w="3600" w:type="dxa"/>
            <w:tcBorders>
              <w:top w:val="nil"/>
              <w:left w:val="nil"/>
              <w:bottom w:val="nil"/>
              <w:right w:val="nil"/>
            </w:tcBorders>
          </w:tcPr>
          <w:p w14:paraId="66B6794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Union-busting</w:t>
            </w:r>
          </w:p>
        </w:tc>
        <w:tc>
          <w:tcPr>
            <w:tcW w:w="5760" w:type="dxa"/>
            <w:tcBorders>
              <w:top w:val="nil"/>
              <w:left w:val="nil"/>
              <w:bottom w:val="nil"/>
              <w:right w:val="nil"/>
            </w:tcBorders>
          </w:tcPr>
          <w:p w14:paraId="0156802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term that refers to activities that disrupt or prevent unions from doing business either through law making or other means.</w:t>
            </w:r>
          </w:p>
        </w:tc>
      </w:tr>
      <w:tr w:rsidR="0012433F" w:rsidRPr="005D3F76" w14:paraId="75B338D6" w14:textId="77777777" w:rsidTr="0012433F">
        <w:tc>
          <w:tcPr>
            <w:tcW w:w="3600" w:type="dxa"/>
            <w:tcBorders>
              <w:top w:val="nil"/>
              <w:left w:val="nil"/>
              <w:bottom w:val="nil"/>
              <w:right w:val="nil"/>
            </w:tcBorders>
          </w:tcPr>
          <w:p w14:paraId="31EAA1E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Reform</w:t>
            </w:r>
          </w:p>
        </w:tc>
        <w:tc>
          <w:tcPr>
            <w:tcW w:w="5760" w:type="dxa"/>
            <w:tcBorders>
              <w:top w:val="nil"/>
              <w:left w:val="nil"/>
              <w:bottom w:val="nil"/>
              <w:right w:val="nil"/>
            </w:tcBorders>
          </w:tcPr>
          <w:p w14:paraId="1151443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 xml:space="preserve">To make changes in something. Specifically, in this context the </w:t>
            </w:r>
            <w:r w:rsidRPr="005D3F76">
              <w:rPr>
                <w:rFonts w:cs="Times New Roman"/>
                <w:i/>
                <w:sz w:val="24"/>
                <w:szCs w:val="24"/>
              </w:rPr>
              <w:t>WSJ</w:t>
            </w:r>
            <w:r w:rsidRPr="005D3F76">
              <w:rPr>
                <w:rFonts w:cs="Times New Roman"/>
                <w:sz w:val="24"/>
                <w:szCs w:val="24"/>
              </w:rPr>
              <w:t xml:space="preserve"> is calling for changes in how public sector unions are handled within Wisconsin.</w:t>
            </w:r>
          </w:p>
        </w:tc>
      </w:tr>
      <w:tr w:rsidR="0012433F" w:rsidRPr="005D3F76" w14:paraId="66BBFDAC" w14:textId="77777777" w:rsidTr="0012433F">
        <w:tc>
          <w:tcPr>
            <w:tcW w:w="3600" w:type="dxa"/>
            <w:tcBorders>
              <w:top w:val="nil"/>
              <w:left w:val="nil"/>
              <w:bottom w:val="nil"/>
              <w:right w:val="nil"/>
            </w:tcBorders>
          </w:tcPr>
          <w:p w14:paraId="77986CC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Conservative Lobbyists</w:t>
            </w:r>
          </w:p>
        </w:tc>
        <w:tc>
          <w:tcPr>
            <w:tcW w:w="5760" w:type="dxa"/>
            <w:tcBorders>
              <w:top w:val="nil"/>
              <w:left w:val="nil"/>
              <w:bottom w:val="nil"/>
              <w:right w:val="nil"/>
            </w:tcBorders>
          </w:tcPr>
          <w:p w14:paraId="2D9275B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Individuals who try and persuade legislators to vote certain ways on certain interests to them. This group is mostly comprised of individuals who adhere to Republican side within politics.</w:t>
            </w:r>
          </w:p>
        </w:tc>
      </w:tr>
      <w:tr w:rsidR="0012433F" w:rsidRPr="005D3F76" w14:paraId="40DAD80F" w14:textId="77777777" w:rsidTr="0012433F">
        <w:tc>
          <w:tcPr>
            <w:tcW w:w="3600" w:type="dxa"/>
            <w:tcBorders>
              <w:top w:val="nil"/>
              <w:left w:val="nil"/>
              <w:bottom w:val="nil"/>
              <w:right w:val="nil"/>
            </w:tcBorders>
          </w:tcPr>
          <w:p w14:paraId="54FF8EC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Public Policy Debates</w:t>
            </w:r>
          </w:p>
        </w:tc>
        <w:tc>
          <w:tcPr>
            <w:tcW w:w="5760" w:type="dxa"/>
            <w:tcBorders>
              <w:top w:val="nil"/>
              <w:left w:val="nil"/>
              <w:bottom w:val="nil"/>
              <w:right w:val="nil"/>
            </w:tcBorders>
          </w:tcPr>
          <w:p w14:paraId="6B15DD6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Extensive discussions surrounding what policies should be allowed and what ones should not.</w:t>
            </w:r>
          </w:p>
        </w:tc>
      </w:tr>
      <w:tr w:rsidR="0012433F" w:rsidRPr="005D3F76" w14:paraId="21E6F2CC" w14:textId="77777777" w:rsidTr="0012433F">
        <w:tc>
          <w:tcPr>
            <w:tcW w:w="3600" w:type="dxa"/>
            <w:tcBorders>
              <w:top w:val="nil"/>
              <w:left w:val="nil"/>
              <w:bottom w:val="nil"/>
              <w:right w:val="nil"/>
            </w:tcBorders>
          </w:tcPr>
          <w:p w14:paraId="269FA12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Supreme Court</w:t>
            </w:r>
          </w:p>
        </w:tc>
        <w:tc>
          <w:tcPr>
            <w:tcW w:w="5760" w:type="dxa"/>
            <w:tcBorders>
              <w:top w:val="nil"/>
              <w:left w:val="nil"/>
              <w:bottom w:val="nil"/>
              <w:right w:val="nil"/>
            </w:tcBorders>
          </w:tcPr>
          <w:p w14:paraId="54F6FA2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Highest court in the country. Decides constitutionality of laws within the U.S.</w:t>
            </w:r>
          </w:p>
        </w:tc>
      </w:tr>
      <w:tr w:rsidR="0012433F" w:rsidRPr="005D3F76" w14:paraId="4CC336AD" w14:textId="77777777" w:rsidTr="0012433F">
        <w:tc>
          <w:tcPr>
            <w:tcW w:w="3600" w:type="dxa"/>
            <w:tcBorders>
              <w:top w:val="nil"/>
              <w:left w:val="nil"/>
              <w:bottom w:val="nil"/>
              <w:right w:val="nil"/>
            </w:tcBorders>
          </w:tcPr>
          <w:p w14:paraId="33FD4D08"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Capital Times</w:t>
            </w:r>
          </w:p>
        </w:tc>
        <w:tc>
          <w:tcPr>
            <w:tcW w:w="5760" w:type="dxa"/>
            <w:tcBorders>
              <w:top w:val="nil"/>
              <w:left w:val="nil"/>
              <w:bottom w:val="nil"/>
              <w:right w:val="nil"/>
            </w:tcBorders>
          </w:tcPr>
          <w:p w14:paraId="17810C57"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00A3E11B" w14:textId="77777777" w:rsidTr="0012433F">
        <w:tc>
          <w:tcPr>
            <w:tcW w:w="3600" w:type="dxa"/>
            <w:tcBorders>
              <w:top w:val="nil"/>
              <w:left w:val="nil"/>
              <w:bottom w:val="nil"/>
              <w:right w:val="nil"/>
            </w:tcBorders>
          </w:tcPr>
          <w:p w14:paraId="7815793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Scott Walker</w:t>
            </w:r>
          </w:p>
        </w:tc>
        <w:tc>
          <w:tcPr>
            <w:tcW w:w="5760" w:type="dxa"/>
            <w:tcBorders>
              <w:top w:val="nil"/>
              <w:left w:val="nil"/>
              <w:bottom w:val="nil"/>
              <w:right w:val="nil"/>
            </w:tcBorders>
          </w:tcPr>
          <w:p w14:paraId="6AD8222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Wisconsin governor from 2010 till present. In reference to ACT 10 legislation.</w:t>
            </w:r>
          </w:p>
        </w:tc>
      </w:tr>
      <w:tr w:rsidR="0012433F" w:rsidRPr="005D3F76" w14:paraId="4A757DB3" w14:textId="77777777" w:rsidTr="0012433F">
        <w:tc>
          <w:tcPr>
            <w:tcW w:w="3600" w:type="dxa"/>
            <w:tcBorders>
              <w:top w:val="nil"/>
              <w:left w:val="nil"/>
              <w:bottom w:val="nil"/>
              <w:right w:val="nil"/>
            </w:tcBorders>
          </w:tcPr>
          <w:p w14:paraId="29FF8AA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Barak Obama</w:t>
            </w:r>
          </w:p>
        </w:tc>
        <w:tc>
          <w:tcPr>
            <w:tcW w:w="5760" w:type="dxa"/>
            <w:tcBorders>
              <w:top w:val="nil"/>
              <w:left w:val="nil"/>
              <w:bottom w:val="nil"/>
              <w:right w:val="nil"/>
            </w:tcBorders>
          </w:tcPr>
          <w:p w14:paraId="4B77B55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President of the U.S. from 2008 till 2016. In reference to Race to the Top and public sector unionization topics.</w:t>
            </w:r>
          </w:p>
        </w:tc>
      </w:tr>
      <w:tr w:rsidR="0012433F" w:rsidRPr="005D3F76" w14:paraId="1EDD1AB2" w14:textId="77777777" w:rsidTr="0012433F">
        <w:tc>
          <w:tcPr>
            <w:tcW w:w="3600" w:type="dxa"/>
            <w:tcBorders>
              <w:top w:val="nil"/>
              <w:left w:val="nil"/>
              <w:bottom w:val="nil"/>
              <w:right w:val="nil"/>
            </w:tcBorders>
          </w:tcPr>
          <w:p w14:paraId="1864142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Arne Duncan</w:t>
            </w:r>
          </w:p>
        </w:tc>
        <w:tc>
          <w:tcPr>
            <w:tcW w:w="5760" w:type="dxa"/>
            <w:tcBorders>
              <w:top w:val="nil"/>
              <w:left w:val="nil"/>
              <w:bottom w:val="nil"/>
              <w:right w:val="nil"/>
            </w:tcBorders>
          </w:tcPr>
          <w:p w14:paraId="52659A4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Current educational secretary to the U.S., and the one promoting some of the negative imagery of teacher unions.</w:t>
            </w:r>
          </w:p>
        </w:tc>
      </w:tr>
      <w:tr w:rsidR="0012433F" w:rsidRPr="005D3F76" w14:paraId="2BC738AE" w14:textId="77777777" w:rsidTr="0012433F">
        <w:tc>
          <w:tcPr>
            <w:tcW w:w="3600" w:type="dxa"/>
            <w:tcBorders>
              <w:top w:val="nil"/>
              <w:left w:val="nil"/>
              <w:bottom w:val="nil"/>
              <w:right w:val="nil"/>
            </w:tcBorders>
          </w:tcPr>
          <w:p w14:paraId="2355E44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Budget</w:t>
            </w:r>
          </w:p>
        </w:tc>
        <w:tc>
          <w:tcPr>
            <w:tcW w:w="5760" w:type="dxa"/>
            <w:tcBorders>
              <w:top w:val="nil"/>
              <w:left w:val="nil"/>
              <w:bottom w:val="nil"/>
              <w:right w:val="nil"/>
            </w:tcBorders>
          </w:tcPr>
          <w:p w14:paraId="3123217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plan for spending and income for a particular state. In this newspaper, the budget not only referred to the shortfall in the state of Wisconsin, but also the limiting of money to the education systems there within.</w:t>
            </w:r>
          </w:p>
        </w:tc>
      </w:tr>
      <w:tr w:rsidR="0012433F" w:rsidRPr="005D3F76" w14:paraId="03452FB2" w14:textId="77777777" w:rsidTr="0012433F">
        <w:tc>
          <w:tcPr>
            <w:tcW w:w="3600" w:type="dxa"/>
            <w:tcBorders>
              <w:top w:val="nil"/>
              <w:left w:val="nil"/>
              <w:bottom w:val="nil"/>
              <w:right w:val="nil"/>
            </w:tcBorders>
          </w:tcPr>
          <w:p w14:paraId="14D6476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Democratic Legislators</w:t>
            </w:r>
          </w:p>
        </w:tc>
        <w:tc>
          <w:tcPr>
            <w:tcW w:w="5760" w:type="dxa"/>
            <w:tcBorders>
              <w:top w:val="nil"/>
              <w:left w:val="nil"/>
              <w:bottom w:val="nil"/>
              <w:right w:val="nil"/>
            </w:tcBorders>
          </w:tcPr>
          <w:p w14:paraId="7B7CF16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Those legislators in the Democratic Party.</w:t>
            </w:r>
          </w:p>
        </w:tc>
      </w:tr>
      <w:tr w:rsidR="0012433F" w:rsidRPr="005D3F76" w14:paraId="02A79F26" w14:textId="77777777" w:rsidTr="0012433F">
        <w:tc>
          <w:tcPr>
            <w:tcW w:w="3600" w:type="dxa"/>
            <w:tcBorders>
              <w:top w:val="nil"/>
              <w:left w:val="nil"/>
              <w:bottom w:val="nil"/>
              <w:right w:val="nil"/>
            </w:tcBorders>
          </w:tcPr>
          <w:p w14:paraId="1043732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Republican Legislators</w:t>
            </w:r>
          </w:p>
        </w:tc>
        <w:tc>
          <w:tcPr>
            <w:tcW w:w="5760" w:type="dxa"/>
            <w:tcBorders>
              <w:top w:val="nil"/>
              <w:left w:val="nil"/>
              <w:bottom w:val="nil"/>
              <w:right w:val="nil"/>
            </w:tcBorders>
          </w:tcPr>
          <w:p w14:paraId="06A4FDC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Those legislators in the Republican Party.</w:t>
            </w:r>
          </w:p>
        </w:tc>
      </w:tr>
      <w:tr w:rsidR="0012433F" w:rsidRPr="005D3F76" w14:paraId="4F5842A9" w14:textId="77777777" w:rsidTr="0012433F">
        <w:tc>
          <w:tcPr>
            <w:tcW w:w="3600" w:type="dxa"/>
            <w:tcBorders>
              <w:top w:val="nil"/>
              <w:left w:val="nil"/>
              <w:bottom w:val="nil"/>
              <w:right w:val="nil"/>
            </w:tcBorders>
          </w:tcPr>
          <w:p w14:paraId="7391139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Politics</w:t>
            </w:r>
          </w:p>
        </w:tc>
        <w:tc>
          <w:tcPr>
            <w:tcW w:w="5760" w:type="dxa"/>
            <w:tcBorders>
              <w:top w:val="nil"/>
              <w:left w:val="nil"/>
              <w:bottom w:val="nil"/>
              <w:right w:val="nil"/>
            </w:tcBorders>
          </w:tcPr>
          <w:p w14:paraId="1FA9C78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Debates surrounding conflicts of individuals within various entities—Democrats, Republicans, public sector unions, etc.</w:t>
            </w:r>
          </w:p>
        </w:tc>
      </w:tr>
      <w:tr w:rsidR="0012433F" w:rsidRPr="005D3F76" w14:paraId="06D37BF0" w14:textId="77777777" w:rsidTr="0012433F">
        <w:tc>
          <w:tcPr>
            <w:tcW w:w="3600" w:type="dxa"/>
            <w:tcBorders>
              <w:top w:val="nil"/>
              <w:left w:val="nil"/>
              <w:bottom w:val="nil"/>
              <w:right w:val="nil"/>
            </w:tcBorders>
          </w:tcPr>
          <w:p w14:paraId="0802253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School Boards</w:t>
            </w:r>
          </w:p>
        </w:tc>
        <w:tc>
          <w:tcPr>
            <w:tcW w:w="5760" w:type="dxa"/>
            <w:tcBorders>
              <w:top w:val="nil"/>
              <w:left w:val="nil"/>
              <w:bottom w:val="nil"/>
              <w:right w:val="nil"/>
            </w:tcBorders>
          </w:tcPr>
          <w:p w14:paraId="555A5DF6"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local authority of individuals responsible for the maintenance of schools in a certain area.</w:t>
            </w:r>
          </w:p>
        </w:tc>
      </w:tr>
      <w:tr w:rsidR="0012433F" w:rsidRPr="005D3F76" w14:paraId="7B948C45" w14:textId="77777777" w:rsidTr="0012433F">
        <w:tc>
          <w:tcPr>
            <w:tcW w:w="3600" w:type="dxa"/>
            <w:tcBorders>
              <w:top w:val="nil"/>
              <w:left w:val="nil"/>
              <w:bottom w:val="nil"/>
              <w:right w:val="nil"/>
            </w:tcBorders>
          </w:tcPr>
          <w:p w14:paraId="7A466A4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Supreme Court</w:t>
            </w:r>
          </w:p>
        </w:tc>
        <w:tc>
          <w:tcPr>
            <w:tcW w:w="5760" w:type="dxa"/>
            <w:tcBorders>
              <w:top w:val="nil"/>
              <w:left w:val="nil"/>
              <w:bottom w:val="nil"/>
              <w:right w:val="nil"/>
            </w:tcBorders>
          </w:tcPr>
          <w:p w14:paraId="7A68C3B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Highest court in the U.S. Hears cases that pertain to the Constitutionality of the laws within the U.S.</w:t>
            </w:r>
          </w:p>
          <w:p w14:paraId="20294914" w14:textId="77777777" w:rsidR="0012433F" w:rsidRPr="005D3F76" w:rsidRDefault="0012433F" w:rsidP="0012433F">
            <w:pPr>
              <w:pStyle w:val="EndnoteText"/>
              <w:spacing w:after="120" w:line="276" w:lineRule="auto"/>
              <w:rPr>
                <w:rFonts w:cs="Times New Roman"/>
                <w:sz w:val="24"/>
                <w:szCs w:val="24"/>
              </w:rPr>
            </w:pPr>
          </w:p>
          <w:p w14:paraId="6AE55902"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21297E4E" w14:textId="77777777" w:rsidTr="0012433F">
        <w:tc>
          <w:tcPr>
            <w:tcW w:w="3600" w:type="dxa"/>
            <w:tcBorders>
              <w:top w:val="nil"/>
              <w:left w:val="nil"/>
              <w:bottom w:val="nil"/>
              <w:right w:val="nil"/>
            </w:tcBorders>
          </w:tcPr>
          <w:p w14:paraId="0CD63EA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Tax Increases</w:t>
            </w:r>
          </w:p>
        </w:tc>
        <w:tc>
          <w:tcPr>
            <w:tcW w:w="5760" w:type="dxa"/>
            <w:tcBorders>
              <w:top w:val="nil"/>
              <w:left w:val="nil"/>
              <w:bottom w:val="nil"/>
              <w:right w:val="nil"/>
            </w:tcBorders>
          </w:tcPr>
          <w:p w14:paraId="122E9C2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Raising how much individuals within a particular location pay to the government for items, such as, roads, schools, infrastructure, etc. In this newspaper, the tax increase refers to the budget shortfall and the need for extra money for activities, such as, education.</w:t>
            </w:r>
          </w:p>
        </w:tc>
      </w:tr>
      <w:tr w:rsidR="0012433F" w:rsidRPr="005D3F76" w14:paraId="6E8EA907" w14:textId="77777777" w:rsidTr="0012433F">
        <w:tc>
          <w:tcPr>
            <w:tcW w:w="3600" w:type="dxa"/>
            <w:tcBorders>
              <w:top w:val="nil"/>
              <w:left w:val="nil"/>
              <w:bottom w:val="nil"/>
              <w:right w:val="nil"/>
            </w:tcBorders>
          </w:tcPr>
          <w:p w14:paraId="4FDF2CA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Spending Issues</w:t>
            </w:r>
          </w:p>
        </w:tc>
        <w:tc>
          <w:tcPr>
            <w:tcW w:w="5760" w:type="dxa"/>
            <w:tcBorders>
              <w:top w:val="nil"/>
              <w:left w:val="nil"/>
              <w:bottom w:val="nil"/>
              <w:right w:val="nil"/>
            </w:tcBorders>
          </w:tcPr>
          <w:p w14:paraId="3FC11D52" w14:textId="55496E9C"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 xml:space="preserve">In this newspaper, this refers to what the state spends on certain entities within education, i.e. </w:t>
            </w:r>
            <w:r w:rsidR="00E341FA" w:rsidRPr="005D3F76">
              <w:rPr>
                <w:rFonts w:cs="Times New Roman"/>
                <w:sz w:val="24"/>
                <w:szCs w:val="24"/>
              </w:rPr>
              <w:t>teachers’</w:t>
            </w:r>
            <w:r w:rsidRPr="005D3F76">
              <w:rPr>
                <w:rFonts w:cs="Times New Roman"/>
                <w:sz w:val="24"/>
                <w:szCs w:val="24"/>
              </w:rPr>
              <w:t xml:space="preserve"> aides, paper, etc., and how some members have trouble justifying these expenses.</w:t>
            </w:r>
          </w:p>
        </w:tc>
      </w:tr>
      <w:tr w:rsidR="0012433F" w:rsidRPr="005D3F76" w14:paraId="2C3E18D4" w14:textId="77777777" w:rsidTr="0012433F">
        <w:tc>
          <w:tcPr>
            <w:tcW w:w="3600" w:type="dxa"/>
            <w:tcBorders>
              <w:top w:val="nil"/>
              <w:left w:val="nil"/>
              <w:bottom w:val="nil"/>
              <w:right w:val="nil"/>
            </w:tcBorders>
          </w:tcPr>
          <w:p w14:paraId="71F7745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Military</w:t>
            </w:r>
          </w:p>
        </w:tc>
        <w:tc>
          <w:tcPr>
            <w:tcW w:w="5760" w:type="dxa"/>
            <w:tcBorders>
              <w:top w:val="nil"/>
              <w:left w:val="nil"/>
              <w:bottom w:val="nil"/>
              <w:right w:val="nil"/>
            </w:tcBorders>
          </w:tcPr>
          <w:p w14:paraId="3D3819A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There are two references here. One, the real military was called into Madison, Wisconsin to assist with protestors; and two, the use of excessive force in how the governor is exercising his ability to make changes to the laws in the state.</w:t>
            </w:r>
          </w:p>
        </w:tc>
      </w:tr>
      <w:tr w:rsidR="0012433F" w:rsidRPr="005D3F76" w14:paraId="5C53AB7E" w14:textId="77777777" w:rsidTr="0012433F">
        <w:tc>
          <w:tcPr>
            <w:tcW w:w="3600" w:type="dxa"/>
            <w:tcBorders>
              <w:top w:val="nil"/>
              <w:left w:val="nil"/>
              <w:bottom w:val="nil"/>
              <w:right w:val="nil"/>
            </w:tcBorders>
          </w:tcPr>
          <w:p w14:paraId="654B571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Battles</w:t>
            </w:r>
          </w:p>
        </w:tc>
        <w:tc>
          <w:tcPr>
            <w:tcW w:w="5760" w:type="dxa"/>
            <w:tcBorders>
              <w:top w:val="nil"/>
              <w:left w:val="nil"/>
              <w:bottom w:val="nil"/>
              <w:right w:val="nil"/>
            </w:tcBorders>
          </w:tcPr>
          <w:p w14:paraId="165880D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This is in reference to how the teacher unions, teachers, and others like the Democratic party are fighting the new legislation.</w:t>
            </w:r>
          </w:p>
        </w:tc>
      </w:tr>
      <w:tr w:rsidR="0012433F" w:rsidRPr="005D3F76" w14:paraId="74F0FA78" w14:textId="77777777" w:rsidTr="0012433F">
        <w:tc>
          <w:tcPr>
            <w:tcW w:w="3600" w:type="dxa"/>
            <w:tcBorders>
              <w:top w:val="nil"/>
              <w:left w:val="nil"/>
              <w:bottom w:val="nil"/>
              <w:right w:val="nil"/>
            </w:tcBorders>
          </w:tcPr>
          <w:p w14:paraId="10E6F67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Strategy</w:t>
            </w:r>
          </w:p>
        </w:tc>
        <w:tc>
          <w:tcPr>
            <w:tcW w:w="5760" w:type="dxa"/>
            <w:tcBorders>
              <w:top w:val="nil"/>
              <w:left w:val="nil"/>
              <w:bottom w:val="nil"/>
              <w:right w:val="nil"/>
            </w:tcBorders>
          </w:tcPr>
          <w:p w14:paraId="078ADA9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policy designed to achieve a major change within Wisconsin. This is in reference to both ACT 10 and the right to work laws.</w:t>
            </w:r>
          </w:p>
        </w:tc>
      </w:tr>
      <w:tr w:rsidR="0012433F" w:rsidRPr="005D3F76" w14:paraId="33EEDD8D" w14:textId="77777777" w:rsidTr="0012433F">
        <w:tc>
          <w:tcPr>
            <w:tcW w:w="3600" w:type="dxa"/>
            <w:tcBorders>
              <w:top w:val="nil"/>
              <w:left w:val="nil"/>
              <w:bottom w:val="nil"/>
              <w:right w:val="nil"/>
            </w:tcBorders>
          </w:tcPr>
          <w:p w14:paraId="5BC5B418" w14:textId="77777777" w:rsidR="0012433F" w:rsidRPr="005D3F76" w:rsidRDefault="0012433F" w:rsidP="0012433F">
            <w:pPr>
              <w:pStyle w:val="EndnoteText"/>
              <w:spacing w:before="360" w:after="240" w:line="276" w:lineRule="auto"/>
              <w:rPr>
                <w:rFonts w:cs="Times New Roman"/>
                <w:b/>
                <w:sz w:val="24"/>
                <w:szCs w:val="24"/>
              </w:rPr>
            </w:pPr>
            <w:r w:rsidRPr="005D3F76">
              <w:rPr>
                <w:rFonts w:cs="Times New Roman"/>
                <w:sz w:val="24"/>
                <w:szCs w:val="24"/>
              </w:rPr>
              <w:t xml:space="preserve">THEME: </w:t>
            </w:r>
            <w:r w:rsidRPr="005D3F76">
              <w:rPr>
                <w:rFonts w:cs="Times New Roman"/>
                <w:b/>
                <w:sz w:val="24"/>
                <w:szCs w:val="24"/>
              </w:rPr>
              <w:t>Law Involvement</w:t>
            </w:r>
          </w:p>
        </w:tc>
        <w:tc>
          <w:tcPr>
            <w:tcW w:w="5760" w:type="dxa"/>
            <w:tcBorders>
              <w:top w:val="nil"/>
              <w:left w:val="nil"/>
              <w:bottom w:val="nil"/>
              <w:right w:val="nil"/>
            </w:tcBorders>
          </w:tcPr>
          <w:p w14:paraId="4A9AE924" w14:textId="77777777" w:rsidR="0012433F" w:rsidRPr="005D3F76" w:rsidRDefault="0012433F" w:rsidP="0012433F">
            <w:pPr>
              <w:pStyle w:val="EndnoteText"/>
              <w:spacing w:before="360" w:after="240" w:line="276" w:lineRule="auto"/>
              <w:rPr>
                <w:rFonts w:cs="Times New Roman"/>
                <w:sz w:val="24"/>
                <w:szCs w:val="24"/>
              </w:rPr>
            </w:pPr>
          </w:p>
        </w:tc>
      </w:tr>
      <w:tr w:rsidR="0012433F" w:rsidRPr="005D3F76" w14:paraId="4241A5F4" w14:textId="77777777" w:rsidTr="0012433F">
        <w:tc>
          <w:tcPr>
            <w:tcW w:w="3600" w:type="dxa"/>
            <w:tcBorders>
              <w:top w:val="nil"/>
              <w:left w:val="nil"/>
              <w:bottom w:val="nil"/>
              <w:right w:val="nil"/>
            </w:tcBorders>
          </w:tcPr>
          <w:p w14:paraId="6DB62B08"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The New York Times</w:t>
            </w:r>
          </w:p>
        </w:tc>
        <w:tc>
          <w:tcPr>
            <w:tcW w:w="5760" w:type="dxa"/>
            <w:tcBorders>
              <w:top w:val="nil"/>
              <w:left w:val="nil"/>
              <w:bottom w:val="nil"/>
              <w:right w:val="nil"/>
            </w:tcBorders>
          </w:tcPr>
          <w:p w14:paraId="009DD6AF"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2841396E" w14:textId="77777777" w:rsidTr="0012433F">
        <w:tc>
          <w:tcPr>
            <w:tcW w:w="3600" w:type="dxa"/>
            <w:tcBorders>
              <w:top w:val="nil"/>
              <w:left w:val="nil"/>
              <w:bottom w:val="nil"/>
              <w:right w:val="nil"/>
            </w:tcBorders>
          </w:tcPr>
          <w:p w14:paraId="6B886C3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Challenges</w:t>
            </w:r>
          </w:p>
        </w:tc>
        <w:tc>
          <w:tcPr>
            <w:tcW w:w="5760" w:type="dxa"/>
            <w:tcBorders>
              <w:top w:val="nil"/>
              <w:left w:val="nil"/>
              <w:bottom w:val="nil"/>
              <w:right w:val="nil"/>
            </w:tcBorders>
          </w:tcPr>
          <w:p w14:paraId="6BAB5DF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Law suits and objections to the Constitutionality to ACT 10 in the state of Wisconsin.</w:t>
            </w:r>
          </w:p>
        </w:tc>
      </w:tr>
      <w:tr w:rsidR="0012433F" w:rsidRPr="005D3F76" w14:paraId="727503C3" w14:textId="77777777" w:rsidTr="0012433F">
        <w:tc>
          <w:tcPr>
            <w:tcW w:w="3600" w:type="dxa"/>
            <w:tcBorders>
              <w:top w:val="nil"/>
              <w:left w:val="nil"/>
              <w:bottom w:val="nil"/>
              <w:right w:val="nil"/>
            </w:tcBorders>
          </w:tcPr>
          <w:p w14:paraId="6945034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ACT 10</w:t>
            </w:r>
          </w:p>
        </w:tc>
        <w:tc>
          <w:tcPr>
            <w:tcW w:w="5760" w:type="dxa"/>
            <w:tcBorders>
              <w:top w:val="nil"/>
              <w:left w:val="nil"/>
              <w:bottom w:val="nil"/>
              <w:right w:val="nil"/>
            </w:tcBorders>
          </w:tcPr>
          <w:p w14:paraId="179CB91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Wisconsin law enacted by Governor Scott Walker that essentially strips public sector unions of much of their bargaining rights within the state.</w:t>
            </w:r>
          </w:p>
        </w:tc>
      </w:tr>
      <w:tr w:rsidR="0012433F" w:rsidRPr="005D3F76" w14:paraId="22995E26" w14:textId="77777777" w:rsidTr="0012433F">
        <w:tc>
          <w:tcPr>
            <w:tcW w:w="3600" w:type="dxa"/>
            <w:tcBorders>
              <w:top w:val="nil"/>
              <w:left w:val="nil"/>
              <w:bottom w:val="nil"/>
              <w:right w:val="nil"/>
            </w:tcBorders>
          </w:tcPr>
          <w:p w14:paraId="0E1E455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Right to Work</w:t>
            </w:r>
          </w:p>
        </w:tc>
        <w:tc>
          <w:tcPr>
            <w:tcW w:w="5760" w:type="dxa"/>
            <w:tcBorders>
              <w:top w:val="nil"/>
              <w:left w:val="nil"/>
              <w:bottom w:val="nil"/>
              <w:right w:val="nil"/>
            </w:tcBorders>
          </w:tcPr>
          <w:p w14:paraId="3A567A2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absence of all unrelated topics this term means that workers have the right not to join a labor union. In this paper, this was used to exemplify the way many state legislatures are favoring the right to work laws.</w:t>
            </w:r>
          </w:p>
        </w:tc>
      </w:tr>
      <w:tr w:rsidR="0012433F" w:rsidRPr="005D3F76" w14:paraId="46F1733B" w14:textId="77777777" w:rsidTr="0012433F">
        <w:tc>
          <w:tcPr>
            <w:tcW w:w="3600" w:type="dxa"/>
            <w:tcBorders>
              <w:top w:val="nil"/>
              <w:left w:val="nil"/>
              <w:bottom w:val="nil"/>
              <w:right w:val="nil"/>
            </w:tcBorders>
          </w:tcPr>
          <w:p w14:paraId="70BD96D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Constitutionality</w:t>
            </w:r>
          </w:p>
        </w:tc>
        <w:tc>
          <w:tcPr>
            <w:tcW w:w="5760" w:type="dxa"/>
            <w:tcBorders>
              <w:top w:val="nil"/>
              <w:left w:val="nil"/>
              <w:bottom w:val="nil"/>
              <w:right w:val="nil"/>
            </w:tcBorders>
          </w:tcPr>
          <w:p w14:paraId="344FC6E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Determination of what is Constitutional and what is not. This is in reference to ACT 10 legislation.</w:t>
            </w:r>
          </w:p>
          <w:p w14:paraId="738EC390"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52F08DD8" w14:textId="77777777" w:rsidTr="0012433F">
        <w:tc>
          <w:tcPr>
            <w:tcW w:w="3600" w:type="dxa"/>
            <w:tcBorders>
              <w:top w:val="nil"/>
              <w:left w:val="nil"/>
              <w:bottom w:val="nil"/>
              <w:right w:val="nil"/>
            </w:tcBorders>
          </w:tcPr>
          <w:p w14:paraId="37DE8B7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New Deal</w:t>
            </w:r>
          </w:p>
        </w:tc>
        <w:tc>
          <w:tcPr>
            <w:tcW w:w="5760" w:type="dxa"/>
            <w:tcBorders>
              <w:top w:val="nil"/>
              <w:left w:val="nil"/>
              <w:bottom w:val="nil"/>
              <w:right w:val="nil"/>
            </w:tcBorders>
          </w:tcPr>
          <w:p w14:paraId="6F98C5F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This reference harkens to the New Deal that was established by President Franklin D. Roosevelt in the 1930’s where social and economic programs were put into place to help society. This was used in the sense within this newspaper to refer to how the teacher unions are essentially being silenced with ACT 10 being put into law by the governor and the Republican legislators.</w:t>
            </w:r>
          </w:p>
        </w:tc>
      </w:tr>
      <w:tr w:rsidR="0012433F" w:rsidRPr="005D3F76" w14:paraId="50C207C0" w14:textId="77777777" w:rsidTr="0012433F">
        <w:tc>
          <w:tcPr>
            <w:tcW w:w="3600" w:type="dxa"/>
            <w:tcBorders>
              <w:top w:val="nil"/>
              <w:left w:val="nil"/>
              <w:bottom w:val="nil"/>
              <w:right w:val="nil"/>
            </w:tcBorders>
          </w:tcPr>
          <w:p w14:paraId="717E78F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Victory</w:t>
            </w:r>
          </w:p>
        </w:tc>
        <w:tc>
          <w:tcPr>
            <w:tcW w:w="5760" w:type="dxa"/>
            <w:tcBorders>
              <w:top w:val="nil"/>
              <w:left w:val="nil"/>
              <w:bottom w:val="nil"/>
              <w:right w:val="nil"/>
            </w:tcBorders>
          </w:tcPr>
          <w:p w14:paraId="1BF2E82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passing of ACT 10 in the state of Wisconsin.</w:t>
            </w:r>
          </w:p>
        </w:tc>
      </w:tr>
      <w:tr w:rsidR="0012433F" w:rsidRPr="005D3F76" w14:paraId="36118799" w14:textId="77777777" w:rsidTr="0012433F">
        <w:tc>
          <w:tcPr>
            <w:tcW w:w="3600" w:type="dxa"/>
            <w:tcBorders>
              <w:top w:val="nil"/>
              <w:left w:val="nil"/>
              <w:bottom w:val="nil"/>
              <w:right w:val="nil"/>
            </w:tcBorders>
          </w:tcPr>
          <w:p w14:paraId="3EB01ED3"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Wisconsin State Journal</w:t>
            </w:r>
          </w:p>
        </w:tc>
        <w:tc>
          <w:tcPr>
            <w:tcW w:w="5760" w:type="dxa"/>
            <w:tcBorders>
              <w:top w:val="nil"/>
              <w:left w:val="nil"/>
              <w:bottom w:val="nil"/>
              <w:right w:val="nil"/>
            </w:tcBorders>
          </w:tcPr>
          <w:p w14:paraId="059B68D6"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28A53E7D" w14:textId="77777777" w:rsidTr="0012433F">
        <w:tc>
          <w:tcPr>
            <w:tcW w:w="3600" w:type="dxa"/>
            <w:tcBorders>
              <w:top w:val="nil"/>
              <w:left w:val="nil"/>
              <w:bottom w:val="nil"/>
              <w:right w:val="nil"/>
            </w:tcBorders>
          </w:tcPr>
          <w:p w14:paraId="598BD8B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ACT 10</w:t>
            </w:r>
          </w:p>
        </w:tc>
        <w:tc>
          <w:tcPr>
            <w:tcW w:w="5760" w:type="dxa"/>
            <w:tcBorders>
              <w:top w:val="nil"/>
              <w:left w:val="nil"/>
              <w:bottom w:val="nil"/>
              <w:right w:val="nil"/>
            </w:tcBorders>
          </w:tcPr>
          <w:p w14:paraId="6505C00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Wisconsin law enacted by Governor Scott Walker that essentially strips public sector unions of much of their bargaining rights within the state.</w:t>
            </w:r>
          </w:p>
        </w:tc>
      </w:tr>
      <w:tr w:rsidR="0012433F" w:rsidRPr="005D3F76" w14:paraId="254B0722" w14:textId="77777777" w:rsidTr="0012433F">
        <w:tc>
          <w:tcPr>
            <w:tcW w:w="3600" w:type="dxa"/>
            <w:tcBorders>
              <w:top w:val="nil"/>
              <w:left w:val="nil"/>
              <w:bottom w:val="nil"/>
              <w:right w:val="nil"/>
            </w:tcBorders>
          </w:tcPr>
          <w:p w14:paraId="665B08B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No Child Left Behind</w:t>
            </w:r>
          </w:p>
        </w:tc>
        <w:tc>
          <w:tcPr>
            <w:tcW w:w="5760" w:type="dxa"/>
            <w:tcBorders>
              <w:top w:val="nil"/>
              <w:left w:val="nil"/>
              <w:bottom w:val="nil"/>
              <w:right w:val="nil"/>
            </w:tcBorders>
          </w:tcPr>
          <w:p w14:paraId="4D6B37D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reauthorization of the Elementary and Secondary Education Act. This newspaper used this as a means to show how teachers have been coming under stricter standards for many years.</w:t>
            </w:r>
          </w:p>
        </w:tc>
      </w:tr>
      <w:tr w:rsidR="0012433F" w:rsidRPr="005D3F76" w14:paraId="728CA15C" w14:textId="77777777" w:rsidTr="0012433F">
        <w:tc>
          <w:tcPr>
            <w:tcW w:w="3600" w:type="dxa"/>
            <w:tcBorders>
              <w:top w:val="nil"/>
              <w:left w:val="nil"/>
              <w:bottom w:val="nil"/>
              <w:right w:val="nil"/>
            </w:tcBorders>
          </w:tcPr>
          <w:p w14:paraId="4A5D61C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State Standards</w:t>
            </w:r>
          </w:p>
        </w:tc>
        <w:tc>
          <w:tcPr>
            <w:tcW w:w="5760" w:type="dxa"/>
            <w:tcBorders>
              <w:top w:val="nil"/>
              <w:left w:val="nil"/>
              <w:bottom w:val="nil"/>
              <w:right w:val="nil"/>
            </w:tcBorders>
          </w:tcPr>
          <w:p w14:paraId="7B7C81C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set of guidelines that have been provided by the State to public sector workers. The handbooks are one step concerning state standards.</w:t>
            </w:r>
          </w:p>
        </w:tc>
      </w:tr>
      <w:tr w:rsidR="0012433F" w:rsidRPr="005D3F76" w14:paraId="523C795F" w14:textId="77777777" w:rsidTr="0012433F">
        <w:tc>
          <w:tcPr>
            <w:tcW w:w="3600" w:type="dxa"/>
            <w:tcBorders>
              <w:top w:val="nil"/>
              <w:left w:val="nil"/>
              <w:bottom w:val="nil"/>
              <w:right w:val="nil"/>
            </w:tcBorders>
          </w:tcPr>
          <w:p w14:paraId="18174B6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Constitutionality</w:t>
            </w:r>
          </w:p>
        </w:tc>
        <w:tc>
          <w:tcPr>
            <w:tcW w:w="5760" w:type="dxa"/>
            <w:tcBorders>
              <w:top w:val="nil"/>
              <w:left w:val="nil"/>
              <w:bottom w:val="nil"/>
              <w:right w:val="nil"/>
            </w:tcBorders>
          </w:tcPr>
          <w:p w14:paraId="50B5319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Determination of what is Constitutional and what is not. This is in reference to ACT 10 legislation.</w:t>
            </w:r>
          </w:p>
        </w:tc>
      </w:tr>
      <w:tr w:rsidR="0012433F" w:rsidRPr="005D3F76" w14:paraId="03B76884" w14:textId="77777777" w:rsidTr="0012433F">
        <w:tc>
          <w:tcPr>
            <w:tcW w:w="3600" w:type="dxa"/>
            <w:tcBorders>
              <w:top w:val="nil"/>
              <w:left w:val="nil"/>
              <w:bottom w:val="nil"/>
              <w:right w:val="nil"/>
            </w:tcBorders>
          </w:tcPr>
          <w:p w14:paraId="7509139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Employee Handbook</w:t>
            </w:r>
          </w:p>
        </w:tc>
        <w:tc>
          <w:tcPr>
            <w:tcW w:w="5760" w:type="dxa"/>
            <w:tcBorders>
              <w:top w:val="nil"/>
              <w:left w:val="nil"/>
              <w:bottom w:val="nil"/>
              <w:right w:val="nil"/>
            </w:tcBorders>
          </w:tcPr>
          <w:p w14:paraId="78417F2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Determined parameters concerning what is required of public sector workers on the job. No longer in the state of Wisconsin are contracts negotiated. However, these handbooks are negotiated with the workers and the individuals in each individual county.</w:t>
            </w:r>
          </w:p>
        </w:tc>
      </w:tr>
      <w:tr w:rsidR="0012433F" w:rsidRPr="005D3F76" w14:paraId="7674B8EC" w14:textId="77777777" w:rsidTr="0012433F">
        <w:tc>
          <w:tcPr>
            <w:tcW w:w="3600" w:type="dxa"/>
            <w:tcBorders>
              <w:top w:val="nil"/>
              <w:left w:val="nil"/>
              <w:bottom w:val="nil"/>
              <w:right w:val="nil"/>
            </w:tcBorders>
          </w:tcPr>
          <w:p w14:paraId="2E313AB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Common Core</w:t>
            </w:r>
          </w:p>
        </w:tc>
        <w:tc>
          <w:tcPr>
            <w:tcW w:w="5760" w:type="dxa"/>
            <w:tcBorders>
              <w:top w:val="nil"/>
              <w:left w:val="nil"/>
              <w:bottom w:val="nil"/>
              <w:right w:val="nil"/>
            </w:tcBorders>
          </w:tcPr>
          <w:p w14:paraId="31A733A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set of state standards that explain what students should be able to do after going through K-12 education. The core areas are English, Literacy, and mathematics. This newspaper uses these to demonstrate the incapacity of teachers in Wisconsin to perform their given duties according to the common core standards.</w:t>
            </w:r>
          </w:p>
        </w:tc>
      </w:tr>
      <w:tr w:rsidR="0012433F" w:rsidRPr="005D3F76" w14:paraId="42E9D8C5" w14:textId="77777777" w:rsidTr="0012433F">
        <w:tc>
          <w:tcPr>
            <w:tcW w:w="3600" w:type="dxa"/>
            <w:tcBorders>
              <w:top w:val="nil"/>
              <w:left w:val="nil"/>
              <w:bottom w:val="nil"/>
              <w:right w:val="nil"/>
            </w:tcBorders>
          </w:tcPr>
          <w:p w14:paraId="76E7253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Right to Work</w:t>
            </w:r>
          </w:p>
        </w:tc>
        <w:tc>
          <w:tcPr>
            <w:tcW w:w="5760" w:type="dxa"/>
            <w:tcBorders>
              <w:top w:val="nil"/>
              <w:left w:val="nil"/>
              <w:bottom w:val="nil"/>
              <w:right w:val="nil"/>
            </w:tcBorders>
          </w:tcPr>
          <w:p w14:paraId="1C8C06B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absence of all unrelated topics this term means that workers have the right not to join a labor union. In this newspaper, this is determined to be helpful to curtail public sector unions bargaining power within Wisconsin.</w:t>
            </w:r>
          </w:p>
        </w:tc>
      </w:tr>
      <w:tr w:rsidR="0012433F" w:rsidRPr="005D3F76" w14:paraId="485D2C42" w14:textId="77777777" w:rsidTr="0012433F">
        <w:tc>
          <w:tcPr>
            <w:tcW w:w="3600" w:type="dxa"/>
            <w:tcBorders>
              <w:top w:val="nil"/>
              <w:left w:val="nil"/>
              <w:bottom w:val="nil"/>
              <w:right w:val="nil"/>
            </w:tcBorders>
          </w:tcPr>
          <w:p w14:paraId="202DCBF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Law Suits</w:t>
            </w:r>
          </w:p>
        </w:tc>
        <w:tc>
          <w:tcPr>
            <w:tcW w:w="5760" w:type="dxa"/>
            <w:tcBorders>
              <w:top w:val="nil"/>
              <w:left w:val="nil"/>
              <w:bottom w:val="nil"/>
              <w:right w:val="nil"/>
            </w:tcBorders>
          </w:tcPr>
          <w:p w14:paraId="17F5B63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Many law suits have been filed concerning the Constitutionality of both ACT 10 and Wisconsin becoming a right to work state.</w:t>
            </w:r>
          </w:p>
        </w:tc>
      </w:tr>
      <w:tr w:rsidR="0012433F" w:rsidRPr="005D3F76" w14:paraId="5D8EC399" w14:textId="77777777" w:rsidTr="0012433F">
        <w:tc>
          <w:tcPr>
            <w:tcW w:w="3600" w:type="dxa"/>
            <w:tcBorders>
              <w:top w:val="nil"/>
              <w:left w:val="nil"/>
              <w:bottom w:val="nil"/>
              <w:right w:val="nil"/>
            </w:tcBorders>
          </w:tcPr>
          <w:p w14:paraId="3977C19C"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Victory</w:t>
            </w:r>
          </w:p>
        </w:tc>
        <w:tc>
          <w:tcPr>
            <w:tcW w:w="5760" w:type="dxa"/>
            <w:tcBorders>
              <w:top w:val="nil"/>
              <w:left w:val="nil"/>
              <w:bottom w:val="nil"/>
              <w:right w:val="nil"/>
            </w:tcBorders>
          </w:tcPr>
          <w:p w14:paraId="424B4B26" w14:textId="0DF406DB"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passage of ACT 10 in the state of Wisconsin, and the ability of the governor to control public sector unions</w:t>
            </w:r>
            <w:r w:rsidR="00B33CCC" w:rsidRPr="005D3F76">
              <w:rPr>
                <w:rFonts w:cs="Times New Roman"/>
                <w:sz w:val="24"/>
                <w:szCs w:val="24"/>
              </w:rPr>
              <w:t>’</w:t>
            </w:r>
            <w:r w:rsidRPr="005D3F76">
              <w:rPr>
                <w:rFonts w:cs="Times New Roman"/>
                <w:sz w:val="24"/>
                <w:szCs w:val="24"/>
              </w:rPr>
              <w:t xml:space="preserve"> activities.</w:t>
            </w:r>
          </w:p>
        </w:tc>
      </w:tr>
      <w:tr w:rsidR="0012433F" w:rsidRPr="005D3F76" w14:paraId="4441A5C3" w14:textId="77777777" w:rsidTr="0012433F">
        <w:tc>
          <w:tcPr>
            <w:tcW w:w="3600" w:type="dxa"/>
            <w:tcBorders>
              <w:top w:val="nil"/>
              <w:left w:val="nil"/>
              <w:bottom w:val="nil"/>
              <w:right w:val="nil"/>
            </w:tcBorders>
          </w:tcPr>
          <w:p w14:paraId="48F2B9C5"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Capital Times</w:t>
            </w:r>
          </w:p>
        </w:tc>
        <w:tc>
          <w:tcPr>
            <w:tcW w:w="5760" w:type="dxa"/>
            <w:tcBorders>
              <w:top w:val="nil"/>
              <w:left w:val="nil"/>
              <w:bottom w:val="nil"/>
              <w:right w:val="nil"/>
            </w:tcBorders>
          </w:tcPr>
          <w:p w14:paraId="22CD97B4"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658553D7" w14:textId="77777777" w:rsidTr="0012433F">
        <w:tc>
          <w:tcPr>
            <w:tcW w:w="3600" w:type="dxa"/>
            <w:tcBorders>
              <w:top w:val="nil"/>
              <w:left w:val="nil"/>
              <w:bottom w:val="nil"/>
              <w:right w:val="nil"/>
            </w:tcBorders>
          </w:tcPr>
          <w:p w14:paraId="25810DB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New Deal</w:t>
            </w:r>
          </w:p>
        </w:tc>
        <w:tc>
          <w:tcPr>
            <w:tcW w:w="5760" w:type="dxa"/>
            <w:tcBorders>
              <w:top w:val="nil"/>
              <w:left w:val="nil"/>
              <w:bottom w:val="nil"/>
              <w:right w:val="nil"/>
            </w:tcBorders>
          </w:tcPr>
          <w:p w14:paraId="62F82A8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This reference harkens to the New Deal that was established by President Franklin D. Roosevelt in the 1930’s where social and economic programs were put into place to help society. This was used in the sense within this newspaper to refer to how the teacher unions are essentially being silenced with ACT 10 being put into law by the governor and the Republican legislators.</w:t>
            </w:r>
          </w:p>
        </w:tc>
      </w:tr>
      <w:tr w:rsidR="0012433F" w:rsidRPr="005D3F76" w14:paraId="684B2A8D" w14:textId="77777777" w:rsidTr="0012433F">
        <w:tc>
          <w:tcPr>
            <w:tcW w:w="3600" w:type="dxa"/>
            <w:tcBorders>
              <w:top w:val="nil"/>
              <w:left w:val="nil"/>
              <w:bottom w:val="nil"/>
              <w:right w:val="nil"/>
            </w:tcBorders>
          </w:tcPr>
          <w:p w14:paraId="46EE392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ACT 10</w:t>
            </w:r>
          </w:p>
        </w:tc>
        <w:tc>
          <w:tcPr>
            <w:tcW w:w="5760" w:type="dxa"/>
            <w:tcBorders>
              <w:top w:val="nil"/>
              <w:left w:val="nil"/>
              <w:bottom w:val="nil"/>
              <w:right w:val="nil"/>
            </w:tcBorders>
          </w:tcPr>
          <w:p w14:paraId="3C140D33"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Wisconsin law enacted by Governor Scott Walker that essentially strips public sector unions of much of their bargaining rights within the state.</w:t>
            </w:r>
          </w:p>
        </w:tc>
      </w:tr>
      <w:tr w:rsidR="0012433F" w:rsidRPr="005D3F76" w14:paraId="79672DC3" w14:textId="77777777" w:rsidTr="0012433F">
        <w:tc>
          <w:tcPr>
            <w:tcW w:w="3600" w:type="dxa"/>
            <w:tcBorders>
              <w:top w:val="nil"/>
              <w:left w:val="nil"/>
              <w:bottom w:val="nil"/>
              <w:right w:val="nil"/>
            </w:tcBorders>
          </w:tcPr>
          <w:p w14:paraId="26AC58F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Right to Work</w:t>
            </w:r>
          </w:p>
        </w:tc>
        <w:tc>
          <w:tcPr>
            <w:tcW w:w="5760" w:type="dxa"/>
            <w:tcBorders>
              <w:top w:val="nil"/>
              <w:left w:val="nil"/>
              <w:bottom w:val="nil"/>
              <w:right w:val="nil"/>
            </w:tcBorders>
          </w:tcPr>
          <w:p w14:paraId="3CDCB06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absence of all unrelated topics this term means that workers have the right not to join a labor union. In this paper, this term was used in a negative connotation that assumes that workers have fewer rights within a state under right to work laws.</w:t>
            </w:r>
          </w:p>
        </w:tc>
      </w:tr>
      <w:tr w:rsidR="0012433F" w:rsidRPr="005D3F76" w14:paraId="6D217603" w14:textId="77777777" w:rsidTr="0012433F">
        <w:tc>
          <w:tcPr>
            <w:tcW w:w="3600" w:type="dxa"/>
            <w:tcBorders>
              <w:top w:val="nil"/>
              <w:left w:val="nil"/>
              <w:bottom w:val="nil"/>
              <w:right w:val="nil"/>
            </w:tcBorders>
          </w:tcPr>
          <w:p w14:paraId="06537858"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No Child Left Behind</w:t>
            </w:r>
          </w:p>
        </w:tc>
        <w:tc>
          <w:tcPr>
            <w:tcW w:w="5760" w:type="dxa"/>
            <w:tcBorders>
              <w:top w:val="nil"/>
              <w:left w:val="nil"/>
              <w:bottom w:val="nil"/>
              <w:right w:val="nil"/>
            </w:tcBorders>
          </w:tcPr>
          <w:p w14:paraId="4B3C8E0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reauthorization of the Elementary and Secondary Education Act. This newspaper uses it as a platform to expand on how teachers are treated in Wisconsin.</w:t>
            </w:r>
          </w:p>
        </w:tc>
      </w:tr>
      <w:tr w:rsidR="0012433F" w:rsidRPr="005D3F76" w14:paraId="25737827" w14:textId="77777777" w:rsidTr="0012433F">
        <w:tc>
          <w:tcPr>
            <w:tcW w:w="3600" w:type="dxa"/>
            <w:tcBorders>
              <w:top w:val="nil"/>
              <w:left w:val="nil"/>
              <w:bottom w:val="nil"/>
              <w:right w:val="nil"/>
            </w:tcBorders>
          </w:tcPr>
          <w:p w14:paraId="37B9384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Victory</w:t>
            </w:r>
          </w:p>
        </w:tc>
        <w:tc>
          <w:tcPr>
            <w:tcW w:w="5760" w:type="dxa"/>
            <w:tcBorders>
              <w:top w:val="nil"/>
              <w:left w:val="nil"/>
              <w:bottom w:val="nil"/>
              <w:right w:val="nil"/>
            </w:tcBorders>
          </w:tcPr>
          <w:p w14:paraId="57B0673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passing of the ACT 10 legislation within Wisconsin.</w:t>
            </w:r>
          </w:p>
        </w:tc>
      </w:tr>
      <w:tr w:rsidR="0012433F" w:rsidRPr="005D3F76" w14:paraId="68CED80E" w14:textId="77777777" w:rsidTr="0012433F">
        <w:tc>
          <w:tcPr>
            <w:tcW w:w="3600" w:type="dxa"/>
            <w:tcBorders>
              <w:top w:val="nil"/>
              <w:left w:val="nil"/>
              <w:bottom w:val="nil"/>
              <w:right w:val="nil"/>
            </w:tcBorders>
          </w:tcPr>
          <w:p w14:paraId="59D5303B" w14:textId="77777777" w:rsidR="0012433F" w:rsidRPr="005D3F76" w:rsidRDefault="0012433F" w:rsidP="0012433F">
            <w:pPr>
              <w:pStyle w:val="EndnoteText"/>
              <w:spacing w:before="360" w:after="240" w:line="276" w:lineRule="auto"/>
              <w:rPr>
                <w:rFonts w:cs="Times New Roman"/>
                <w:b/>
                <w:sz w:val="24"/>
                <w:szCs w:val="24"/>
              </w:rPr>
            </w:pPr>
            <w:r w:rsidRPr="005D3F76">
              <w:rPr>
                <w:rFonts w:cs="Times New Roman"/>
                <w:sz w:val="24"/>
                <w:szCs w:val="24"/>
              </w:rPr>
              <w:t xml:space="preserve">THEME: </w:t>
            </w:r>
            <w:r w:rsidRPr="005D3F76">
              <w:rPr>
                <w:rFonts w:cs="Times New Roman"/>
                <w:b/>
                <w:sz w:val="24"/>
                <w:szCs w:val="24"/>
              </w:rPr>
              <w:t>Social Justice</w:t>
            </w:r>
          </w:p>
        </w:tc>
        <w:tc>
          <w:tcPr>
            <w:tcW w:w="5760" w:type="dxa"/>
            <w:tcBorders>
              <w:top w:val="nil"/>
              <w:left w:val="nil"/>
              <w:bottom w:val="nil"/>
              <w:right w:val="nil"/>
            </w:tcBorders>
          </w:tcPr>
          <w:p w14:paraId="62A82CE2" w14:textId="77777777" w:rsidR="0012433F" w:rsidRPr="005D3F76" w:rsidRDefault="0012433F" w:rsidP="0012433F">
            <w:pPr>
              <w:pStyle w:val="EndnoteText"/>
              <w:spacing w:before="360" w:after="240" w:line="276" w:lineRule="auto"/>
              <w:rPr>
                <w:rFonts w:cs="Times New Roman"/>
                <w:sz w:val="24"/>
                <w:szCs w:val="24"/>
              </w:rPr>
            </w:pPr>
          </w:p>
        </w:tc>
      </w:tr>
      <w:tr w:rsidR="0012433F" w:rsidRPr="005D3F76" w14:paraId="301D090B" w14:textId="77777777" w:rsidTr="0012433F">
        <w:tc>
          <w:tcPr>
            <w:tcW w:w="3600" w:type="dxa"/>
            <w:tcBorders>
              <w:top w:val="nil"/>
              <w:left w:val="nil"/>
              <w:bottom w:val="nil"/>
              <w:right w:val="nil"/>
            </w:tcBorders>
          </w:tcPr>
          <w:p w14:paraId="624377E3"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The New York Times</w:t>
            </w:r>
          </w:p>
        </w:tc>
        <w:tc>
          <w:tcPr>
            <w:tcW w:w="5760" w:type="dxa"/>
            <w:tcBorders>
              <w:top w:val="nil"/>
              <w:left w:val="nil"/>
              <w:bottom w:val="nil"/>
              <w:right w:val="nil"/>
            </w:tcBorders>
          </w:tcPr>
          <w:p w14:paraId="515B2165"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1F7D353B" w14:textId="77777777" w:rsidTr="0012433F">
        <w:tc>
          <w:tcPr>
            <w:tcW w:w="3600" w:type="dxa"/>
            <w:tcBorders>
              <w:top w:val="nil"/>
              <w:left w:val="nil"/>
              <w:bottom w:val="nil"/>
              <w:right w:val="nil"/>
            </w:tcBorders>
          </w:tcPr>
          <w:p w14:paraId="64F0AD4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Sexism</w:t>
            </w:r>
          </w:p>
        </w:tc>
        <w:tc>
          <w:tcPr>
            <w:tcW w:w="5760" w:type="dxa"/>
            <w:tcBorders>
              <w:top w:val="nil"/>
              <w:left w:val="nil"/>
              <w:bottom w:val="nil"/>
              <w:right w:val="nil"/>
            </w:tcBorders>
          </w:tcPr>
          <w:p w14:paraId="0035800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Refers to the use of prejudices against certain sexes within society—generally women. In this newspaper, sexism is referred to because of the composition of the teacher unions being mostly female.</w:t>
            </w:r>
          </w:p>
        </w:tc>
      </w:tr>
      <w:tr w:rsidR="0012433F" w:rsidRPr="005D3F76" w14:paraId="74FD2DAA" w14:textId="77777777" w:rsidTr="0012433F">
        <w:tc>
          <w:tcPr>
            <w:tcW w:w="3600" w:type="dxa"/>
            <w:tcBorders>
              <w:top w:val="nil"/>
              <w:left w:val="nil"/>
              <w:bottom w:val="nil"/>
              <w:right w:val="nil"/>
            </w:tcBorders>
          </w:tcPr>
          <w:p w14:paraId="216FE41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Democracy</w:t>
            </w:r>
          </w:p>
        </w:tc>
        <w:tc>
          <w:tcPr>
            <w:tcW w:w="5760" w:type="dxa"/>
            <w:tcBorders>
              <w:top w:val="nil"/>
              <w:left w:val="nil"/>
              <w:bottom w:val="nil"/>
              <w:right w:val="nil"/>
            </w:tcBorders>
          </w:tcPr>
          <w:p w14:paraId="5C8EFFE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system of government where all qualified individuals have a representation through legislative means.</w:t>
            </w:r>
          </w:p>
        </w:tc>
      </w:tr>
      <w:tr w:rsidR="0012433F" w:rsidRPr="005D3F76" w14:paraId="7EA3A935" w14:textId="77777777" w:rsidTr="0012433F">
        <w:tc>
          <w:tcPr>
            <w:tcW w:w="3600" w:type="dxa"/>
            <w:tcBorders>
              <w:top w:val="nil"/>
              <w:left w:val="nil"/>
              <w:bottom w:val="nil"/>
              <w:right w:val="nil"/>
            </w:tcBorders>
          </w:tcPr>
          <w:p w14:paraId="2FCDDBA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lastRenderedPageBreak/>
              <w:t>Class</w:t>
            </w:r>
          </w:p>
        </w:tc>
        <w:tc>
          <w:tcPr>
            <w:tcW w:w="5760" w:type="dxa"/>
            <w:tcBorders>
              <w:top w:val="nil"/>
              <w:left w:val="nil"/>
              <w:bottom w:val="nil"/>
              <w:right w:val="nil"/>
            </w:tcBorders>
          </w:tcPr>
          <w:p w14:paraId="07706A1E"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way that a society classifies its members based on observed social or economic status. This is referenced in this paper as a means to demonstrate the divide between those in the unions and those in the government introducing legislation.</w:t>
            </w:r>
          </w:p>
        </w:tc>
      </w:tr>
      <w:tr w:rsidR="0012433F" w:rsidRPr="005D3F76" w14:paraId="7402F321" w14:textId="77777777" w:rsidTr="0012433F">
        <w:tc>
          <w:tcPr>
            <w:tcW w:w="3600" w:type="dxa"/>
            <w:tcBorders>
              <w:top w:val="nil"/>
              <w:left w:val="nil"/>
              <w:bottom w:val="nil"/>
              <w:right w:val="nil"/>
            </w:tcBorders>
          </w:tcPr>
          <w:p w14:paraId="679F4BD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Racism</w:t>
            </w:r>
          </w:p>
        </w:tc>
        <w:tc>
          <w:tcPr>
            <w:tcW w:w="5760" w:type="dxa"/>
            <w:tcBorders>
              <w:top w:val="nil"/>
              <w:left w:val="nil"/>
              <w:bottom w:val="nil"/>
              <w:right w:val="nil"/>
            </w:tcBorders>
          </w:tcPr>
          <w:p w14:paraId="652C6A9D"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belief system that is social in nature where it is believed that certain races contain certain characteristics, abilities, or lack thereof to that specific race. This is distinguished generally by the societal belief that these characteristics extricate some people as superior, while others are inferior.</w:t>
            </w:r>
          </w:p>
        </w:tc>
      </w:tr>
      <w:tr w:rsidR="0012433F" w:rsidRPr="005D3F76" w14:paraId="25CD85D9" w14:textId="77777777" w:rsidTr="0012433F">
        <w:tc>
          <w:tcPr>
            <w:tcW w:w="3600" w:type="dxa"/>
            <w:tcBorders>
              <w:top w:val="nil"/>
              <w:left w:val="nil"/>
              <w:bottom w:val="nil"/>
              <w:right w:val="nil"/>
            </w:tcBorders>
          </w:tcPr>
          <w:p w14:paraId="303640FC"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t>Wisconsin State Journal</w:t>
            </w:r>
          </w:p>
        </w:tc>
        <w:tc>
          <w:tcPr>
            <w:tcW w:w="5760" w:type="dxa"/>
            <w:tcBorders>
              <w:top w:val="nil"/>
              <w:left w:val="nil"/>
              <w:bottom w:val="nil"/>
              <w:right w:val="nil"/>
            </w:tcBorders>
          </w:tcPr>
          <w:p w14:paraId="2C67D119"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1208E903" w14:textId="77777777" w:rsidTr="0012433F">
        <w:tc>
          <w:tcPr>
            <w:tcW w:w="3600" w:type="dxa"/>
            <w:tcBorders>
              <w:top w:val="nil"/>
              <w:left w:val="nil"/>
              <w:bottom w:val="nil"/>
              <w:right w:val="nil"/>
            </w:tcBorders>
          </w:tcPr>
          <w:p w14:paraId="5894A08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Democracy</w:t>
            </w:r>
          </w:p>
        </w:tc>
        <w:tc>
          <w:tcPr>
            <w:tcW w:w="5760" w:type="dxa"/>
            <w:tcBorders>
              <w:top w:val="nil"/>
              <w:left w:val="nil"/>
              <w:bottom w:val="nil"/>
              <w:right w:val="nil"/>
            </w:tcBorders>
          </w:tcPr>
          <w:p w14:paraId="58DF8547"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this newspaper, this term was used in two different ways. The first, is a system of government where all qualified individuals have a representation through legislative means. The second use was as a mechanism to demonstrate that not all members of the teacher unions (the teachers themselves) did not have any control over the unions they were a part of.</w:t>
            </w:r>
          </w:p>
        </w:tc>
      </w:tr>
      <w:tr w:rsidR="0012433F" w:rsidRPr="005D3F76" w14:paraId="023C1C38" w14:textId="77777777" w:rsidTr="0012433F">
        <w:tc>
          <w:tcPr>
            <w:tcW w:w="3600" w:type="dxa"/>
            <w:tcBorders>
              <w:top w:val="nil"/>
              <w:left w:val="nil"/>
              <w:bottom w:val="nil"/>
              <w:right w:val="nil"/>
            </w:tcBorders>
          </w:tcPr>
          <w:p w14:paraId="7ADFC0F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Racism</w:t>
            </w:r>
          </w:p>
        </w:tc>
        <w:tc>
          <w:tcPr>
            <w:tcW w:w="5760" w:type="dxa"/>
            <w:tcBorders>
              <w:top w:val="nil"/>
              <w:left w:val="nil"/>
              <w:bottom w:val="nil"/>
              <w:right w:val="nil"/>
            </w:tcBorders>
          </w:tcPr>
          <w:p w14:paraId="74FBFD94"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belief system that is social in nature where it is believed that certain races contain certain characteristics, abilities, or lack thereof to that specific race. This is distinguished generally by the societal belief that these characteristics extricate some people as superior, while others are inferior.</w:t>
            </w:r>
          </w:p>
        </w:tc>
      </w:tr>
      <w:tr w:rsidR="0012433F" w:rsidRPr="005D3F76" w14:paraId="36D7DD88" w14:textId="77777777" w:rsidTr="0012433F">
        <w:tc>
          <w:tcPr>
            <w:tcW w:w="3600" w:type="dxa"/>
            <w:tcBorders>
              <w:top w:val="nil"/>
              <w:left w:val="nil"/>
              <w:bottom w:val="nil"/>
              <w:right w:val="nil"/>
            </w:tcBorders>
          </w:tcPr>
          <w:p w14:paraId="571330C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Class</w:t>
            </w:r>
          </w:p>
        </w:tc>
        <w:tc>
          <w:tcPr>
            <w:tcW w:w="5760" w:type="dxa"/>
            <w:tcBorders>
              <w:top w:val="nil"/>
              <w:left w:val="nil"/>
              <w:bottom w:val="nil"/>
              <w:right w:val="nil"/>
            </w:tcBorders>
          </w:tcPr>
          <w:p w14:paraId="164381D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way that a society classifies its members based on observed social or economic status. In this newspaper, this is in reference to teachers not being part of the blue-collar, or lower socioeconomic class, therefore they should not have unions.</w:t>
            </w:r>
          </w:p>
        </w:tc>
      </w:tr>
      <w:tr w:rsidR="0012433F" w:rsidRPr="005D3F76" w14:paraId="54873571" w14:textId="77777777" w:rsidTr="0012433F">
        <w:tc>
          <w:tcPr>
            <w:tcW w:w="3600" w:type="dxa"/>
            <w:tcBorders>
              <w:top w:val="nil"/>
              <w:left w:val="nil"/>
              <w:bottom w:val="nil"/>
              <w:right w:val="nil"/>
            </w:tcBorders>
          </w:tcPr>
          <w:p w14:paraId="125A838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Achievement Gap</w:t>
            </w:r>
          </w:p>
        </w:tc>
        <w:tc>
          <w:tcPr>
            <w:tcW w:w="5760" w:type="dxa"/>
            <w:tcBorders>
              <w:top w:val="nil"/>
              <w:left w:val="nil"/>
              <w:bottom w:val="nil"/>
              <w:right w:val="nil"/>
            </w:tcBorders>
          </w:tcPr>
          <w:p w14:paraId="357377D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reference to the disparity of educational experiences between certain groups of students within a particular area. In this newspaper, this is in reference to students in Madison and the perception that the teachers there are not doing their jobs well.</w:t>
            </w:r>
          </w:p>
          <w:p w14:paraId="29C9C26F" w14:textId="77777777" w:rsidR="0012433F" w:rsidRPr="005D3F76" w:rsidRDefault="0012433F" w:rsidP="0012433F">
            <w:pPr>
              <w:pStyle w:val="EndnoteText"/>
              <w:spacing w:after="120" w:line="276" w:lineRule="auto"/>
              <w:rPr>
                <w:rFonts w:cs="Times New Roman"/>
                <w:sz w:val="24"/>
                <w:szCs w:val="24"/>
              </w:rPr>
            </w:pPr>
          </w:p>
          <w:p w14:paraId="3C34E6CE"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120FB659" w14:textId="77777777" w:rsidTr="0012433F">
        <w:tc>
          <w:tcPr>
            <w:tcW w:w="3600" w:type="dxa"/>
            <w:tcBorders>
              <w:top w:val="nil"/>
              <w:left w:val="nil"/>
              <w:bottom w:val="nil"/>
              <w:right w:val="nil"/>
            </w:tcBorders>
          </w:tcPr>
          <w:p w14:paraId="621A0A43" w14:textId="77777777" w:rsidR="0012433F" w:rsidRPr="005D3F76" w:rsidRDefault="0012433F" w:rsidP="0012433F">
            <w:pPr>
              <w:pStyle w:val="EndnoteText"/>
              <w:spacing w:after="120" w:line="276" w:lineRule="auto"/>
              <w:rPr>
                <w:rFonts w:cs="Times New Roman"/>
                <w:b/>
                <w:i/>
                <w:sz w:val="24"/>
                <w:szCs w:val="24"/>
              </w:rPr>
            </w:pPr>
            <w:r w:rsidRPr="005D3F76">
              <w:rPr>
                <w:rFonts w:cs="Times New Roman"/>
                <w:b/>
                <w:i/>
                <w:sz w:val="24"/>
                <w:szCs w:val="24"/>
              </w:rPr>
              <w:lastRenderedPageBreak/>
              <w:t>Capital Times</w:t>
            </w:r>
          </w:p>
        </w:tc>
        <w:tc>
          <w:tcPr>
            <w:tcW w:w="5760" w:type="dxa"/>
            <w:tcBorders>
              <w:top w:val="nil"/>
              <w:left w:val="nil"/>
              <w:bottom w:val="nil"/>
              <w:right w:val="nil"/>
            </w:tcBorders>
          </w:tcPr>
          <w:p w14:paraId="1C08A0DB" w14:textId="77777777" w:rsidR="0012433F" w:rsidRPr="005D3F76" w:rsidRDefault="0012433F" w:rsidP="0012433F">
            <w:pPr>
              <w:pStyle w:val="EndnoteText"/>
              <w:spacing w:after="120" w:line="276" w:lineRule="auto"/>
              <w:rPr>
                <w:rFonts w:cs="Times New Roman"/>
                <w:sz w:val="24"/>
                <w:szCs w:val="24"/>
              </w:rPr>
            </w:pPr>
          </w:p>
        </w:tc>
      </w:tr>
      <w:tr w:rsidR="0012433F" w:rsidRPr="005D3F76" w14:paraId="55B1DB9D" w14:textId="77777777" w:rsidTr="0012433F">
        <w:tc>
          <w:tcPr>
            <w:tcW w:w="3600" w:type="dxa"/>
            <w:tcBorders>
              <w:top w:val="nil"/>
              <w:left w:val="nil"/>
              <w:bottom w:val="nil"/>
              <w:right w:val="nil"/>
            </w:tcBorders>
          </w:tcPr>
          <w:p w14:paraId="7FD31E10"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Democracy</w:t>
            </w:r>
          </w:p>
        </w:tc>
        <w:tc>
          <w:tcPr>
            <w:tcW w:w="5760" w:type="dxa"/>
            <w:tcBorders>
              <w:top w:val="nil"/>
              <w:left w:val="nil"/>
              <w:bottom w:val="nil"/>
              <w:right w:val="nil"/>
            </w:tcBorders>
          </w:tcPr>
          <w:p w14:paraId="613552A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In this newspaper, this term was used two different ways. A system of government where all qualified individuals have a representation through legislative means. The second was a means of the ideas behind equality.</w:t>
            </w:r>
          </w:p>
        </w:tc>
      </w:tr>
      <w:tr w:rsidR="0012433F" w:rsidRPr="005D3F76" w14:paraId="1ED7D9CE" w14:textId="77777777" w:rsidTr="0012433F">
        <w:tc>
          <w:tcPr>
            <w:tcW w:w="3600" w:type="dxa"/>
            <w:tcBorders>
              <w:top w:val="nil"/>
              <w:left w:val="nil"/>
              <w:bottom w:val="nil"/>
              <w:right w:val="nil"/>
            </w:tcBorders>
          </w:tcPr>
          <w:p w14:paraId="2343004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Class</w:t>
            </w:r>
          </w:p>
        </w:tc>
        <w:tc>
          <w:tcPr>
            <w:tcW w:w="5760" w:type="dxa"/>
            <w:tcBorders>
              <w:top w:val="nil"/>
              <w:left w:val="nil"/>
              <w:bottom w:val="nil"/>
              <w:right w:val="nil"/>
            </w:tcBorders>
          </w:tcPr>
          <w:p w14:paraId="5C6EB9B9"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way that a society classifies its members based on observed social or economic status. This newspaper based class on how the unions were in society to help all people no matter their class status.</w:t>
            </w:r>
          </w:p>
        </w:tc>
      </w:tr>
      <w:tr w:rsidR="0012433F" w:rsidRPr="005D3F76" w14:paraId="0437C3E5" w14:textId="77777777" w:rsidTr="0012433F">
        <w:tc>
          <w:tcPr>
            <w:tcW w:w="3600" w:type="dxa"/>
            <w:tcBorders>
              <w:top w:val="nil"/>
              <w:left w:val="nil"/>
              <w:bottom w:val="nil"/>
              <w:right w:val="nil"/>
            </w:tcBorders>
          </w:tcPr>
          <w:p w14:paraId="59CB876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Power</w:t>
            </w:r>
          </w:p>
        </w:tc>
        <w:tc>
          <w:tcPr>
            <w:tcW w:w="5760" w:type="dxa"/>
            <w:tcBorders>
              <w:top w:val="nil"/>
              <w:left w:val="nil"/>
              <w:bottom w:val="nil"/>
              <w:right w:val="nil"/>
            </w:tcBorders>
          </w:tcPr>
          <w:p w14:paraId="7015826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The capacity to influence the ability of others to perform a needed task.</w:t>
            </w:r>
          </w:p>
        </w:tc>
      </w:tr>
      <w:tr w:rsidR="0012433F" w:rsidRPr="005D3F76" w14:paraId="60279FEA" w14:textId="77777777" w:rsidTr="0012433F">
        <w:tc>
          <w:tcPr>
            <w:tcW w:w="3600" w:type="dxa"/>
            <w:tcBorders>
              <w:top w:val="nil"/>
              <w:left w:val="nil"/>
              <w:bottom w:val="nil"/>
              <w:right w:val="nil"/>
            </w:tcBorders>
          </w:tcPr>
          <w:p w14:paraId="6A62D705"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Racism</w:t>
            </w:r>
          </w:p>
        </w:tc>
        <w:tc>
          <w:tcPr>
            <w:tcW w:w="5760" w:type="dxa"/>
            <w:tcBorders>
              <w:top w:val="nil"/>
              <w:left w:val="nil"/>
              <w:bottom w:val="nil"/>
              <w:right w:val="nil"/>
            </w:tcBorders>
          </w:tcPr>
          <w:p w14:paraId="6CDFC8CF"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belief system that is social in nature where it is believed that certain races contain certain characteristics, abilities, or lack thereof to that specific race. This is distinguished generally by the societal belief that these characteristics extricate some people as superior, while others are inferior.</w:t>
            </w:r>
          </w:p>
        </w:tc>
      </w:tr>
      <w:tr w:rsidR="0012433F" w:rsidRPr="005D3F76" w14:paraId="12EF1C28" w14:textId="77777777" w:rsidTr="0012433F">
        <w:tc>
          <w:tcPr>
            <w:tcW w:w="3600" w:type="dxa"/>
            <w:tcBorders>
              <w:top w:val="nil"/>
              <w:left w:val="nil"/>
              <w:bottom w:val="nil"/>
              <w:right w:val="nil"/>
            </w:tcBorders>
          </w:tcPr>
          <w:p w14:paraId="6B2EB171"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White privilege</w:t>
            </w:r>
          </w:p>
        </w:tc>
        <w:tc>
          <w:tcPr>
            <w:tcW w:w="5760" w:type="dxa"/>
            <w:tcBorders>
              <w:top w:val="nil"/>
              <w:left w:val="nil"/>
              <w:bottom w:val="nil"/>
              <w:right w:val="nil"/>
            </w:tcBorders>
          </w:tcPr>
          <w:p w14:paraId="795A294B"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This is a societal perception that is based around the idea that white individuals benefit from being white within society. This is in reference to within this newspaper as a means to demonstrate that teacher unions do not always have everyone’s best interest at heart because they are mainly comprised of white, middle-class women.</w:t>
            </w:r>
          </w:p>
        </w:tc>
      </w:tr>
      <w:tr w:rsidR="0012433F" w:rsidRPr="005D3F76" w14:paraId="29C7D8DB" w14:textId="77777777" w:rsidTr="0012433F">
        <w:tc>
          <w:tcPr>
            <w:tcW w:w="3600" w:type="dxa"/>
            <w:tcBorders>
              <w:top w:val="nil"/>
              <w:left w:val="nil"/>
              <w:bottom w:val="nil"/>
              <w:right w:val="nil"/>
            </w:tcBorders>
          </w:tcPr>
          <w:p w14:paraId="7A17F262"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Poverty</w:t>
            </w:r>
          </w:p>
        </w:tc>
        <w:tc>
          <w:tcPr>
            <w:tcW w:w="5760" w:type="dxa"/>
            <w:tcBorders>
              <w:top w:val="nil"/>
              <w:left w:val="nil"/>
              <w:bottom w:val="nil"/>
              <w:right w:val="nil"/>
            </w:tcBorders>
          </w:tcPr>
          <w:p w14:paraId="03BAA13A" w14:textId="77777777" w:rsidR="0012433F" w:rsidRPr="005D3F76" w:rsidRDefault="0012433F" w:rsidP="0012433F">
            <w:pPr>
              <w:pStyle w:val="EndnoteText"/>
              <w:spacing w:after="120" w:line="276" w:lineRule="auto"/>
              <w:rPr>
                <w:rFonts w:cs="Times New Roman"/>
                <w:sz w:val="24"/>
                <w:szCs w:val="24"/>
              </w:rPr>
            </w:pPr>
            <w:r w:rsidRPr="005D3F76">
              <w:rPr>
                <w:rFonts w:cs="Times New Roman"/>
                <w:sz w:val="24"/>
                <w:szCs w:val="24"/>
              </w:rPr>
              <w:t>A socio-economic status designated to those within U.S. society who do not reach a certain threshold for income requirements given by the U.S. government.</w:t>
            </w:r>
          </w:p>
        </w:tc>
      </w:tr>
    </w:tbl>
    <w:p w14:paraId="54B6DE67" w14:textId="488F94FD" w:rsidR="006F28A3" w:rsidRPr="005D3F76" w:rsidRDefault="006F28A3" w:rsidP="003D72CB">
      <w:pPr>
        <w:rPr>
          <w:rFonts w:cs="Times New Roman"/>
        </w:rPr>
      </w:pPr>
    </w:p>
    <w:p w14:paraId="475398E8" w14:textId="77777777" w:rsidR="006F28A3" w:rsidRPr="005D3F76" w:rsidRDefault="006F28A3">
      <w:pPr>
        <w:spacing w:after="160" w:line="259" w:lineRule="auto"/>
        <w:rPr>
          <w:rFonts w:cs="Times New Roman"/>
        </w:rPr>
      </w:pPr>
      <w:r w:rsidRPr="005D3F76">
        <w:rPr>
          <w:rFonts w:cs="Times New Roman"/>
        </w:rPr>
        <w:br w:type="page"/>
      </w:r>
    </w:p>
    <w:p w14:paraId="6AFE7967" w14:textId="62B9F6C4" w:rsidR="006F28A3" w:rsidRPr="005D3F76" w:rsidRDefault="006F28A3" w:rsidP="006F28A3">
      <w:pPr>
        <w:pStyle w:val="Heading1"/>
        <w:rPr>
          <w:rFonts w:cs="Times New Roman"/>
        </w:rPr>
      </w:pPr>
      <w:bookmarkStart w:id="35" w:name="_Toc462843655"/>
      <w:r w:rsidRPr="005D3F76">
        <w:rPr>
          <w:rFonts w:cs="Times New Roman"/>
        </w:rPr>
        <w:lastRenderedPageBreak/>
        <w:t>VITA</w:t>
      </w:r>
      <w:bookmarkEnd w:id="35"/>
    </w:p>
    <w:p w14:paraId="2D621E70" w14:textId="77777777" w:rsidR="0095233D" w:rsidRPr="005D3F76" w:rsidRDefault="006F28A3" w:rsidP="006F28A3">
      <w:pPr>
        <w:spacing w:line="240" w:lineRule="auto"/>
        <w:rPr>
          <w:rFonts w:cs="Times New Roman"/>
          <w:szCs w:val="24"/>
        </w:rPr>
      </w:pPr>
      <w:r w:rsidRPr="005D3F76">
        <w:rPr>
          <w:rFonts w:cs="Times New Roman"/>
          <w:szCs w:val="24"/>
        </w:rPr>
        <w:tab/>
        <w:t>Dr. Melissa Ann Harness was born in Fountain Valley, California. She moved to Knoxville, Tennessee wh</w:t>
      </w:r>
      <w:r w:rsidR="00B13760" w:rsidRPr="005D3F76">
        <w:rPr>
          <w:rFonts w:cs="Times New Roman"/>
          <w:szCs w:val="24"/>
        </w:rPr>
        <w:t xml:space="preserve">ile in high school. </w:t>
      </w:r>
      <w:r w:rsidR="00FD6CBD" w:rsidRPr="005D3F76">
        <w:rPr>
          <w:rFonts w:cs="Times New Roman"/>
          <w:szCs w:val="24"/>
        </w:rPr>
        <w:t xml:space="preserve">She has always been dedicated to education and believes in life-long learning. Her passion for education stems from the belief that everyone deserves equal access to quality education, and works to </w:t>
      </w:r>
      <w:r w:rsidR="0095233D" w:rsidRPr="005D3F76">
        <w:rPr>
          <w:rFonts w:cs="Times New Roman"/>
          <w:szCs w:val="24"/>
        </w:rPr>
        <w:t xml:space="preserve">make changes in the educational system to obtain that goal. </w:t>
      </w:r>
    </w:p>
    <w:p w14:paraId="214A660F" w14:textId="71CBCE85" w:rsidR="00B13760" w:rsidRPr="005D3F76" w:rsidRDefault="0095233D" w:rsidP="0095233D">
      <w:pPr>
        <w:spacing w:line="240" w:lineRule="auto"/>
        <w:ind w:firstLine="720"/>
        <w:rPr>
          <w:rFonts w:cs="Times New Roman"/>
          <w:szCs w:val="24"/>
        </w:rPr>
      </w:pPr>
      <w:r w:rsidRPr="005D3F76">
        <w:rPr>
          <w:rFonts w:cs="Times New Roman"/>
          <w:szCs w:val="24"/>
        </w:rPr>
        <w:t>Dr. Harness</w:t>
      </w:r>
      <w:r w:rsidR="00B13760" w:rsidRPr="005D3F76">
        <w:rPr>
          <w:rFonts w:cs="Times New Roman"/>
          <w:szCs w:val="24"/>
        </w:rPr>
        <w:t xml:space="preserve"> obtained</w:t>
      </w:r>
      <w:r w:rsidR="006F28A3" w:rsidRPr="005D3F76">
        <w:rPr>
          <w:rFonts w:cs="Times New Roman"/>
          <w:szCs w:val="24"/>
        </w:rPr>
        <w:t xml:space="preserve"> her Bachelors of Arts in History </w:t>
      </w:r>
      <w:r w:rsidR="0079305C" w:rsidRPr="005D3F76">
        <w:rPr>
          <w:rFonts w:cs="Times New Roman"/>
          <w:szCs w:val="24"/>
        </w:rPr>
        <w:t xml:space="preserve">with a minor in Education </w:t>
      </w:r>
      <w:r w:rsidR="006F28A3" w:rsidRPr="005D3F76">
        <w:rPr>
          <w:rFonts w:cs="Times New Roman"/>
          <w:szCs w:val="24"/>
        </w:rPr>
        <w:t>and a secondary teacher’s license from East Tennessee State University in Johns</w:t>
      </w:r>
      <w:r w:rsidR="00B13760" w:rsidRPr="005D3F76">
        <w:rPr>
          <w:rFonts w:cs="Times New Roman"/>
          <w:szCs w:val="24"/>
        </w:rPr>
        <w:t>on City in 2006. After spending several years working in the school system</w:t>
      </w:r>
      <w:r w:rsidRPr="005D3F76">
        <w:rPr>
          <w:rFonts w:cs="Times New Roman"/>
          <w:szCs w:val="24"/>
        </w:rPr>
        <w:t xml:space="preserve"> in various positions</w:t>
      </w:r>
      <w:r w:rsidR="00B13760" w:rsidRPr="005D3F76">
        <w:rPr>
          <w:rFonts w:cs="Times New Roman"/>
          <w:szCs w:val="24"/>
        </w:rPr>
        <w:t>, Dr. Harness decided to return to academia to further her understanding of the education system. She obtained</w:t>
      </w:r>
      <w:r w:rsidR="006F28A3" w:rsidRPr="005D3F76">
        <w:rPr>
          <w:rFonts w:cs="Times New Roman"/>
          <w:szCs w:val="24"/>
        </w:rPr>
        <w:t xml:space="preserve"> her </w:t>
      </w:r>
      <w:r w:rsidR="00B13760" w:rsidRPr="005D3F76">
        <w:rPr>
          <w:rFonts w:cs="Times New Roman"/>
          <w:szCs w:val="24"/>
        </w:rPr>
        <w:t>Masters of Science in Education</w:t>
      </w:r>
      <w:r w:rsidR="006F28A3" w:rsidRPr="005D3F76">
        <w:rPr>
          <w:rFonts w:cs="Times New Roman"/>
          <w:szCs w:val="24"/>
        </w:rPr>
        <w:t xml:space="preserve"> in 2012 from the University of Tennessee in Knoxville, Tennessee</w:t>
      </w:r>
      <w:r w:rsidR="00B13760" w:rsidRPr="005D3F76">
        <w:rPr>
          <w:rFonts w:cs="Times New Roman"/>
          <w:szCs w:val="24"/>
        </w:rPr>
        <w:t xml:space="preserve"> specializing in Cultural Studies and published her first book</w:t>
      </w:r>
      <w:r w:rsidRPr="005D3F76">
        <w:rPr>
          <w:rFonts w:cs="Times New Roman"/>
          <w:szCs w:val="24"/>
        </w:rPr>
        <w:t>, entitled “Pretending Teaching is a Profession: Why Public School Teaching Will Never Be Considered a True Profession</w:t>
      </w:r>
      <w:r w:rsidR="006F28A3" w:rsidRPr="005D3F76">
        <w:rPr>
          <w:rFonts w:cs="Times New Roman"/>
          <w:szCs w:val="24"/>
        </w:rPr>
        <w:t>.</w:t>
      </w:r>
      <w:r w:rsidRPr="005D3F76">
        <w:rPr>
          <w:rFonts w:cs="Times New Roman"/>
          <w:szCs w:val="24"/>
        </w:rPr>
        <w:t>”</w:t>
      </w:r>
      <w:r w:rsidR="006F28A3" w:rsidRPr="005D3F76">
        <w:rPr>
          <w:rFonts w:cs="Times New Roman"/>
          <w:szCs w:val="24"/>
        </w:rPr>
        <w:t xml:space="preserve"> </w:t>
      </w:r>
    </w:p>
    <w:p w14:paraId="3F84587B" w14:textId="0186F1DB" w:rsidR="006F28A3" w:rsidRPr="005D3F76" w:rsidRDefault="00B13760" w:rsidP="00B13760">
      <w:pPr>
        <w:spacing w:line="240" w:lineRule="auto"/>
        <w:ind w:firstLine="720"/>
        <w:rPr>
          <w:rFonts w:cs="Times New Roman"/>
          <w:szCs w:val="24"/>
        </w:rPr>
      </w:pPr>
      <w:r w:rsidRPr="005D3F76">
        <w:rPr>
          <w:rFonts w:cs="Times New Roman"/>
          <w:szCs w:val="24"/>
        </w:rPr>
        <w:t xml:space="preserve">However, </w:t>
      </w:r>
      <w:r w:rsidR="0095233D" w:rsidRPr="005D3F76">
        <w:rPr>
          <w:rFonts w:cs="Times New Roman"/>
          <w:szCs w:val="24"/>
        </w:rPr>
        <w:t xml:space="preserve">after publishing her book, several questions remained regarding the role of various parties within the education system. </w:t>
      </w:r>
      <w:r w:rsidRPr="005D3F76">
        <w:rPr>
          <w:rFonts w:cs="Times New Roman"/>
          <w:szCs w:val="24"/>
        </w:rPr>
        <w:t>Dr.</w:t>
      </w:r>
      <w:r w:rsidR="00FD6CBD" w:rsidRPr="005D3F76">
        <w:rPr>
          <w:rFonts w:cs="Times New Roman"/>
          <w:szCs w:val="24"/>
        </w:rPr>
        <w:t xml:space="preserve"> Harness</w:t>
      </w:r>
      <w:r w:rsidRPr="005D3F76">
        <w:rPr>
          <w:rFonts w:cs="Times New Roman"/>
          <w:szCs w:val="24"/>
        </w:rPr>
        <w:t xml:space="preserve"> decided to continue her work in academia and </w:t>
      </w:r>
      <w:r w:rsidR="0095233D" w:rsidRPr="005D3F76">
        <w:rPr>
          <w:rFonts w:cs="Times New Roman"/>
          <w:szCs w:val="24"/>
        </w:rPr>
        <w:t>began pursuing a Doctors of Philosophy degree majoring in Education to gain the knowledge and skills needed to answer these questions</w:t>
      </w:r>
      <w:r w:rsidRPr="005D3F76">
        <w:rPr>
          <w:rFonts w:cs="Times New Roman"/>
          <w:szCs w:val="24"/>
        </w:rPr>
        <w:t>.</w:t>
      </w:r>
      <w:r w:rsidR="00FD6CBD" w:rsidRPr="005D3F76">
        <w:rPr>
          <w:rFonts w:cs="Times New Roman"/>
          <w:szCs w:val="24"/>
        </w:rPr>
        <w:t xml:space="preserve"> </w:t>
      </w:r>
      <w:r w:rsidRPr="005D3F76">
        <w:rPr>
          <w:rFonts w:cs="Times New Roman"/>
          <w:szCs w:val="24"/>
        </w:rPr>
        <w:t>During her tenure with the University of Tennessee Knoxville, she presented at multiple conferences and published multiple works in various journals and books. After fo</w:t>
      </w:r>
      <w:r w:rsidR="00FD6CBD" w:rsidRPr="005D3F76">
        <w:rPr>
          <w:rFonts w:cs="Times New Roman"/>
          <w:szCs w:val="24"/>
        </w:rPr>
        <w:t>u</w:t>
      </w:r>
      <w:r w:rsidRPr="005D3F76">
        <w:rPr>
          <w:rFonts w:cs="Times New Roman"/>
          <w:szCs w:val="24"/>
        </w:rPr>
        <w:t>r years of hard work and dedication to the field of education and academia</w:t>
      </w:r>
      <w:r w:rsidR="0095233D" w:rsidRPr="005D3F76">
        <w:rPr>
          <w:rFonts w:cs="Times New Roman"/>
          <w:szCs w:val="24"/>
        </w:rPr>
        <w:t>, culminating in this dissertation</w:t>
      </w:r>
      <w:r w:rsidRPr="005D3F76">
        <w:rPr>
          <w:rFonts w:cs="Times New Roman"/>
          <w:szCs w:val="24"/>
        </w:rPr>
        <w:t xml:space="preserve">, she obtained </w:t>
      </w:r>
      <w:r w:rsidR="0079305C" w:rsidRPr="005D3F76">
        <w:rPr>
          <w:rFonts w:cs="Times New Roman"/>
          <w:szCs w:val="24"/>
        </w:rPr>
        <w:t>her Doctor of Philosophy degree with a major in Education</w:t>
      </w:r>
      <w:r w:rsidRPr="005D3F76">
        <w:rPr>
          <w:rFonts w:cs="Times New Roman"/>
          <w:szCs w:val="24"/>
        </w:rPr>
        <w:t xml:space="preserve"> from the University of Tennessee in Knoxville,</w:t>
      </w:r>
      <w:r w:rsidR="0079305C" w:rsidRPr="005D3F76">
        <w:rPr>
          <w:rFonts w:cs="Times New Roman"/>
          <w:szCs w:val="24"/>
        </w:rPr>
        <w:t xml:space="preserve"> </w:t>
      </w:r>
      <w:r w:rsidRPr="005D3F76">
        <w:rPr>
          <w:rFonts w:cs="Times New Roman"/>
          <w:szCs w:val="24"/>
        </w:rPr>
        <w:t xml:space="preserve">Tennessee in 2016, </w:t>
      </w:r>
      <w:r w:rsidR="0079305C" w:rsidRPr="005D3F76">
        <w:rPr>
          <w:rFonts w:cs="Times New Roman"/>
          <w:szCs w:val="24"/>
        </w:rPr>
        <w:t xml:space="preserve">concentrating in </w:t>
      </w:r>
      <w:r w:rsidR="006F28A3" w:rsidRPr="005D3F76">
        <w:rPr>
          <w:rFonts w:cs="Times New Roman"/>
          <w:szCs w:val="24"/>
        </w:rPr>
        <w:t>Learning Environments and Educational Studies</w:t>
      </w:r>
      <w:r w:rsidR="0079305C" w:rsidRPr="005D3F76">
        <w:rPr>
          <w:rFonts w:cs="Times New Roman"/>
          <w:szCs w:val="24"/>
        </w:rPr>
        <w:t xml:space="preserve"> (LEEDS</w:t>
      </w:r>
      <w:r w:rsidR="006F28A3" w:rsidRPr="005D3F76">
        <w:rPr>
          <w:rFonts w:cs="Times New Roman"/>
          <w:szCs w:val="24"/>
        </w:rPr>
        <w:t>)</w:t>
      </w:r>
      <w:r w:rsidRPr="005D3F76">
        <w:rPr>
          <w:rFonts w:cs="Times New Roman"/>
          <w:szCs w:val="24"/>
        </w:rPr>
        <w:t xml:space="preserve"> with</w:t>
      </w:r>
      <w:r w:rsidR="0079305C" w:rsidRPr="005D3F76">
        <w:rPr>
          <w:rFonts w:cs="Times New Roman"/>
          <w:szCs w:val="24"/>
        </w:rPr>
        <w:t xml:space="preserve"> a cognate in public policy</w:t>
      </w:r>
      <w:r w:rsidR="006F28A3" w:rsidRPr="005D3F76">
        <w:rPr>
          <w:rFonts w:cs="Times New Roman"/>
          <w:szCs w:val="24"/>
        </w:rPr>
        <w:t>.</w:t>
      </w:r>
    </w:p>
    <w:p w14:paraId="53434E75" w14:textId="490E664B" w:rsidR="006F28A3" w:rsidRPr="005D3F76" w:rsidRDefault="006F28A3" w:rsidP="006F28A3">
      <w:pPr>
        <w:spacing w:line="240" w:lineRule="auto"/>
        <w:rPr>
          <w:rFonts w:cs="Times New Roman"/>
          <w:szCs w:val="24"/>
        </w:rPr>
      </w:pPr>
      <w:r w:rsidRPr="005D3F76">
        <w:rPr>
          <w:rFonts w:cs="Times New Roman"/>
          <w:szCs w:val="24"/>
        </w:rPr>
        <w:tab/>
      </w:r>
      <w:r w:rsidR="00FD6CBD" w:rsidRPr="005D3F76">
        <w:rPr>
          <w:rFonts w:cs="Times New Roman"/>
          <w:szCs w:val="24"/>
        </w:rPr>
        <w:t xml:space="preserve">Today, </w:t>
      </w:r>
      <w:r w:rsidRPr="005D3F76">
        <w:rPr>
          <w:rFonts w:cs="Times New Roman"/>
          <w:szCs w:val="24"/>
        </w:rPr>
        <w:t xml:space="preserve">Dr. Harness </w:t>
      </w:r>
      <w:r w:rsidR="00FD6CBD" w:rsidRPr="005D3F76">
        <w:rPr>
          <w:rFonts w:cs="Times New Roman"/>
          <w:szCs w:val="24"/>
        </w:rPr>
        <w:t xml:space="preserve">is </w:t>
      </w:r>
      <w:r w:rsidRPr="005D3F76">
        <w:rPr>
          <w:rFonts w:cs="Times New Roman"/>
          <w:szCs w:val="24"/>
        </w:rPr>
        <w:t>conti</w:t>
      </w:r>
      <w:r w:rsidR="00FD6CBD" w:rsidRPr="005D3F76">
        <w:rPr>
          <w:rFonts w:cs="Times New Roman"/>
          <w:szCs w:val="24"/>
        </w:rPr>
        <w:t>nuing to enhance her knowledge of</w:t>
      </w:r>
      <w:r w:rsidRPr="005D3F76">
        <w:rPr>
          <w:rFonts w:cs="Times New Roman"/>
          <w:szCs w:val="24"/>
        </w:rPr>
        <w:t xml:space="preserve"> public policy and government by </w:t>
      </w:r>
      <w:r w:rsidR="00B13760" w:rsidRPr="005D3F76">
        <w:rPr>
          <w:rFonts w:cs="Times New Roman"/>
          <w:szCs w:val="24"/>
        </w:rPr>
        <w:t>pursuing a Doctor of Jurisprudence (JD)</w:t>
      </w:r>
      <w:r w:rsidRPr="005D3F76">
        <w:rPr>
          <w:rFonts w:cs="Times New Roman"/>
          <w:szCs w:val="24"/>
        </w:rPr>
        <w:t xml:space="preserve"> at the University of the District of Columbia, David A. Clarke School of Law in Washington, D.C. </w:t>
      </w:r>
      <w:r w:rsidR="0095233D" w:rsidRPr="005D3F76">
        <w:rPr>
          <w:rFonts w:cs="Times New Roman"/>
          <w:szCs w:val="24"/>
        </w:rPr>
        <w:t>Using the knowledge she gains while pursuing her JD, she will be able to provide and implement programs and policies on the local, state and federal levels of government to further enhance the education of students while promoting the interests of al</w:t>
      </w:r>
      <w:r w:rsidR="00B602BC" w:rsidRPr="005D3F76">
        <w:rPr>
          <w:rFonts w:cs="Times New Roman"/>
          <w:szCs w:val="24"/>
        </w:rPr>
        <w:t>l parties within the education</w:t>
      </w:r>
      <w:r w:rsidR="0095233D" w:rsidRPr="005D3F76">
        <w:rPr>
          <w:rFonts w:cs="Times New Roman"/>
          <w:szCs w:val="24"/>
        </w:rPr>
        <w:t xml:space="preserve"> system. </w:t>
      </w:r>
      <w:r w:rsidRPr="005D3F76">
        <w:rPr>
          <w:rFonts w:cs="Times New Roman"/>
          <w:szCs w:val="24"/>
        </w:rPr>
        <w:t>She will be joined by her youngest son</w:t>
      </w:r>
      <w:r w:rsidR="00B602BC" w:rsidRPr="005D3F76">
        <w:rPr>
          <w:rFonts w:cs="Times New Roman"/>
          <w:szCs w:val="24"/>
        </w:rPr>
        <w:t xml:space="preserve">, Sam, her </w:t>
      </w:r>
      <w:r w:rsidRPr="005D3F76">
        <w:rPr>
          <w:rFonts w:cs="Times New Roman"/>
          <w:szCs w:val="24"/>
        </w:rPr>
        <w:t>husband</w:t>
      </w:r>
      <w:r w:rsidR="00B602BC" w:rsidRPr="005D3F76">
        <w:rPr>
          <w:rFonts w:cs="Times New Roman"/>
          <w:szCs w:val="24"/>
        </w:rPr>
        <w:t>, Adam</w:t>
      </w:r>
      <w:r w:rsidRPr="005D3F76">
        <w:rPr>
          <w:rFonts w:cs="Times New Roman"/>
          <w:szCs w:val="24"/>
        </w:rPr>
        <w:t>, and their dog</w:t>
      </w:r>
      <w:r w:rsidR="00B602BC" w:rsidRPr="005D3F76">
        <w:rPr>
          <w:rFonts w:cs="Times New Roman"/>
          <w:szCs w:val="24"/>
        </w:rPr>
        <w:t>,</w:t>
      </w:r>
      <w:r w:rsidRPr="005D3F76">
        <w:rPr>
          <w:rFonts w:cs="Times New Roman"/>
          <w:szCs w:val="24"/>
        </w:rPr>
        <w:t xml:space="preserve"> Roxy</w:t>
      </w:r>
      <w:r w:rsidR="00B602BC" w:rsidRPr="005D3F76">
        <w:rPr>
          <w:rFonts w:cs="Times New Roman"/>
          <w:szCs w:val="24"/>
        </w:rPr>
        <w:t>,</w:t>
      </w:r>
      <w:r w:rsidRPr="005D3F76">
        <w:rPr>
          <w:rFonts w:cs="Times New Roman"/>
          <w:szCs w:val="24"/>
        </w:rPr>
        <w:t xml:space="preserve"> in D.C.</w:t>
      </w:r>
    </w:p>
    <w:p w14:paraId="257304E5" w14:textId="744DC76C" w:rsidR="00C6726B" w:rsidRPr="005D3F76" w:rsidRDefault="006F28A3" w:rsidP="0079305C">
      <w:pPr>
        <w:spacing w:line="240" w:lineRule="auto"/>
        <w:rPr>
          <w:rFonts w:cs="Times New Roman"/>
          <w:szCs w:val="24"/>
        </w:rPr>
      </w:pPr>
      <w:r w:rsidRPr="005D3F76">
        <w:rPr>
          <w:rFonts w:cs="Times New Roman"/>
          <w:szCs w:val="24"/>
        </w:rPr>
        <w:tab/>
        <w:t>Dr. Harness</w:t>
      </w:r>
      <w:r w:rsidR="00FD6CBD" w:rsidRPr="005D3F76">
        <w:rPr>
          <w:rFonts w:cs="Times New Roman"/>
          <w:szCs w:val="24"/>
        </w:rPr>
        <w:t>,</w:t>
      </w:r>
      <w:r w:rsidRPr="005D3F76">
        <w:rPr>
          <w:rFonts w:cs="Times New Roman"/>
          <w:szCs w:val="24"/>
        </w:rPr>
        <w:t xml:space="preserve"> in addition to attending law school</w:t>
      </w:r>
      <w:r w:rsidR="00FD6CBD" w:rsidRPr="005D3F76">
        <w:rPr>
          <w:rFonts w:cs="Times New Roman"/>
          <w:szCs w:val="24"/>
        </w:rPr>
        <w:t>,</w:t>
      </w:r>
      <w:r w:rsidRPr="005D3F76">
        <w:rPr>
          <w:rFonts w:cs="Times New Roman"/>
          <w:szCs w:val="24"/>
        </w:rPr>
        <w:t xml:space="preserve"> is currently working on a series of articles and papers dealing with teacher unions and public policy pertaining to social justice issues for several conferences for 2016-2017. She also hopes to complete several </w:t>
      </w:r>
      <w:r w:rsidR="00FD6CBD" w:rsidRPr="005D3F76">
        <w:rPr>
          <w:rFonts w:cs="Times New Roman"/>
          <w:szCs w:val="24"/>
        </w:rPr>
        <w:t>publications by the end of 2019 in the education, government, and legal fields.</w:t>
      </w:r>
    </w:p>
    <w:sectPr w:rsidR="00C6726B" w:rsidRPr="005D3F76" w:rsidSect="003D72CB">
      <w:endnotePr>
        <w:numRestart w:val="eachSect"/>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386E3" w14:textId="77777777" w:rsidR="0079305C" w:rsidRDefault="0079305C" w:rsidP="00DC6D2F">
      <w:pPr>
        <w:spacing w:line="240" w:lineRule="auto"/>
      </w:pPr>
      <w:r>
        <w:separator/>
      </w:r>
    </w:p>
  </w:endnote>
  <w:endnote w:type="continuationSeparator" w:id="0">
    <w:p w14:paraId="70EDE6EA" w14:textId="77777777" w:rsidR="0079305C" w:rsidRDefault="0079305C" w:rsidP="00DC6D2F">
      <w:pPr>
        <w:spacing w:line="240" w:lineRule="auto"/>
      </w:pPr>
      <w:r>
        <w:continuationSeparator/>
      </w:r>
    </w:p>
  </w:endnote>
  <w:endnote w:id="1">
    <w:p w14:paraId="43B2B1D6" w14:textId="7BEA8BC2" w:rsidR="0079305C" w:rsidRDefault="0079305C" w:rsidP="00DC6D2F">
      <w:pPr>
        <w:pStyle w:val="EndnoteText"/>
      </w:pPr>
      <w:r>
        <w:rPr>
          <w:rStyle w:val="EndnoteReference"/>
        </w:rPr>
        <w:endnoteRef/>
      </w:r>
      <w:r>
        <w:t xml:space="preserve"> </w:t>
      </w:r>
      <w:r w:rsidRPr="00385D33">
        <w:t>In my thesis, the main claim is that public school teaching in the United States has not, nor will ever be treated as what our society refers to as a ‘true profession.’ In regards to ‘true professions,’ the argument is made that when one in U.S. society speaks of a ‘true profession,’ most regard medicine, law, and clergy as those that belong to the relegated understanding of what it means to belong to a specialized group of individuals, with specialized skills, and barred membership to only certain individuals. The work analyzes these perceptions and makes the case through them why teaching never can nor will be allowed to belong to the ‘true professions.’ Further, teacher unions are examined momentarily as a ‘perceived’ counter-example of how individuals in the field of teaching can still hold a dichotomous positionality wi</w:t>
      </w:r>
      <w:r>
        <w:t>thin society, as both blue collar</w:t>
      </w:r>
      <w:r w:rsidRPr="00385D33">
        <w:t xml:space="preserve"> (belonging to teacher unions), and ‘professionals’ (white collar). It is not my intention nor my desire in this endeavor to argue whether or not teaching because of the unions is blue or white collared, or whether it makes teaching more or less professional.  I am hoping to show how and why the unions are and continue to be an important part of education in the U.S.</w:t>
      </w:r>
    </w:p>
  </w:endnote>
  <w:endnote w:id="2">
    <w:p w14:paraId="395D4578" w14:textId="0845E502" w:rsidR="0079305C" w:rsidRDefault="0079305C" w:rsidP="00DC6D2F">
      <w:pPr>
        <w:pStyle w:val="EndnoteText"/>
      </w:pPr>
      <w:r>
        <w:rPr>
          <w:rStyle w:val="EndnoteReference"/>
        </w:rPr>
        <w:endnoteRef/>
      </w:r>
      <w:r>
        <w:t xml:space="preserve"> The ACT 10 bill is also known as the Wisconsin Budget Repair Bill, was passed to tackle the 2011 projected $3.6 billion budget deficit in the state of Wisconsin. ACT 10 was legislation that impacted public sector unions by severely limiting collective bargaining rights, compensation for health and retirement benefits, and curtailing sick leave and overtime pay </w:t>
      </w:r>
      <w:r>
        <w:fldChar w:fldCharType="begin"/>
      </w:r>
      <w:r>
        <w:instrText xml:space="preserve"> ADDIN EN.CITE &lt;EndNote&gt;&lt;Cite&gt;&lt;Year&gt;2011&lt;/Year&gt;&lt;RecNum&gt;214&lt;/RecNum&gt;&lt;DisplayText&gt;(&amp;quot;Wisconsin ACT 10,&amp;quot; 2011)&lt;/DisplayText&gt;&lt;record&gt;&lt;rec-number&gt;214&lt;/rec-number&gt;&lt;foreign-keys&gt;&lt;key app="EN" db-id="etwareaz8xpxz3et59b50d9vxrata9z2w2zt" timestamp="1461536825"&gt;214&lt;/key&gt;&lt;/foreign-keys&gt;&lt;ref-type name="Statute"&gt;31&lt;/ref-type&gt;&lt;contributors&gt;&lt;/contributors&gt;&lt;titles&gt;&lt;title&gt;Wisconsin ACT 10&lt;/title&gt;&lt;/titles&gt;&lt;dates&gt;&lt;year&gt;2011&lt;/year&gt;&lt;pub-dates&gt;&lt;date&gt;March 11, 2011&lt;/date&gt;&lt;/pub-dates&gt;&lt;/dates&gt;&lt;pub-location&gt;USA&lt;/pub-location&gt;&lt;publisher&gt;Assembly Bill 11&lt;/publisher&gt;&lt;urls&gt;&lt;/urls&gt;&lt;/record&gt;&lt;/Cite&gt;&lt;/EndNote&gt;</w:instrText>
      </w:r>
      <w:r>
        <w:fldChar w:fldCharType="separate"/>
      </w:r>
      <w:r>
        <w:rPr>
          <w:noProof/>
        </w:rPr>
        <w:t>("Wisconsin ACT 10," 2011)</w:t>
      </w:r>
      <w:r>
        <w:fldChar w:fldCharType="end"/>
      </w:r>
      <w:r>
        <w:t>.</w:t>
      </w:r>
    </w:p>
  </w:endnote>
  <w:endnote w:id="3">
    <w:p w14:paraId="4A3EE78E" w14:textId="77777777" w:rsidR="0079305C" w:rsidRDefault="0079305C" w:rsidP="00DC6D2F">
      <w:pPr>
        <w:pStyle w:val="EndnoteText"/>
      </w:pPr>
      <w:r>
        <w:rPr>
          <w:rStyle w:val="EndnoteReference"/>
        </w:rPr>
        <w:endnoteRef/>
      </w:r>
      <w:r>
        <w:t xml:space="preserve"> From this point forward in this body of research the term mass media will be denoted simply with the term ‘media.’ The term ‘media’ denotes the ideas surrounding the definition of mass media that is provided within the research that follows, and does not represent just one particular genre of media unless specified otherwise, as will be the case with the analysis of the research material which includes newspaper articles. </w:t>
      </w:r>
    </w:p>
  </w:endnote>
  <w:endnote w:id="4">
    <w:p w14:paraId="6A46200E" w14:textId="77777777" w:rsidR="0079305C" w:rsidRDefault="0079305C" w:rsidP="00DA365C">
      <w:pPr>
        <w:pStyle w:val="EndnoteText"/>
      </w:pPr>
      <w:r>
        <w:rPr>
          <w:rStyle w:val="EndnoteReference"/>
        </w:rPr>
        <w:endnoteRef/>
      </w:r>
      <w:r>
        <w:t xml:space="preserve"> The word ‘craft’ in this body of research is derived from “the Teutonic origin, where its original meaning had to do with strength, force, power, virtue” </w:t>
      </w:r>
      <w:r>
        <w:fldChar w:fldCharType="begin"/>
      </w:r>
      <w:r>
        <w:instrText xml:space="preserve"> ADDIN EN.CITE &lt;EndNote&gt;&lt;Cite&gt;&lt;Author&gt;Risatti&lt;/Author&gt;&lt;Year&gt;2007&lt;/Year&gt;&lt;RecNum&gt;216&lt;/RecNum&gt;&lt;Pages&gt;16&lt;/Pages&gt;&lt;DisplayText&gt;(Risatti, 2007, p. 16)&lt;/DisplayText&gt;&lt;record&gt;&lt;rec-number&gt;216&lt;/rec-number&gt;&lt;foreign-keys&gt;&lt;key app="EN" db-id="etwareaz8xpxz3et59b50d9vxrata9z2w2zt" timestamp="1461625340"&gt;216&lt;/key&gt;&lt;/foreign-keys&gt;&lt;ref-type name="Book"&gt;6&lt;/ref-type&gt;&lt;contributors&gt;&lt;authors&gt;&lt;author&gt;Howard Risatti&lt;/author&gt;&lt;/authors&gt;&lt;/contributors&gt;&lt;titles&gt;&lt;title&gt;A Theory of Craft: Function and Aesthetic Expression&lt;/title&gt;&lt;/titles&gt;&lt;dates&gt;&lt;year&gt;2007&lt;/year&gt;&lt;/dates&gt;&lt;pub-location&gt;North Carolina&lt;/pub-location&gt;&lt;publisher&gt;The University of North Carolina Press&lt;/publisher&gt;&lt;urls&gt;&lt;/urls&gt;&lt;/record&gt;&lt;/Cite&gt;&lt;/EndNote&gt;</w:instrText>
      </w:r>
      <w:r>
        <w:fldChar w:fldCharType="separate"/>
      </w:r>
      <w:r>
        <w:rPr>
          <w:noProof/>
        </w:rPr>
        <w:t>(Risatti, 2007, p. 16)</w:t>
      </w:r>
      <w:r>
        <w:fldChar w:fldCharType="end"/>
      </w:r>
      <w:r>
        <w:t xml:space="preserve">. In this same sense it has come to mean a skilled occupation where an emphasis on planning and performing technical knowledge and technical skill are required “to make an object come into being” (p. 17). An example of a ‘craft’ profession could be someone who blows glass or does carpentry. </w:t>
      </w:r>
    </w:p>
  </w:endnote>
  <w:endnote w:id="5">
    <w:p w14:paraId="1F48A163" w14:textId="77777777" w:rsidR="0079305C" w:rsidRDefault="0079305C" w:rsidP="00DA365C">
      <w:pPr>
        <w:pStyle w:val="EndnoteText"/>
      </w:pPr>
      <w:r>
        <w:rPr>
          <w:rStyle w:val="EndnoteReference"/>
        </w:rPr>
        <w:endnoteRef/>
      </w:r>
      <w:r>
        <w:t xml:space="preserve"> The Commerce Clause of the U.S. according to Farlex Legal Dictionary (2003-2016) refers to the exclusive power given to Congress “over trade activities among the states and with foreign countries and Indian tribes” </w:t>
      </w:r>
      <w:r>
        <w:fldChar w:fldCharType="begin"/>
      </w:r>
      <w:r>
        <w:instrText xml:space="preserve"> ADDIN EN.CITE &lt;EndNote&gt;&lt;Cite ExcludeAuth="1" ExcludeYear="1"&gt;&lt;Author&gt;Farlex&lt;/Author&gt;&lt;Year&gt;2003-2016&lt;/Year&gt;&lt;RecNum&gt;62&lt;/RecNum&gt;&lt;Suffix&gt;para. 1&lt;/Suffix&gt;&lt;DisplayText&gt;(para. 1)&lt;/DisplayText&gt;&lt;record&gt;&lt;rec-number&gt;62&lt;/rec-number&gt;&lt;foreign-keys&gt;&lt;key app="EN" db-id="etwareaz8xpxz3et59b50d9vxrata9z2w2zt" timestamp="1453574800"&gt;62&lt;/key&gt;&lt;/foreign-keys&gt;&lt;ref-type name="Web Page"&gt;12&lt;/ref-type&gt;&lt;contributors&gt;&lt;authors&gt;&lt;author&gt;Farlex&lt;/author&gt;&lt;/authors&gt;&lt;secondary-authors&gt;&lt;author&gt;Farlex &lt;/author&gt;&lt;/secondary-authors&gt;&lt;/contributors&gt;&lt;titles&gt;&lt;title&gt;Commerce Clause&lt;/title&gt;&lt;secondary-title&gt;Farlex The Free Dictionary&lt;/secondary-title&gt;&lt;/titles&gt;&lt;volume&gt;2016&lt;/volume&gt;&lt;number&gt;January&lt;/number&gt;&lt;dates&gt;&lt;year&gt;2003-2016&lt;/year&gt;&lt;/dates&gt;&lt;urls&gt;&lt;related-urls&gt;&lt;url&gt;http://legal-dictionary.thefreedictionary.com/Commerce+Clause&lt;/url&gt;&lt;/related-urls&gt;&lt;/urls&gt;&lt;/record&gt;&lt;/Cite&gt;&lt;/EndNote&gt;</w:instrText>
      </w:r>
      <w:r>
        <w:fldChar w:fldCharType="separate"/>
      </w:r>
      <w:r>
        <w:rPr>
          <w:noProof/>
        </w:rPr>
        <w:t>(para. 1)</w:t>
      </w:r>
      <w:r>
        <w:fldChar w:fldCharType="end"/>
      </w:r>
      <w:r>
        <w:t xml:space="preserve">. </w:t>
      </w:r>
      <w:r>
        <w:rPr>
          <w:i/>
        </w:rPr>
        <w:t xml:space="preserve">Whether any transaction constitutes interstate or intrastate commerce depends on the essential character of what is done and the surrounding circumstances. The courts take a commonsense approach in examining the established course of business in order to distinguish where interstate commerce ends and local commerce begins. If activities that are intrastate in character have such a substantial effect on interstate commerce that their control is essential to protect commerce from being burdened, Congress may not be denied the power to exercise that control </w:t>
      </w:r>
      <w:r>
        <w:rPr>
          <w:i/>
        </w:rPr>
        <w:fldChar w:fldCharType="begin"/>
      </w:r>
      <w:r>
        <w:rPr>
          <w:i/>
        </w:rPr>
        <w:instrText xml:space="preserve"> ADDIN EN.CITE &lt;EndNote&gt;&lt;Cite&gt;&lt;Author&gt;Farlex&lt;/Author&gt;&lt;Year&gt;2003-2016&lt;/Year&gt;&lt;RecNum&gt;62&lt;/RecNum&gt;&lt;Suffix&gt; para. 14&lt;/Suffix&gt;&lt;DisplayText&gt;(Farlex, 2003-2016 para. 14)&lt;/DisplayText&gt;&lt;record&gt;&lt;rec-number&gt;62&lt;/rec-number&gt;&lt;foreign-keys&gt;&lt;key app="EN" db-id="etwareaz8xpxz3et59b50d9vxrata9z2w2zt" timestamp="1453574800"&gt;62&lt;/key&gt;&lt;/foreign-keys&gt;&lt;ref-type name="Web Page"&gt;12&lt;/ref-type&gt;&lt;contributors&gt;&lt;authors&gt;&lt;author&gt;Farlex&lt;/author&gt;&lt;/authors&gt;&lt;secondary-authors&gt;&lt;author&gt;Farlex &lt;/author&gt;&lt;/secondary-authors&gt;&lt;/contributors&gt;&lt;titles&gt;&lt;title&gt;Commerce Clause&lt;/title&gt;&lt;secondary-title&gt;Farlex The Free Dictionary&lt;/secondary-title&gt;&lt;/titles&gt;&lt;volume&gt;2016&lt;/volume&gt;&lt;number&gt;January&lt;/number&gt;&lt;dates&gt;&lt;year&gt;2003-2016&lt;/year&gt;&lt;/dates&gt;&lt;urls&gt;&lt;related-urls&gt;&lt;url&gt;http://legal-dictionary.thefreedictionary.com/Commerce+Clause&lt;/url&gt;&lt;/related-urls&gt;&lt;/urls&gt;&lt;/record&gt;&lt;/Cite&gt;&lt;/EndNote&gt;</w:instrText>
      </w:r>
      <w:r>
        <w:rPr>
          <w:i/>
        </w:rPr>
        <w:fldChar w:fldCharType="separate"/>
      </w:r>
      <w:r>
        <w:rPr>
          <w:i/>
          <w:noProof/>
        </w:rPr>
        <w:t>(Farlex, 2003-2016 para. 14)</w:t>
      </w:r>
      <w:r>
        <w:rPr>
          <w:i/>
        </w:rPr>
        <w:fldChar w:fldCharType="end"/>
      </w:r>
      <w:r>
        <w:rPr>
          <w:i/>
        </w:rPr>
        <w:t>.</w:t>
      </w:r>
      <w:r>
        <w:t xml:space="preserve"> </w:t>
      </w:r>
    </w:p>
  </w:endnote>
  <w:endnote w:id="6">
    <w:p w14:paraId="406426CF" w14:textId="2AA372B8" w:rsidR="0079305C" w:rsidRPr="008F06BB" w:rsidRDefault="0079305C" w:rsidP="00DA365C">
      <w:pPr>
        <w:pStyle w:val="EndnoteText"/>
      </w:pPr>
      <w:r>
        <w:rPr>
          <w:rStyle w:val="EndnoteReference"/>
        </w:rPr>
        <w:endnoteRef/>
      </w:r>
      <w:r>
        <w:t xml:space="preserve"> The </w:t>
      </w:r>
      <w:r>
        <w:rPr>
          <w:i/>
        </w:rPr>
        <w:t>Watergate Crisis</w:t>
      </w:r>
      <w:r>
        <w:t xml:space="preserve"> took place in </w:t>
      </w:r>
      <w:r w:rsidRPr="002D17D5">
        <w:rPr>
          <w:i/>
        </w:rPr>
        <w:t>1972</w:t>
      </w:r>
      <w:r>
        <w:t xml:space="preserve"> when “several burglars were arrested inside the office of the Democratic National Committee (DNC), located in the Watergate building in Washington D.C.” </w:t>
      </w:r>
      <w:r>
        <w:fldChar w:fldCharType="begin"/>
      </w:r>
      <w:r>
        <w:instrText xml:space="preserve"> ADDIN EN.CITE &lt;EndNote&gt;&lt;Cite&gt;&lt;Author&gt;Channel&lt;/Author&gt;&lt;Year&gt;2016&lt;/Year&gt;&lt;RecNum&gt;61&lt;/RecNum&gt;&lt;Suffix&gt; para. 1&lt;/Suffix&gt;&lt;DisplayText&gt;(The History Channel, 2016 para. 1)&lt;/DisplayText&gt;&lt;record&gt;&lt;rec-number&gt;61&lt;/rec-number&gt;&lt;foreign-keys&gt;&lt;key app="EN" db-id="etwareaz8xpxz3et59b50d9vxrata9z2w2zt" timestamp="1453567899"&gt;61&lt;/key&gt;&lt;/foreign-keys&gt;&lt;ref-type name="Online Multimedia"&gt;48&lt;/ref-type&gt;&lt;contributors&gt;&lt;authors&gt;&lt;author&gt;The History Channel,&lt;/author&gt;&lt;/authors&gt;&lt;secondary-authors&gt;&lt;author&gt;A&amp;amp;E Televeision Networks, LLC&lt;/author&gt;&lt;/secondary-authors&gt;&lt;/contributors&gt;&lt;titles&gt;&lt;title&gt;Watergate Scandal Introducction&lt;/title&gt;&lt;/titles&gt;&lt;dates&gt;&lt;year&gt;2016&lt;/year&gt;&lt;pub-dates&gt;&lt;date&gt;January 2016&lt;/date&gt;&lt;/pub-dates&gt;&lt;/dates&gt;&lt;urls&gt;&lt;related-urls&gt;&lt;url&gt;http://www.history.com/topics/watergate&lt;/url&gt;&lt;/related-urls&gt;&lt;/urls&gt;&lt;/record&gt;&lt;/Cite&gt;&lt;/EndNote&gt;</w:instrText>
      </w:r>
      <w:r>
        <w:fldChar w:fldCharType="separate"/>
      </w:r>
      <w:r>
        <w:rPr>
          <w:noProof/>
        </w:rPr>
        <w:t>(The History Channel, 2016 para. 1)</w:t>
      </w:r>
      <w:r>
        <w:fldChar w:fldCharType="end"/>
      </w:r>
      <w:r>
        <w:t xml:space="preserve">. The burglars were found trying to “wiretap phones and steal secret documents” </w:t>
      </w:r>
      <w:r>
        <w:fldChar w:fldCharType="begin"/>
      </w:r>
      <w:r>
        <w:instrText xml:space="preserve"> ADDIN EN.CITE &lt;EndNote&gt;&lt;Cite&gt;&lt;Author&gt;Channel&lt;/Author&gt;&lt;Year&gt;2016&lt;/Year&gt;&lt;RecNum&gt;61&lt;/RecNum&gt;&lt;Suffix&gt; para. 1&lt;/Suffix&gt;&lt;DisplayText&gt;(The History Channel, 2016 para. 1)&lt;/DisplayText&gt;&lt;record&gt;&lt;rec-number&gt;61&lt;/rec-number&gt;&lt;foreign-keys&gt;&lt;key app="EN" db-id="etwareaz8xpxz3et59b50d9vxrata9z2w2zt" timestamp="1453567899"&gt;61&lt;/key&gt;&lt;/foreign-keys&gt;&lt;ref-type name="Online Multimedia"&gt;48&lt;/ref-type&gt;&lt;contributors&gt;&lt;authors&gt;&lt;author&gt;The History Channel,&lt;/author&gt;&lt;/authors&gt;&lt;secondary-authors&gt;&lt;author&gt;A&amp;amp;E Televeision Networks, LLC&lt;/author&gt;&lt;/secondary-authors&gt;&lt;/contributors&gt;&lt;titles&gt;&lt;title&gt;Watergate Scandal Introducction&lt;/title&gt;&lt;/titles&gt;&lt;dates&gt;&lt;year&gt;2016&lt;/year&gt;&lt;pub-dates&gt;&lt;date&gt;January 2016&lt;/date&gt;&lt;/pub-dates&gt;&lt;/dates&gt;&lt;urls&gt;&lt;related-urls&gt;&lt;url&gt;http://www.history.com/topics/watergate&lt;/url&gt;&lt;/related-urls&gt;&lt;/urls&gt;&lt;/record&gt;&lt;/Cite&gt;&lt;/EndNote&gt;</w:instrText>
      </w:r>
      <w:r>
        <w:fldChar w:fldCharType="separate"/>
      </w:r>
      <w:r>
        <w:rPr>
          <w:noProof/>
        </w:rPr>
        <w:t>(The History Channel, 2016 para. 1)</w:t>
      </w:r>
      <w:r>
        <w:fldChar w:fldCharType="end"/>
      </w:r>
      <w:r>
        <w:t xml:space="preserve">. It is still not clear whether or not President Richard Nixon (Republican) who was president at the time, knew about the break in, but he did try to make it go away by bribing government officials and raising ‘hush money’ for the burglars. Nixon resigned in 1974 after it became clear after investigations that he had ‘paid-off’ people to make the incident go away. Later President Gerald Ford would pardon him for any involvement in the incident. Although Nixon was never tried for the crimes, the </w:t>
      </w:r>
      <w:r>
        <w:rPr>
          <w:i/>
        </w:rPr>
        <w:t>Watergate Crisis</w:t>
      </w:r>
      <w:r>
        <w:t xml:space="preserve"> “changed American politics forever,” and pushed a flood of Democrats into office, the opposite party of Nixon. People thought they could not trust the Republicans after the </w:t>
      </w:r>
      <w:r>
        <w:rPr>
          <w:i/>
        </w:rPr>
        <w:t>Watergate Crisis</w:t>
      </w:r>
      <w:r>
        <w:t>.</w:t>
      </w:r>
    </w:p>
  </w:endnote>
  <w:endnote w:id="7">
    <w:p w14:paraId="5D31B6DA" w14:textId="77777777" w:rsidR="0079305C" w:rsidRPr="002D17D5" w:rsidRDefault="0079305C" w:rsidP="00DA365C">
      <w:pPr>
        <w:pStyle w:val="EndnoteText"/>
      </w:pPr>
      <w:r>
        <w:rPr>
          <w:rStyle w:val="EndnoteReference"/>
        </w:rPr>
        <w:endnoteRef/>
      </w:r>
      <w:r>
        <w:t xml:space="preserve"> Some material in the following section comes directly from my book </w:t>
      </w:r>
      <w:r w:rsidRPr="00F9142E">
        <w:rPr>
          <w:i/>
        </w:rPr>
        <w:t>Pretending Teaching is a Profession: Why Public School Teaching Will Never Be Considered a True Profession</w:t>
      </w:r>
      <w:r>
        <w:t>. Quotation marks nor italicized writing will</w:t>
      </w:r>
      <w:r w:rsidRPr="002D17D5">
        <w:t xml:space="preserve"> be used in these sections.</w:t>
      </w:r>
    </w:p>
  </w:endnote>
  <w:endnote w:id="8">
    <w:p w14:paraId="5740B95D" w14:textId="77777777" w:rsidR="0079305C" w:rsidRDefault="0079305C" w:rsidP="00C56DF5">
      <w:pPr>
        <w:pStyle w:val="EndnoteText"/>
      </w:pPr>
      <w:r>
        <w:rPr>
          <w:rStyle w:val="EndnoteReference"/>
        </w:rPr>
        <w:endnoteRef/>
      </w:r>
      <w:r>
        <w:t xml:space="preserve"> Elite discourse refers to individuals (politicians, government officials, interest groups, and journalists)who’s primary activities involve politics or public affairs and "whom we depend, directly or indirectly, for information about the world” </w:t>
      </w:r>
      <w:r>
        <w:fldChar w:fldCharType="begin"/>
      </w:r>
      <w:r>
        <w:instrText xml:space="preserve"> ADDIN EN.CITE &lt;EndNote&gt;&lt;Cite&gt;&lt;Author&gt;Zaller&lt;/Author&gt;&lt;Year&gt;1992&lt;/Year&gt;&lt;RecNum&gt;152&lt;/RecNum&gt;&lt;Pages&gt;6&lt;/Pages&gt;&lt;DisplayText&gt;(Zaller, 1992, p. 6)&lt;/DisplayText&gt;&lt;record&gt;&lt;rec-number&gt;152&lt;/rec-number&gt;&lt;foreign-keys&gt;&lt;key app="EN" db-id="etwareaz8xpxz3et59b50d9vxrata9z2w2zt" timestamp="1456252789"&gt;152&lt;/key&gt;&lt;/foreign-keys&gt;&lt;ref-type name="Book"&gt;6&lt;/ref-type&gt;&lt;contributors&gt;&lt;authors&gt;&lt;author&gt;J. Zaller&lt;/author&gt;&lt;/authors&gt;&lt;/contributors&gt;&lt;titles&gt;&lt;title&gt;The Nature of Origins of Mass Opinion&lt;/title&gt;&lt;/titles&gt;&lt;dates&gt;&lt;year&gt;1992&lt;/year&gt;&lt;/dates&gt;&lt;pub-location&gt;Cambridge, UK&lt;/pub-location&gt;&lt;publisher&gt;Cambridge University Press&lt;/publisher&gt;&lt;urls&gt;&lt;/urls&gt;&lt;/record&gt;&lt;/Cite&gt;&lt;/EndNote&gt;</w:instrText>
      </w:r>
      <w:r>
        <w:fldChar w:fldCharType="separate"/>
      </w:r>
      <w:r>
        <w:rPr>
          <w:noProof/>
        </w:rPr>
        <w:t>(Zaller, 1992, p. 6)</w:t>
      </w:r>
      <w:r>
        <w:fldChar w:fldCharType="end"/>
      </w:r>
      <w:r>
        <w:t>.</w:t>
      </w:r>
    </w:p>
  </w:endnote>
  <w:endnote w:id="9">
    <w:p w14:paraId="6913FB66" w14:textId="77777777" w:rsidR="0079305C" w:rsidRDefault="0079305C" w:rsidP="00C56DF5">
      <w:pPr>
        <w:pStyle w:val="EndnoteText"/>
      </w:pPr>
      <w:r>
        <w:rPr>
          <w:rStyle w:val="EndnoteReference"/>
        </w:rPr>
        <w:endnoteRef/>
      </w:r>
      <w:r>
        <w:t xml:space="preserve"> Domination is defined here “as the exercise of social power by elites, institutions or groups, that result in social inequality, including political, cultural class, ethnic, racial and gender inequality” </w:t>
      </w:r>
      <w:r>
        <w:fldChar w:fldCharType="begin"/>
      </w:r>
      <w:r>
        <w:instrText xml:space="preserve"> ADDIN EN.CITE &lt;EndNote&gt;&lt;Cite&gt;&lt;Author&gt;Dijk&lt;/Author&gt;&lt;Year&gt;1993&lt;/Year&gt;&lt;RecNum&gt;154&lt;/RecNum&gt;&lt;Pages&gt;249-250&lt;/Pages&gt;&lt;DisplayText&gt;(van Dijk, 1993, pp. 249-250)&lt;/DisplayText&gt;&lt;record&gt;&lt;rec-number&gt;154&lt;/rec-number&gt;&lt;foreign-keys&gt;&lt;key app="EN" db-id="etwareaz8xpxz3et59b50d9vxrata9z2w2zt" timestamp="1456259031"&gt;154&lt;/key&gt;&lt;/foreign-keys&gt;&lt;ref-type name="Journal Article"&gt;17&lt;/ref-type&gt;&lt;contributors&gt;&lt;authors&gt;&lt;author&gt;van Dijk, Teun&lt;/author&gt;&lt;/authors&gt;&lt;/contributors&gt;&lt;titles&gt;&lt;title&gt;Principles of Critical Discourse Analysis&lt;/title&gt;&lt;secondary-title&gt;Discourse and Society&lt;/secondary-title&gt;&lt;/titles&gt;&lt;periodical&gt;&lt;full-title&gt;Discourse and Society&lt;/full-title&gt;&lt;/periodical&gt;&lt;dates&gt;&lt;year&gt;1993&lt;/year&gt;&lt;/dates&gt;&lt;urls&gt;&lt;/urls&gt;&lt;/record&gt;&lt;/Cite&gt;&lt;/EndNote&gt;</w:instrText>
      </w:r>
      <w:r>
        <w:fldChar w:fldCharType="separate"/>
      </w:r>
      <w:r>
        <w:rPr>
          <w:noProof/>
        </w:rPr>
        <w:t>(van Dijk, 1993, pp. 249-250)</w:t>
      </w:r>
      <w:r>
        <w:fldChar w:fldCharType="end"/>
      </w:r>
      <w:r>
        <w:t xml:space="preserve">. </w:t>
      </w:r>
    </w:p>
  </w:endnote>
  <w:endnote w:id="10">
    <w:p w14:paraId="3EA0775C" w14:textId="76B10972" w:rsidR="0079305C" w:rsidRPr="00481615" w:rsidRDefault="0079305C" w:rsidP="00C56DF5">
      <w:pPr>
        <w:pStyle w:val="EndnoteText"/>
      </w:pPr>
      <w:r>
        <w:rPr>
          <w:rStyle w:val="EndnoteReference"/>
        </w:rPr>
        <w:endnoteRef/>
      </w:r>
      <w:r>
        <w:t xml:space="preserve"> Critical theory is a sociological theory that seeks to explain and critique issues pertaining to power, which leads to various forms of oppression, hierarchy, subordination and domination; and other social justice issues like racism, classism, democracy and other highly debatable issues within modern societies. Critical theory is also concerned with the ways that social and cultural institutions interact to construct socially and politically the world around us. Schneider and Ingram </w:t>
      </w:r>
      <w:r>
        <w:fldChar w:fldCharType="begin"/>
      </w:r>
      <w:r>
        <w:instrText xml:space="preserve"> ADDIN EN.CITE &lt;EndNote&gt;&lt;Cite ExcludeAuth="1"&gt;&lt;Author&gt;Schneider&lt;/Author&gt;&lt;Year&gt;1997&lt;/Year&gt;&lt;RecNum&gt;164&lt;/RecNum&gt;&lt;DisplayText&gt;(1997)&lt;/DisplayText&gt;&lt;record&gt;&lt;rec-number&gt;164&lt;/rec-number&gt;&lt;foreign-keys&gt;&lt;key app="EN" db-id="etwareaz8xpxz3et59b50d9vxrata9z2w2zt" timestamp="1456772910"&gt;164&lt;/key&gt;&lt;/foreign-keys&gt;&lt;ref-type name="Book"&gt;6&lt;/ref-type&gt;&lt;contributors&gt;&lt;authors&gt;&lt;author&gt;A.L. Schneider&lt;/author&gt;&lt;author&gt;H. Ingram&lt;/author&gt;&lt;/authors&gt;&lt;/contributors&gt;&lt;titles&gt;&lt;title&gt;Policy Design for Democracy&lt;/title&gt;&lt;/titles&gt;&lt;dates&gt;&lt;year&gt;1997&lt;/year&gt;&lt;/dates&gt;&lt;pub-location&gt;Kansas&lt;/pub-location&gt;&lt;publisher&gt;University of Kansas&lt;/publisher&gt;&lt;urls&gt;&lt;/urls&gt;&lt;/record&gt;&lt;/Cite&gt;&lt;/EndNote&gt;</w:instrText>
      </w:r>
      <w:r>
        <w:fldChar w:fldCharType="separate"/>
      </w:r>
      <w:r>
        <w:rPr>
          <w:noProof/>
        </w:rPr>
        <w:t>(1997)</w:t>
      </w:r>
      <w:r>
        <w:fldChar w:fldCharType="end"/>
      </w:r>
      <w:r>
        <w:t xml:space="preserve"> write that critical theory has “in common an overriding concern with oppression and domination in modern advanced societies and a commitment to radically participatory nonhierarchical forms of political, economic, and social interaction” (p. 51). In essence, critical theory helps the researcher and reader to dig beneath the surface of issues in society and uncover unquestioned assumptions and long standing institutional affordances that keep individuals from full and true understanding of how the world around us really is working; it is essentially wanting to produce social change that “will empower, enlighten, and emancipate all people” (p. 51). According to Wodak (1993) the core concepts of critical theory are two-fold: </w:t>
      </w:r>
      <w:r w:rsidRPr="00BF56B5">
        <w:rPr>
          <w:i/>
        </w:rPr>
        <w:t>1. Critical</w:t>
      </w:r>
      <w:r>
        <w:rPr>
          <w:i/>
        </w:rPr>
        <w:t xml:space="preserve"> </w:t>
      </w:r>
      <w:r w:rsidRPr="00BF56B5">
        <w:rPr>
          <w:i/>
        </w:rPr>
        <w:t xml:space="preserve">Theory should be directed at the totality of society in its historical specificity; and 2. Critical </w:t>
      </w:r>
      <w:r>
        <w:rPr>
          <w:i/>
        </w:rPr>
        <w:t>t</w:t>
      </w:r>
      <w:r w:rsidRPr="00BF56B5">
        <w:rPr>
          <w:i/>
        </w:rPr>
        <w:t>heory should improve the understanding of society by integrating all the major social sciences, including economics, sociology, history, political science, anthropology and psychology</w:t>
      </w:r>
      <w:r>
        <w:rPr>
          <w:i/>
        </w:rPr>
        <w:t xml:space="preserve"> </w:t>
      </w:r>
    </w:p>
  </w:endnote>
  <w:endnote w:id="11">
    <w:p w14:paraId="2D0FCF34" w14:textId="77777777" w:rsidR="0079305C" w:rsidRDefault="0079305C" w:rsidP="00C56DF5">
      <w:pPr>
        <w:pStyle w:val="EndnoteText"/>
      </w:pPr>
      <w:r>
        <w:rPr>
          <w:rStyle w:val="EndnoteReference"/>
        </w:rPr>
        <w:endnoteRef/>
      </w:r>
      <w:r>
        <w:t xml:space="preserve"> Neo-Marxist refers to “forms of political philosophy which arise from adaptation of Marxist thought to accommodate or confront modern issues such as the global economy, the capitalist welfare state, and the stability of liberal democracies” </w:t>
      </w:r>
      <w:r>
        <w:fldChar w:fldCharType="begin"/>
      </w:r>
      <w:r>
        <w:instrText xml:space="preserve"> ADDIN EN.CITE &lt;EndNote&gt;&lt;Cite&gt;&lt;Author&gt;Dictionaries&lt;/Author&gt;&lt;Year&gt;2016&lt;/Year&gt;&lt;RecNum&gt;166&lt;/RecNum&gt;&lt;DisplayText&gt;(Oxford Dictionaries, 2016)&lt;/DisplayText&gt;&lt;record&gt;&lt;rec-number&gt;166&lt;/rec-number&gt;&lt;foreign-keys&gt;&lt;key app="EN" db-id="etwareaz8xpxz3et59b50d9vxrata9z2w2zt" timestamp="1456774289"&gt;166&lt;/key&gt;&lt;/foreign-keys&gt;&lt;ref-type name="Web Page"&gt;12&lt;/ref-type&gt;&lt;contributors&gt;&lt;authors&gt;&lt;author&gt;Oxford Dictionaries,&lt;/author&gt;&lt;/authors&gt;&lt;/contributors&gt;&lt;titles&gt;&lt;title&gt;Neo-Marxist&lt;/title&gt;&lt;/titles&gt;&lt;volume&gt;2016&lt;/volume&gt;&lt;number&gt;February&lt;/number&gt;&lt;dates&gt;&lt;year&gt;2016&lt;/year&gt;&lt;/dates&gt;&lt;pub-location&gt;Oxford&lt;/pub-location&gt;&lt;publisher&gt;Oxford University Press&lt;/publisher&gt;&lt;urls&gt;&lt;related-urls&gt;&lt;url&gt;http://www.oxforddictionaries.com/definition/english/neo-marxist&lt;/url&gt;&lt;/related-urls&gt;&lt;/urls&gt;&lt;/record&gt;&lt;/Cite&gt;&lt;/EndNote&gt;</w:instrText>
      </w:r>
      <w:r>
        <w:fldChar w:fldCharType="separate"/>
      </w:r>
      <w:r>
        <w:rPr>
          <w:noProof/>
        </w:rPr>
        <w:t>(Oxford Dictionaries, 2016)</w:t>
      </w:r>
      <w:r>
        <w:fldChar w:fldCharType="end"/>
      </w:r>
      <w:r>
        <w:t xml:space="preserve">. </w:t>
      </w:r>
    </w:p>
  </w:endnote>
  <w:endnote w:id="12">
    <w:p w14:paraId="528CBC01" w14:textId="77777777" w:rsidR="0079305C" w:rsidRDefault="0079305C" w:rsidP="00C56DF5">
      <w:pPr>
        <w:pStyle w:val="EndnoteText"/>
      </w:pPr>
      <w:r>
        <w:rPr>
          <w:rStyle w:val="EndnoteReference"/>
        </w:rPr>
        <w:endnoteRef/>
      </w:r>
      <w:r>
        <w:t xml:space="preserve"> Hegemony is simply “the social, cultural, ideological, or economic influence exerted by a dominate group” </w:t>
      </w:r>
      <w:r>
        <w:fldChar w:fldCharType="begin"/>
      </w:r>
      <w:r>
        <w:instrText xml:space="preserve"> ADDIN EN.CITE &lt;EndNote&gt;&lt;Cite&gt;&lt;Author&gt;Merriam-Webster&lt;/Author&gt;&lt;Year&gt;2015&lt;/Year&gt;&lt;RecNum&gt;165&lt;/RecNum&gt;&lt;DisplayText&gt;(Merriam-Webster, 2015)&lt;/DisplayText&gt;&lt;record&gt;&lt;rec-number&gt;165&lt;/rec-number&gt;&lt;foreign-keys&gt;&lt;key app="EN" db-id="etwareaz8xpxz3et59b50d9vxrata9z2w2zt" timestamp="1456773419"&gt;165&lt;/key&gt;&lt;/foreign-keys&gt;&lt;ref-type name="Web Page"&gt;12&lt;/ref-type&gt;&lt;contributors&gt;&lt;authors&gt;&lt;author&gt;Merriam-Webster,&lt;/author&gt;&lt;/authors&gt;&lt;/contributors&gt;&lt;titles&gt;&lt;title&gt;Hegemony&lt;/title&gt;&lt;/titles&gt;&lt;volume&gt;2016&lt;/volume&gt;&lt;number&gt;February&lt;/number&gt;&lt;dates&gt;&lt;year&gt;2015&lt;/year&gt;&lt;/dates&gt;&lt;publisher&gt;Merrian-Webster Incorporated&lt;/publisher&gt;&lt;urls&gt;&lt;related-urls&gt;&lt;url&gt;http://www.merriam-webster.com/dictionary/hegemony&lt;/url&gt;&lt;/related-urls&gt;&lt;/urls&gt;&lt;/record&gt;&lt;/Cite&gt;&lt;/EndNote&gt;</w:instrText>
      </w:r>
      <w:r>
        <w:fldChar w:fldCharType="separate"/>
      </w:r>
      <w:r>
        <w:rPr>
          <w:noProof/>
        </w:rPr>
        <w:t>(Merriam-Webster, 2015)</w:t>
      </w:r>
      <w:r>
        <w:fldChar w:fldCharType="end"/>
      </w:r>
      <w:r>
        <w:t xml:space="preserve">. Referring specifically to Antonio Gramsci, he refers to hegemony when describing how states use certain cultural institutions to preserve, legitimate, and normalize authority in capitalist societies </w:t>
      </w:r>
      <w:r>
        <w:fldChar w:fldCharType="begin"/>
      </w:r>
      <w:r>
        <w:instrText xml:space="preserve"> ADDIN EN.CITE &lt;EndNote&gt;&lt;Cite&gt;&lt;Author&gt;Gramsci&lt;/Author&gt;&lt;Year&gt;1971&lt;/Year&gt;&lt;RecNum&gt;3&lt;/RecNum&gt;&lt;DisplayText&gt;(Gramsci, 1971)&lt;/DisplayText&gt;&lt;record&gt;&lt;rec-number&gt;3&lt;/rec-number&gt;&lt;foreign-keys&gt;&lt;key app="EN" db-id="etwareaz8xpxz3et59b50d9vxrata9z2w2zt" timestamp="1444522353"&gt;3&lt;/key&gt;&lt;/foreign-keys&gt;&lt;ref-type name="Book"&gt;6&lt;/ref-type&gt;&lt;contributors&gt;&lt;authors&gt;&lt;author&gt;Antonio Gramsci&lt;/author&gt;&lt;/authors&gt;&lt;/contributors&gt;&lt;titles&gt;&lt;title&gt;Selections from the Prison Notebooks&lt;/title&gt;&lt;/titles&gt;&lt;dates&gt;&lt;year&gt;1971&lt;/year&gt;&lt;/dates&gt;&lt;pub-location&gt;London&lt;/pub-location&gt;&lt;publisher&gt;Lawrence and Wishart&lt;/publisher&gt;&lt;urls&gt;&lt;/urls&gt;&lt;/record&gt;&lt;/Cite&gt;&lt;/EndNote&gt;</w:instrText>
      </w:r>
      <w:r>
        <w:fldChar w:fldCharType="separate"/>
      </w:r>
      <w:r>
        <w:rPr>
          <w:noProof/>
        </w:rPr>
        <w:t>(Gramsci, 1971)</w:t>
      </w:r>
      <w:r>
        <w:fldChar w:fldCharType="end"/>
      </w:r>
      <w:r>
        <w:t>.</w:t>
      </w:r>
    </w:p>
  </w:endnote>
  <w:endnote w:id="13">
    <w:p w14:paraId="7C156274" w14:textId="77777777" w:rsidR="0079305C" w:rsidRPr="00C52587" w:rsidRDefault="0079305C" w:rsidP="00C56DF5">
      <w:pPr>
        <w:pStyle w:val="EndnoteText"/>
      </w:pPr>
      <w:r>
        <w:rPr>
          <w:rStyle w:val="EndnoteReference"/>
        </w:rPr>
        <w:endnoteRef/>
      </w:r>
      <w:r>
        <w:t xml:space="preserve"> Post-structuralism first emerged from France, and according to the </w:t>
      </w:r>
      <w:r>
        <w:rPr>
          <w:i/>
        </w:rPr>
        <w:t>Encyclopedia of Critical Psychology</w:t>
      </w:r>
      <w:r>
        <w:t xml:space="preserve"> is a term that at its “broadest level can be defined as a theoretical approach that seeks to push the focus of inquiry beyond knowable structures in the study of social behavior…Rather than drawing causal links between structures (be they economic, social, linguistic, or otherwise) and human behavior, post-structuralism seeks to interrogate the forms of knowledge, the logics, and the assumptions that underlie our actions and our interventions on the social” </w:t>
      </w:r>
      <w:r>
        <w:fldChar w:fldCharType="begin"/>
      </w:r>
      <w:r>
        <w:instrText xml:space="preserve"> ADDIN EN.CITE &lt;EndNote&gt;&lt;Cite&gt;&lt;Author&gt;Macleod&lt;/Author&gt;&lt;Year&gt;2014&lt;/Year&gt;&lt;RecNum&gt;168&lt;/RecNum&gt;&lt;DisplayText&gt;(Macleod &amp;amp; Palmer, 2014)&lt;/DisplayText&gt;&lt;record&gt;&lt;rec-number&gt;168&lt;/rec-number&gt;&lt;foreign-keys&gt;&lt;key app="EN" db-id="etwareaz8xpxz3et59b50d9vxrata9z2w2zt" timestamp="1456779065"&gt;168&lt;/key&gt;&lt;/foreign-keys&gt;&lt;ref-type name="Encyclopedia"&gt;53&lt;/ref-type&gt;&lt;contributors&gt;&lt;authors&gt;&lt;author&gt;Timothy Macleod&lt;/author&gt;&lt;author&gt;Matthew Palmer&lt;/author&gt;&lt;/authors&gt;&lt;secondary-authors&gt;&lt;author&gt;Thomas Teo&lt;/author&gt;&lt;/secondary-authors&gt;&lt;/contributors&gt;&lt;titles&gt;&lt;title&gt;Post-Structuralism&lt;/title&gt;&lt;secondary-title&gt;Encyclopedia &lt;/secondary-title&gt;&lt;/titles&gt;&lt;pages&gt;1460-1466&lt;/pages&gt;&lt;dates&gt;&lt;year&gt;2014&lt;/year&gt;&lt;/dates&gt;&lt;publisher&gt;Springer&lt;/publisher&gt;&lt;urls&gt;&lt;/urls&gt;&lt;/record&gt;&lt;/Cite&gt;&lt;/EndNote&gt;</w:instrText>
      </w:r>
      <w:r>
        <w:fldChar w:fldCharType="separate"/>
      </w:r>
      <w:r>
        <w:rPr>
          <w:noProof/>
        </w:rPr>
        <w:t>(Macleod &amp; Palmer, 2014)</w:t>
      </w:r>
      <w:r>
        <w:fldChar w:fldCharType="end"/>
      </w:r>
      <w:r>
        <w:t xml:space="preserve">.  </w:t>
      </w:r>
    </w:p>
  </w:endnote>
  <w:endnote w:id="14">
    <w:p w14:paraId="5B6EF227" w14:textId="77777777" w:rsidR="0079305C" w:rsidRDefault="0079305C" w:rsidP="00C56DF5">
      <w:pPr>
        <w:pStyle w:val="EndnoteText"/>
      </w:pPr>
      <w:r>
        <w:rPr>
          <w:rStyle w:val="EndnoteReference"/>
        </w:rPr>
        <w:endnoteRef/>
      </w:r>
      <w:r>
        <w:t xml:space="preserve"> A medium within media studies is a particular means of production, i.e. television, newspaper, or magazine </w:t>
      </w:r>
      <w:r>
        <w:fldChar w:fldCharType="begin"/>
      </w:r>
      <w:r>
        <w:instrText xml:space="preserve"> ADDIN EN.CITE &lt;EndNote&gt;&lt;Cite&gt;&lt;Author&gt;Leighley&lt;/Author&gt;&lt;Year&gt;2004&lt;/Year&gt;&lt;RecNum&gt;282&lt;/RecNum&gt;&lt;DisplayText&gt;(Leighley, 2004b)&lt;/DisplayText&gt;&lt;record&gt;&lt;rec-number&gt;282&lt;/rec-number&gt;&lt;foreign-keys&gt;&lt;key app="EN" db-id="etwareaz8xpxz3et59b50d9vxrata9z2w2zt" timestamp="1465681872"&gt;282&lt;/key&gt;&lt;/foreign-keys&gt;&lt;ref-type name="Book"&gt;6&lt;/ref-type&gt;&lt;contributors&gt;&lt;authors&gt;&lt;author&gt;Jan E. Leighley&lt;/author&gt;&lt;/authors&gt;&lt;secondary-authors&gt;&lt;author&gt;Allan J. Cigler&lt;/author&gt;&lt;/secondary-authors&gt;&lt;/contributors&gt;&lt;titles&gt;&lt;title&gt;Mass Media and Politics: A Social Science Perspective&lt;/title&gt;&lt;/titles&gt;&lt;dates&gt;&lt;year&gt;2004&lt;/year&gt;&lt;/dates&gt;&lt;pub-location&gt;New York&lt;/pub-location&gt;&lt;publisher&gt;Houghton Mifflin Company&lt;/publisher&gt;&lt;urls&gt;&lt;/urls&gt;&lt;/record&gt;&lt;/Cite&gt;&lt;/EndNote&gt;</w:instrText>
      </w:r>
      <w:r>
        <w:fldChar w:fldCharType="separate"/>
      </w:r>
      <w:r>
        <w:rPr>
          <w:noProof/>
        </w:rPr>
        <w:t>(Leighley, 2004b)</w:t>
      </w:r>
      <w:r>
        <w:fldChar w:fldCharType="end"/>
      </w:r>
      <w:r>
        <w:t xml:space="preserve">. </w:t>
      </w:r>
    </w:p>
  </w:endnote>
  <w:endnote w:id="15">
    <w:p w14:paraId="4A4C9F4E" w14:textId="5AC6B337" w:rsidR="0079305C" w:rsidRDefault="0079305C" w:rsidP="00C56DF5">
      <w:pPr>
        <w:pStyle w:val="EndnoteText"/>
      </w:pPr>
      <w:r>
        <w:rPr>
          <w:rStyle w:val="EndnoteReference"/>
        </w:rPr>
        <w:endnoteRef/>
      </w:r>
      <w:r>
        <w:t xml:space="preserve"> Techniques of media can vary by genre. However, for newspapers the techniques are defined as a way that their paper is executed on a daily basis, this includes everything from the headlines to the layout and font size. The techniques for newspapers also regularly include the following: special consideration of language: word choice, the use of similes, humor, and captions, a difference in a point of view, adjectives, and questions, the type of tense or statistics used, and sentence structure </w:t>
      </w:r>
      <w:r>
        <w:fldChar w:fldCharType="begin"/>
      </w:r>
      <w:r>
        <w:instrText xml:space="preserve"> ADDIN EN.CITE &lt;EndNote&gt;&lt;Cite&gt;&lt;Author&gt;Molina&lt;/Author&gt;&lt;Year&gt;1997&lt;/Year&gt;&lt;RecNum&gt;202&lt;/RecNum&gt;&lt;DisplayText&gt;(Molina, 1997)&lt;/DisplayText&gt;&lt;record&gt;&lt;rec-number&gt;202&lt;/rec-number&gt;&lt;foreign-keys&gt;&lt;key app="EN" db-id="etwareaz8xpxz3et59b50d9vxrata9z2w2zt" timestamp="1459113355"&gt;202&lt;/key&gt;&lt;/foreign-keys&gt;&lt;ref-type name="Journal Article"&gt;17&lt;/ref-type&gt;&lt;contributors&gt;&lt;authors&gt;&lt;author&gt;Alfonso Molina&lt;/author&gt;&lt;/authors&gt;&lt;/contributors&gt;&lt;titles&gt;&lt;title&gt;Issues and Challenges in the Evolution of Multimedia: The Case of the Newspaper&lt;/title&gt;&lt;secondary-title&gt;Futures&lt;/secondary-title&gt;&lt;/titles&gt;&lt;periodical&gt;&lt;full-title&gt;Futures&lt;/full-title&gt;&lt;/periodical&gt;&lt;pages&gt;193-211&lt;/pages&gt;&lt;volume&gt;29&lt;/volume&gt;&lt;number&gt;3&lt;/number&gt;&lt;dates&gt;&lt;year&gt;1997&lt;/year&gt;&lt;/dates&gt;&lt;urls&gt;&lt;/urls&gt;&lt;/record&gt;&lt;/Cite&gt;&lt;/EndNote&gt;</w:instrText>
      </w:r>
      <w:r>
        <w:fldChar w:fldCharType="separate"/>
      </w:r>
      <w:r>
        <w:rPr>
          <w:noProof/>
        </w:rPr>
        <w:t>(Molina, 1997)</w:t>
      </w:r>
      <w:r>
        <w:fldChar w:fldCharType="end"/>
      </w:r>
      <w:r>
        <w:t>. This is not a wholly comprehensive list, but some of the things that can be defined within newspapers technique usage.</w:t>
      </w:r>
    </w:p>
  </w:endnote>
  <w:endnote w:id="16">
    <w:p w14:paraId="788844B4" w14:textId="1E364475" w:rsidR="0079305C" w:rsidRDefault="0079305C" w:rsidP="00C56DF5">
      <w:pPr>
        <w:pStyle w:val="EndnoteText"/>
      </w:pPr>
      <w:r>
        <w:rPr>
          <w:rStyle w:val="EndnoteReference"/>
        </w:rPr>
        <w:endnoteRef/>
      </w:r>
      <w:r>
        <w:t xml:space="preserve"> Styles within the mass media refers to the distinct appearance of typical media making activities. For instance, newspapers throughout the U.S. have a broad set-up for how their pages look. The newspapers are generally broken down into columns headed by a title and author of the story. Pictures are often times above or to the direct right of the written column. The papers various sections are broken down into sub-sections like ‘Business,’ ‘Community,’ and ‘Money.’ Each section is then given a page number and most often sub-sectioned in categories such as, ‘a,’ ‘b,’ ‘c,’ etc. Most papers are cap-stoned by ‘Headlines’ on the front page, and ‘Classifieds’ being the last section of the paper. </w:t>
      </w:r>
    </w:p>
  </w:endnote>
  <w:endnote w:id="17">
    <w:p w14:paraId="1EC0B7A3" w14:textId="77777777" w:rsidR="0079305C" w:rsidRDefault="0079305C" w:rsidP="00C56DF5">
      <w:pPr>
        <w:pStyle w:val="EndnoteText"/>
      </w:pPr>
      <w:r>
        <w:rPr>
          <w:rStyle w:val="EndnoteReference"/>
        </w:rPr>
        <w:endnoteRef/>
      </w:r>
      <w:r>
        <w:t xml:space="preserve"> Genres within the mass media refers to a medium such as newspapers, television, etc. A genre is “recognized by its common set of disguising features,” such as “a particular setting, character types, [or] technical codes” </w:t>
      </w:r>
      <w:r>
        <w:fldChar w:fldCharType="begin"/>
      </w:r>
      <w:r>
        <w:instrText xml:space="preserve"> ADDIN EN.CITE &lt;EndNote&gt;&lt;Cite&gt;&lt;Author&gt;Matauranga&lt;/Author&gt;&lt;Year&gt;2015&lt;/Year&gt;&lt;RecNum&gt;200&lt;/RecNum&gt;&lt;Suffix&gt; para. 2&lt;/Suffix&gt;&lt;DisplayText&gt;(Ministry of Education Te Tahuhu O Te Matauranga, 2015 para. 2)&lt;/DisplayText&gt;&lt;record&gt;&lt;rec-number&gt;200&lt;/rec-number&gt;&lt;foreign-keys&gt;&lt;key app="EN" db-id="etwareaz8xpxz3et59b50d9vxrata9z2w2zt" timestamp="1459110795"&gt;200&lt;/key&gt;&lt;/foreign-keys&gt;&lt;ref-type name="Web Page"&gt;12&lt;/ref-type&gt;&lt;contributors&gt;&lt;authors&gt;&lt;author&gt;Ministry of Education Te Tahuhu O Te Matauranga,&lt;/author&gt;&lt;/authors&gt;&lt;/contributors&gt;&lt;titles&gt;&lt;title&gt;Media Studies: Genre&lt;/title&gt;&lt;/titles&gt;&lt;volume&gt;2016&lt;/volume&gt;&lt;number&gt;March&lt;/number&gt;&lt;dates&gt;&lt;year&gt;2015&lt;/year&gt;&lt;/dates&gt;&lt;publisher&gt;Crown&lt;/publisher&gt;&lt;urls&gt;&lt;related-urls&gt;&lt;url&gt;http://media-studies.tki.org.nz/Teaching-media-studies/Media-concepts/Genre&lt;/url&gt;&lt;/related-urls&gt;&lt;/urls&gt;&lt;/record&gt;&lt;/Cite&gt;&lt;/EndNote&gt;</w:instrText>
      </w:r>
      <w:r>
        <w:fldChar w:fldCharType="separate"/>
      </w:r>
      <w:r>
        <w:rPr>
          <w:noProof/>
        </w:rPr>
        <w:t>(Ministry of Education Te Tahuhu O Te Matauranga, 2015 para. 2)</w:t>
      </w:r>
      <w:r>
        <w:fldChar w:fldCharType="end"/>
      </w:r>
      <w:r>
        <w:t>. The recognition for audiences within the media is very important when it comes to genres; the audience expects certain styles within certain genres. In effect, producers market the genre to the audience that is most likely to be in favor of consumption of said genre.</w:t>
      </w:r>
    </w:p>
  </w:endnote>
  <w:endnote w:id="18">
    <w:p w14:paraId="6251A0A2" w14:textId="77777777" w:rsidR="0079305C" w:rsidRDefault="0079305C" w:rsidP="00C56DF5">
      <w:pPr>
        <w:pStyle w:val="EndnoteText"/>
      </w:pPr>
      <w:r>
        <w:rPr>
          <w:rStyle w:val="EndnoteReference"/>
        </w:rPr>
        <w:endnoteRef/>
      </w:r>
      <w:r>
        <w:t xml:space="preserve"> Machin and Mayr (2012) explain semiotics as the study of signs and symbols including images, sounds, colors, postures, and words that humans use to communicate. </w:t>
      </w:r>
    </w:p>
  </w:endnote>
  <w:endnote w:id="19">
    <w:p w14:paraId="708C5E6F" w14:textId="77777777" w:rsidR="0079305C" w:rsidRDefault="0079305C" w:rsidP="00C56DF5">
      <w:pPr>
        <w:pStyle w:val="EndnoteText"/>
      </w:pPr>
      <w:r>
        <w:rPr>
          <w:rStyle w:val="EndnoteReference"/>
        </w:rPr>
        <w:endnoteRef/>
      </w:r>
      <w:r>
        <w:t xml:space="preserve"> The study of the structures of words and the way that they are used within human communication.</w:t>
      </w:r>
    </w:p>
  </w:endnote>
  <w:endnote w:id="20">
    <w:p w14:paraId="540FC4A1" w14:textId="77777777" w:rsidR="0079305C" w:rsidRDefault="0079305C" w:rsidP="00C56DF5">
      <w:pPr>
        <w:pStyle w:val="EndnoteText"/>
      </w:pPr>
      <w:r>
        <w:rPr>
          <w:rStyle w:val="EndnoteReference"/>
        </w:rPr>
        <w:endnoteRef/>
      </w:r>
      <w:r>
        <w:t xml:space="preserve"> Presuppositions are basically “a taken-for-granted assumption found in communication” </w:t>
      </w:r>
      <w:r>
        <w:fldChar w:fldCharType="begin"/>
      </w:r>
      <w:r>
        <w:instrText xml:space="preserve"> ADDIN EN.CITE &lt;EndNote&gt;&lt;Cite&gt;&lt;Author&gt;Machin&lt;/Author&gt;&lt;Year&gt;2012&lt;/Year&gt;&lt;RecNum&gt;170&lt;/RecNum&gt;&lt;Pages&gt;222&lt;/Pages&gt;&lt;DisplayText&gt;(Machin &amp;amp; Mayr, 2012, p. 222)&lt;/DisplayText&gt;&lt;record&gt;&lt;rec-number&gt;170&lt;/rec-number&gt;&lt;foreign-keys&gt;&lt;key app="EN" db-id="etwareaz8xpxz3et59b50d9vxrata9z2w2zt" timestamp="1456790644"&gt;170&lt;/key&gt;&lt;/foreign-keys&gt;&lt;ref-type name="Book"&gt;6&lt;/ref-type&gt;&lt;contributors&gt;&lt;authors&gt;&lt;author&gt;David Machin&lt;/author&gt;&lt;author&gt;Andrea Mayr&lt;/author&gt;&lt;/authors&gt;&lt;/contributors&gt;&lt;titles&gt;&lt;title&gt;How to Do Critical Discourse Analysis&lt;/title&gt;&lt;/titles&gt;&lt;dates&gt;&lt;year&gt;2012&lt;/year&gt;&lt;/dates&gt;&lt;pub-location&gt;Thousand Oaks, CA&lt;/pub-location&gt;&lt;publisher&gt;Sage Publishers Incorporated&lt;/publisher&gt;&lt;urls&gt;&lt;/urls&gt;&lt;/record&gt;&lt;/Cite&gt;&lt;/EndNote&gt;</w:instrText>
      </w:r>
      <w:r>
        <w:fldChar w:fldCharType="separate"/>
      </w:r>
      <w:r>
        <w:rPr>
          <w:noProof/>
        </w:rPr>
        <w:t>(Machin &amp; Mayr, 2012, p. 222)</w:t>
      </w:r>
      <w:r>
        <w:fldChar w:fldCharType="end"/>
      </w:r>
      <w:r>
        <w:t xml:space="preserve">. Most language and communication use within human speech contains presuppositions, however, their use within certain instances are important to study and understand. </w:t>
      </w:r>
    </w:p>
  </w:endnote>
  <w:endnote w:id="21">
    <w:p w14:paraId="7BF73B83" w14:textId="77777777" w:rsidR="0079305C" w:rsidRDefault="0079305C" w:rsidP="00C56DF5">
      <w:pPr>
        <w:pStyle w:val="EndnoteText"/>
      </w:pPr>
      <w:r>
        <w:rPr>
          <w:rStyle w:val="EndnoteReference"/>
        </w:rPr>
        <w:endnoteRef/>
      </w:r>
      <w:r>
        <w:t xml:space="preserve"> Pragmatics is a subdivision of linguistics that studies language in use and the various ways the contexts are used. Within pragmatics things such as turn taking, organization of text, and other techniques such as presuppositions and metaphors are studied.</w:t>
      </w:r>
    </w:p>
  </w:endnote>
  <w:endnote w:id="22">
    <w:p w14:paraId="56B3076D" w14:textId="454C77C7" w:rsidR="0079305C" w:rsidRDefault="0079305C" w:rsidP="00C56DF5">
      <w:pPr>
        <w:pStyle w:val="EndnoteText"/>
      </w:pPr>
      <w:r>
        <w:rPr>
          <w:rStyle w:val="EndnoteReference"/>
        </w:rPr>
        <w:endnoteRef/>
      </w:r>
      <w:r>
        <w:t xml:space="preserve"> This work is not meant to be a full explanatory attempt at qualitative methodologies, but rather at the methodological work involved pertaining to CDA. For further information on qualitative methods please see the following:</w:t>
      </w:r>
      <w:r>
        <w:rPr>
          <w:i/>
        </w:rPr>
        <w:t xml:space="preserve"> The Coding Manual for Qualitative Research</w:t>
      </w:r>
      <w:r>
        <w:t xml:space="preserve"> (2013) by Saldana and </w:t>
      </w:r>
      <w:r>
        <w:rPr>
          <w:i/>
        </w:rPr>
        <w:t xml:space="preserve">The Discussion of Grounded Theory: Strategies for Qualitative Research </w:t>
      </w:r>
      <w:r>
        <w:t>(1967) by Glaser and Strauss.</w:t>
      </w:r>
      <w:r>
        <w:fldChar w:fldCharType="begin"/>
      </w:r>
      <w:r>
        <w:instrText xml:space="preserve"> ADDIN EN.CITE &lt;EndNote&gt;&lt;Cite ExcludeAuth="1" ExcludeYear="1"&gt;&lt;Author&gt;Merriam&lt;/Author&gt;&lt;Year&gt;2009&lt;/Year&gt;&lt;RecNum&gt;193&lt;/RecNum&gt;&lt;record&gt;&lt;rec-number&gt;193&lt;/rec-number&gt;&lt;foreign-keys&gt;&lt;key app="EN" db-id="etwareaz8xpxz3et59b50d9vxrata9z2w2zt" timestamp="1458672705"&gt;193&lt;/key&gt;&lt;/foreign-keys&gt;&lt;ref-type name="Book"&gt;6&lt;/ref-type&gt;&lt;contributors&gt;&lt;authors&gt;&lt;author&gt;Sharan B. Merriam&lt;/author&gt;&lt;/authors&gt;&lt;/contributors&gt;&lt;titles&gt;&lt;title&gt;Qualitative Research: A Guide to Design and Implementation&lt;/title&gt;&lt;/titles&gt;&lt;dates&gt;&lt;year&gt;2009&lt;/year&gt;&lt;/dates&gt;&lt;pub-location&gt;San Francisco, CA&lt;/pub-location&gt;&lt;publisher&gt;Josey-Bass&lt;/publisher&gt;&lt;urls&gt;&lt;/urls&gt;&lt;/record&gt;&lt;/Cite&gt;&lt;/EndNote&gt;</w:instrText>
      </w:r>
      <w:r>
        <w:fldChar w:fldCharType="end"/>
      </w:r>
    </w:p>
  </w:endnote>
  <w:endnote w:id="23">
    <w:p w14:paraId="2D30BDBC" w14:textId="77777777" w:rsidR="0079305C" w:rsidRPr="000056D6" w:rsidRDefault="0079305C" w:rsidP="00C56DF5">
      <w:pPr>
        <w:pStyle w:val="EndnoteText"/>
      </w:pPr>
      <w:r>
        <w:rPr>
          <w:rStyle w:val="EndnoteReference"/>
        </w:rPr>
        <w:endnoteRef/>
      </w:r>
      <w:r>
        <w:t xml:space="preserve"> This is in reference to Robert La Follette, also known as “Fighting Bobby” </w:t>
      </w:r>
      <w:r>
        <w:fldChar w:fldCharType="begin"/>
      </w:r>
      <w:r>
        <w:instrText xml:space="preserve"> ADDIN EN.CITE &lt;EndNote&gt;&lt;Cite&gt;&lt;Author&gt;Society&lt;/Author&gt;&lt;Year&gt;1996-2016&lt;/Year&gt;&lt;RecNum&gt;236&lt;/RecNum&gt;&lt;DisplayText&gt;(Wisconsin Historical Society, 1996-2016)&lt;/DisplayText&gt;&lt;record&gt;&lt;rec-number&gt;236&lt;/rec-number&gt;&lt;foreign-keys&gt;&lt;key app="EN" db-id="etwareaz8xpxz3et59b50d9vxrata9z2w2zt" timestamp="1462926060"&gt;236&lt;/key&gt;&lt;/foreign-keys&gt;&lt;ref-type name="Web Page"&gt;12&lt;/ref-type&gt;&lt;contributors&gt;&lt;authors&gt;&lt;author&gt;Wisconsin Historical Society,&lt;/author&gt;&lt;/authors&gt;&lt;secondary-authors&gt;&lt;author&gt;Wisconsin Historical Society&lt;/author&gt;&lt;/secondary-authors&gt;&lt;/contributors&gt;&lt;titles&gt;&lt;title&gt;The Career of Robert M. La Follette&lt;/title&gt;&lt;secondary-title&gt;Turning Points in Wisconsin History&lt;/secondary-title&gt;&lt;/titles&gt;&lt;volume&gt;2016&lt;/volume&gt;&lt;number&gt;May&lt;/number&gt;&lt;dates&gt;&lt;year&gt;1996-2016&lt;/year&gt;&lt;/dates&gt;&lt;pub-location&gt;Madison, Wisconsin&lt;/pub-location&gt;&lt;publisher&gt;Wisconsin Historical Society&lt;/publisher&gt;&lt;urls&gt;&lt;related-urls&gt;&lt;url&gt;http://www.wisconsinhistory.org/turningpoints/tp-035/&lt;/url&gt;&lt;/related-urls&gt;&lt;/urls&gt;&lt;/record&gt;&lt;/Cite&gt;&lt;/EndNote&gt;</w:instrText>
      </w:r>
      <w:r>
        <w:fldChar w:fldCharType="separate"/>
      </w:r>
      <w:r>
        <w:rPr>
          <w:noProof/>
        </w:rPr>
        <w:t>(Wisconsin Historical Society, 1996-2016)</w:t>
      </w:r>
      <w:r>
        <w:fldChar w:fldCharType="end"/>
      </w:r>
      <w:r>
        <w:t>. Alive during the early part of the 20</w:t>
      </w:r>
      <w:r w:rsidRPr="005A3ECA">
        <w:rPr>
          <w:vertAlign w:val="superscript"/>
        </w:rPr>
        <w:t>th</w:t>
      </w:r>
      <w:r>
        <w:t xml:space="preserve"> century, La Follette was fiercely opposed to corporate power and political corruption. He would eventually have a career within the U.S. Senate, Congress, and the governorship of Wisconsin. His frequent clashes with his fellow Republican Party members and his ability to orate proactively earned him the name “Fighting Bobby.” He also was later in his career monumental in creating laws that empowered and allowed public sector unions to develop within the state of Wisconsin.</w:t>
      </w:r>
    </w:p>
  </w:endnote>
  <w:endnote w:id="24">
    <w:p w14:paraId="41EBA6AB" w14:textId="77777777" w:rsidR="0079305C" w:rsidRDefault="0079305C" w:rsidP="00C56DF5">
      <w:pPr>
        <w:pStyle w:val="EndnoteText"/>
      </w:pPr>
      <w:r>
        <w:rPr>
          <w:rStyle w:val="EndnoteReference"/>
        </w:rPr>
        <w:endnoteRef/>
      </w:r>
      <w:r>
        <w:t xml:space="preserve"> Open coding in Saldana’s model refers to looking for words or phrases that stand out to the researcher.</w:t>
      </w:r>
    </w:p>
  </w:endnote>
  <w:endnote w:id="25">
    <w:p w14:paraId="0865D201" w14:textId="77777777" w:rsidR="0079305C" w:rsidRDefault="0079305C" w:rsidP="00C56DF5">
      <w:pPr>
        <w:pStyle w:val="EndnoteText"/>
      </w:pPr>
      <w:r>
        <w:rPr>
          <w:rStyle w:val="EndnoteReference"/>
        </w:rPr>
        <w:endnoteRef/>
      </w:r>
      <w:r>
        <w:t xml:space="preserve"> Saturation of data occurs when no other information can be coded or ‘pulled’ from the data.</w:t>
      </w:r>
    </w:p>
  </w:endnote>
  <w:endnote w:id="26">
    <w:p w14:paraId="453628B6" w14:textId="16B67862" w:rsidR="0079305C" w:rsidRPr="003D4972" w:rsidRDefault="0079305C" w:rsidP="00C56DF5">
      <w:pPr>
        <w:pStyle w:val="EndnoteText"/>
      </w:pPr>
      <w:r>
        <w:rPr>
          <w:rStyle w:val="EndnoteReference"/>
        </w:rPr>
        <w:endnoteRef/>
      </w:r>
      <w:r>
        <w:t xml:space="preserve"> Conceptual metaphors refer to a term found generally in cognitive linguistics where the understanding of a conceptual domain is understood in terms of another </w:t>
      </w:r>
      <w:r>
        <w:fldChar w:fldCharType="begin"/>
      </w:r>
      <w:r>
        <w:instrText xml:space="preserve"> ADDIN EN.CITE &lt;EndNote&gt;&lt;Cite&gt;&lt;Author&gt;Lakoff&lt;/Author&gt;&lt;Year&gt;1992&lt;/Year&gt;&lt;RecNum&gt;246&lt;/RecNum&gt;&lt;DisplayText&gt;(Lakoff, 1992)&lt;/DisplayText&gt;&lt;record&gt;&lt;rec-number&gt;246&lt;/rec-number&gt;&lt;foreign-keys&gt;&lt;key app="EN" db-id="etwareaz8xpxz3et59b50d9vxrata9z2w2zt" timestamp="1464028837"&gt;246&lt;/key&gt;&lt;/foreign-keys&gt;&lt;ref-type name="Book Section"&gt;5&lt;/ref-type&gt;&lt;contributors&gt;&lt;authors&gt;&lt;author&gt;George Lakoff&lt;/author&gt;&lt;/authors&gt;&lt;secondary-authors&gt;&lt;author&gt;Andrew Ortony&lt;/author&gt;&lt;/secondary-authors&gt;&lt;/contributors&gt;&lt;titles&gt;&lt;title&gt;The Contemporary Theory of Metaphor&lt;/title&gt;&lt;secondary-title&gt;Metaphor and Thought&lt;/secondary-title&gt;&lt;/titles&gt;&lt;dates&gt;&lt;year&gt;1992&lt;/year&gt;&lt;/dates&gt;&lt;pub-location&gt;Cambridge&lt;/pub-location&gt;&lt;publisher&gt;University Press&lt;/publisher&gt;&lt;urls&gt;&lt;/urls&gt;&lt;/record&gt;&lt;/Cite&gt;&lt;/EndNote&gt;</w:instrText>
      </w:r>
      <w:r>
        <w:fldChar w:fldCharType="separate"/>
      </w:r>
      <w:r>
        <w:rPr>
          <w:noProof/>
        </w:rPr>
        <w:t>(Lakoff, 1992)</w:t>
      </w:r>
      <w:r>
        <w:fldChar w:fldCharType="end"/>
      </w:r>
      <w:r>
        <w:t xml:space="preserve">. Conceptual metaphors not only shape the way we communicate with one another, but also the way we act and think within ourselves and our society. An example of such metaphors would be ‘Time is Money.’ For further information concerning conceptual metaphors please see George Lakoff and Mark Johnson’s book </w:t>
      </w:r>
      <w:r>
        <w:rPr>
          <w:i/>
        </w:rPr>
        <w:t>Metaphors We Live By</w:t>
      </w:r>
      <w:r>
        <w:t xml:space="preserve"> </w:t>
      </w:r>
      <w:r>
        <w:fldChar w:fldCharType="begin"/>
      </w:r>
      <w:r>
        <w:instrText xml:space="preserve"> ADDIN EN.CITE &lt;EndNote&gt;&lt;Cite ExcludeAuth="1"&gt;&lt;Author&gt;Lakoff&lt;/Author&gt;&lt;Year&gt;1980&lt;/Year&gt;&lt;RecNum&gt;247&lt;/RecNum&gt;&lt;DisplayText&gt;(1980)&lt;/DisplayText&gt;&lt;record&gt;&lt;rec-number&gt;247&lt;/rec-number&gt;&lt;foreign-keys&gt;&lt;key app="EN" db-id="etwareaz8xpxz3et59b50d9vxrata9z2w2zt" timestamp="1464029173"&gt;247&lt;/key&gt;&lt;/foreign-keys&gt;&lt;ref-type name="Book"&gt;6&lt;/ref-type&gt;&lt;contributors&gt;&lt;authors&gt;&lt;author&gt;George Lakoff&lt;/author&gt;&lt;author&gt;Mark Johnson&lt;/author&gt;&lt;/authors&gt;&lt;/contributors&gt;&lt;titles&gt;&lt;title&gt;Metaphors We Live By&lt;/title&gt;&lt;/titles&gt;&lt;dates&gt;&lt;year&gt;1980&lt;/year&gt;&lt;/dates&gt;&lt;pub-location&gt;Chicago and Londone&lt;/pub-location&gt;&lt;publisher&gt;The University of Chicago Press&lt;/publisher&gt;&lt;urls&gt;&lt;/urls&gt;&lt;/record&gt;&lt;/Cite&gt;&lt;/EndNote&gt;</w:instrText>
      </w:r>
      <w:r>
        <w:fldChar w:fldCharType="separate"/>
      </w:r>
      <w:r>
        <w:rPr>
          <w:noProof/>
        </w:rPr>
        <w:t>(1980)</w:t>
      </w:r>
      <w:r>
        <w:fldChar w:fldCharType="end"/>
      </w:r>
      <w:r>
        <w:t>.</w:t>
      </w:r>
    </w:p>
  </w:endnote>
  <w:endnote w:id="27">
    <w:p w14:paraId="49C4985F" w14:textId="7135184C" w:rsidR="0079305C" w:rsidRPr="00046E20" w:rsidRDefault="0079305C" w:rsidP="00C56DF5">
      <w:pPr>
        <w:pStyle w:val="EndnoteText"/>
        <w:rPr>
          <w:sz w:val="24"/>
          <w:szCs w:val="24"/>
        </w:rPr>
      </w:pPr>
      <w:r>
        <w:rPr>
          <w:rStyle w:val="EndnoteReference"/>
        </w:rPr>
        <w:endnoteRef/>
      </w:r>
      <w:r>
        <w:t xml:space="preserve"> Naming is a linguistic devise that looks at the content of noun phrases—how we name things in the world </w:t>
      </w:r>
      <w:r>
        <w:fldChar w:fldCharType="begin"/>
      </w:r>
      <w:r>
        <w:instrText xml:space="preserve"> ADDIN EN.CITE &lt;EndNote&gt;&lt;Cite&gt;&lt;Author&gt;Evans&lt;/Author&gt;&lt;Year&gt;2013&lt;/Year&gt;&lt;RecNum&gt;248&lt;/RecNum&gt;&lt;DisplayText&gt;(Evans, 2013)&lt;/DisplayText&gt;&lt;record&gt;&lt;rec-number&gt;248&lt;/rec-number&gt;&lt;foreign-keys&gt;&lt;key app="EN" db-id="etwareaz8xpxz3et59b50d9vxrata9z2w2zt" timestamp="1464030591"&gt;248&lt;/key&gt;&lt;/foreign-keys&gt;&lt;ref-type name="Magazine Article"&gt;19&lt;/ref-type&gt;&lt;contributors&gt;&lt;authors&gt;&lt;author&gt;Matthew Evans&lt;/author&gt;&lt;/authors&gt;&lt;/contributors&gt;&lt;titles&gt;&lt;title&gt;&amp;apos;The Author and the Princess&amp;apos;--An example of Critical Discourse Analysis&lt;/title&gt;&lt;secondary-title&gt;Language in Conflict&lt;/secondary-title&gt;&lt;/titles&gt;&lt;num-vols&gt;Daily&lt;/num-vols&gt;&lt;dates&gt;&lt;year&gt;2013&lt;/year&gt;&lt;/dates&gt;&lt;pub-location&gt;Huddersfield&lt;/pub-location&gt;&lt;publisher&gt;University of Hudderfield&lt;/publisher&gt;&lt;urls&gt;&lt;/urls&gt;&lt;/record&gt;&lt;/Cite&gt;&lt;/EndNote&gt;</w:instrText>
      </w:r>
      <w:r>
        <w:fldChar w:fldCharType="separate"/>
      </w:r>
      <w:r>
        <w:rPr>
          <w:noProof/>
        </w:rPr>
        <w:t>(Evans, 2013)</w:t>
      </w:r>
      <w:r>
        <w:fldChar w:fldCharType="end"/>
      </w:r>
      <w:r>
        <w:t>. Of particular interest to naming is the idea that as humans we apply a label to something that presupposes its existence in the world around us. News stories can be particularly ripe with interesting and often times unmitigated and bizarre noun phrases which include other parts of speech such as, adjectives, verbs, and adjectives.</w:t>
      </w:r>
    </w:p>
    <w:p w14:paraId="16164E94" w14:textId="77777777" w:rsidR="0079305C" w:rsidRPr="000056D6" w:rsidRDefault="0079305C" w:rsidP="00C56DF5">
      <w:pPr>
        <w:pStyle w:val="EndnoteText"/>
      </w:pPr>
    </w:p>
    <w:p w14:paraId="70D143FA" w14:textId="77777777" w:rsidR="0079305C" w:rsidRDefault="0079305C" w:rsidP="00C56DF5">
      <w:pPr>
        <w:pStyle w:val="EndnoteText"/>
      </w:pPr>
    </w:p>
  </w:endnote>
  <w:endnote w:id="28">
    <w:p w14:paraId="6E374548" w14:textId="4F0FD57F" w:rsidR="0079305C" w:rsidRDefault="0079305C" w:rsidP="00103B6F">
      <w:pPr>
        <w:pStyle w:val="EndnoteText"/>
      </w:pPr>
      <w:r>
        <w:rPr>
          <w:rStyle w:val="EndnoteReference"/>
        </w:rPr>
        <w:endnoteRef/>
      </w:r>
      <w:r>
        <w:t xml:space="preserve"> </w:t>
      </w:r>
      <w:r w:rsidRPr="00B846A2">
        <w:t xml:space="preserve">The Wisconsin Democratic Party platform can be found on the following website: </w:t>
      </w:r>
      <w:r w:rsidRPr="007C62D0">
        <w:rPr>
          <w:rFonts w:cs="Segoe UI"/>
        </w:rPr>
        <w:t>http://webiva-downton.s3.amazonaws.com/477/99/d/1346/1/DPW_2012_Platform.pdf</w:t>
      </w:r>
      <w:r w:rsidRPr="00B846A2">
        <w:rPr>
          <w:rFonts w:cs="Segoe UI"/>
          <w:color w:val="000000"/>
        </w:rPr>
        <w:t>. Particulars on public sector unions within the document can also be found within the same material.</w:t>
      </w:r>
      <w:r>
        <w:rPr>
          <w:rFonts w:cs="Segoe UI"/>
          <w:color w:val="000000"/>
        </w:rPr>
        <w:t xml:space="preserve"> </w:t>
      </w:r>
      <w:r>
        <w:rPr>
          <w:rFonts w:cs="Segoe UI"/>
          <w:color w:val="000000"/>
        </w:rPr>
        <w:fldChar w:fldCharType="begin"/>
      </w:r>
      <w:r>
        <w:rPr>
          <w:rFonts w:cs="Segoe UI"/>
          <w:color w:val="000000"/>
        </w:rPr>
        <w:instrText xml:space="preserve"> ADDIN EN.CITE &lt;EndNote&gt;&lt;Cite ExcludeAuth="1" ExcludeYear="1" Hidden="1"&gt;&lt;Author&gt;Party&lt;/Author&gt;&lt;Year&gt;2012&lt;/Year&gt;&lt;RecNum&gt;254&lt;/RecNum&gt;&lt;record&gt;&lt;rec-number&gt;254&lt;/rec-number&gt;&lt;foreign-keys&gt;&lt;key app="EN" db-id="etwareaz8xpxz3et59b50d9vxrata9z2w2zt" timestamp="1464644955"&gt;254&lt;/key&gt;&lt;/foreign-keys&gt;&lt;ref-type name="Standard"&gt;58&lt;/ref-type&gt;&lt;contributors&gt;&lt;authors&gt;&lt;author&gt;Democratic Party,&lt;/author&gt;&lt;/authors&gt;&lt;/contributors&gt;&lt;titles&gt;&lt;title&gt;Democratic Party of Wisconsin 2012 Platform&lt;/title&gt;&lt;/titles&gt;&lt;dates&gt;&lt;year&gt;2012&lt;/year&gt;&lt;/dates&gt;&lt;pub-location&gt;Appleton, Wisconsin&lt;/pub-location&gt;&lt;publisher&gt;Democratic Party&lt;/publisher&gt;&lt;urls&gt;&lt;related-urls&gt;&lt;url&gt;http://webiva-downton.s3.amazonaws.com/477/99/d/1346/1/DPW_2012_Platform.pdf&lt;/url&gt;&lt;/related-urls&gt;&lt;/urls&gt;&lt;/record&gt;&lt;/Cite&gt;&lt;/EndNote&gt;</w:instrText>
      </w:r>
      <w:r>
        <w:rPr>
          <w:rFonts w:cs="Segoe UI"/>
          <w:color w:val="000000"/>
        </w:rPr>
        <w:fldChar w:fldCharType="end"/>
      </w:r>
    </w:p>
  </w:endnote>
  <w:endnote w:id="29">
    <w:p w14:paraId="5969D836" w14:textId="77777777" w:rsidR="0079305C" w:rsidRDefault="0079305C" w:rsidP="00103B6F">
      <w:pPr>
        <w:pStyle w:val="EndnoteText"/>
      </w:pPr>
      <w:r>
        <w:rPr>
          <w:rStyle w:val="EndnoteReference"/>
        </w:rPr>
        <w:endnoteRef/>
      </w:r>
      <w:r>
        <w:t xml:space="preserve"> The junction is in reference to how many conservatives in the U.S., and in this specific case, Wisconsin, see public sector unions as an outdated means for labor in our new wholly capitalist, globalized society where they are thought of as holding back the ability of business to expand and markets to run independently with little interruption of production or issues pertaining to personnel.  In this regard, this junction is in reference to when new policies that are meant to curtail what many see as antiquated, politically too powerful labor unions meet, and where this will lead in the future.  </w:t>
      </w:r>
    </w:p>
  </w:endnote>
  <w:endnote w:id="30">
    <w:p w14:paraId="4C986F9A" w14:textId="1AC6475F" w:rsidR="0079305C" w:rsidRDefault="0079305C" w:rsidP="00103B6F">
      <w:pPr>
        <w:pStyle w:val="EndnoteText"/>
      </w:pPr>
      <w:r>
        <w:rPr>
          <w:rStyle w:val="EndnoteReference"/>
        </w:rPr>
        <w:endnoteRef/>
      </w:r>
      <w:r>
        <w:t xml:space="preserve"> According to the Legal Defense Foundation, a right to work state “guarantees that no person can be compelled as a condition of employment to join or not to join, nor to pay dues to a labor union under section 14 (b) of the Taft-Hartley Act affirms the right of states to enact Right to Work Laws. The 25 states which have passed Right to Work laws are: Alabama, Arizona, Arkansas, Kansas, Florida, Georgia, Idaho, Indiana, Iowa, Louisiana, Michigan, Mississippi, Nebraska, Nevada, North Carolina, North Dakota, Oklahoma, South Carolina, South Dakota, Tennessee, Texas, Utah, Virginia, Wisconsin, and Wyoming” </w:t>
      </w:r>
      <w:r>
        <w:fldChar w:fldCharType="begin"/>
      </w:r>
      <w:r>
        <w:instrText xml:space="preserve"> ADDIN EN.CITE &lt;EndNote&gt;&lt;Cite&gt;&lt;Author&gt;Foundation&lt;/Author&gt;&lt;Year&gt;2015&lt;/Year&gt;&lt;RecNum&gt;258&lt;/RecNum&gt;&lt;DisplayText&gt;(National Right to Work Foundation, 2015)&lt;/DisplayText&gt;&lt;record&gt;&lt;rec-number&gt;258&lt;/rec-number&gt;&lt;foreign-keys&gt;&lt;key app="EN" db-id="etwareaz8xpxz3et59b50d9vxrata9z2w2zt" timestamp="1464716287"&gt;258&lt;/key&gt;&lt;/foreign-keys&gt;&lt;ref-type name="Web Page"&gt;12&lt;/ref-type&gt;&lt;contributors&gt;&lt;authors&gt;&lt;author&gt;National Right to Work Foundation,&lt;/author&gt;&lt;/authors&gt;&lt;secondary-authors&gt;&lt;author&gt;Legal Defense Foundation&lt;/author&gt;&lt;/secondary-authors&gt;&lt;/contributors&gt;&lt;titles&gt;&lt;title&gt;Right to Work Frequently Asked Questions&lt;/title&gt;&lt;secondary-title&gt;Right To Work&lt;/secondary-title&gt;&lt;/titles&gt;&lt;volume&gt;2016&lt;/volume&gt;&lt;number&gt;April&lt;/number&gt;&lt;dates&gt;&lt;year&gt;2015&lt;/year&gt;&lt;/dates&gt;&lt;pub-location&gt;Springfield, VA&lt;/pub-location&gt;&lt;publisher&gt;Legal Defense Foundation&lt;/publisher&gt;&lt;urls&gt;&lt;related-urls&gt;&lt;url&gt;http://www.nrtw.org/b/rtw_faq.htm&lt;/url&gt;&lt;/related-urls&gt;&lt;/urls&gt;&lt;/record&gt;&lt;/Cite&gt;&lt;/EndNote&gt;</w:instrText>
      </w:r>
      <w:r>
        <w:fldChar w:fldCharType="separate"/>
      </w:r>
      <w:r>
        <w:rPr>
          <w:noProof/>
        </w:rPr>
        <w:t>(National Right to Work Foundation, 2015)</w:t>
      </w:r>
      <w:r>
        <w:fldChar w:fldCharType="end"/>
      </w:r>
      <w:r>
        <w:t>. Most recently, however, a deadlocked 4 to 4 Supreme Court ruling left intact a U.S. Court of Appeals for the 9</w:t>
      </w:r>
      <w:r w:rsidRPr="009F4EF6">
        <w:rPr>
          <w:vertAlign w:val="superscript"/>
        </w:rPr>
        <w:t>th</w:t>
      </w:r>
      <w:r>
        <w:t xml:space="preserve"> Circuit upholding a decision that public sector unions could still collect fees from non-union members for collective bargaining costs </w:t>
      </w:r>
      <w:r>
        <w:fldChar w:fldCharType="begin"/>
      </w:r>
      <w:r>
        <w:instrText xml:space="preserve"> ADDIN EN.CITE &lt;EndNote&gt;&lt;Cite&gt;&lt;Year&gt;2016&lt;/Year&gt;&lt;RecNum&gt;336&lt;/RecNum&gt;&lt;DisplayText&gt;(&amp;quot;Rebecca Friedrichs, et al, Petitioners v. California Teachers Association, et al.,&amp;quot; 2016; Wolf, 2016)&lt;/DisplayText&gt;&lt;record&gt;&lt;rec-number&gt;336&lt;/rec-number&gt;&lt;foreign-keys&gt;&lt;key app="EN" db-id="etwareaz8xpxz3et59b50d9vxrata9z2w2zt" timestamp="1468268261"&gt;336&lt;/key&gt;&lt;/foreign-keys&gt;&lt;ref-type name="Case"&gt;7&lt;/ref-type&gt;&lt;contributors&gt;&lt;/contributors&gt;&lt;titles&gt;&lt;title&gt;Rebecca Friedrichs, et al, Petitioners v. California Teachers Association, et al.&lt;/title&gt;&lt;tertiary-title&gt;California Teachers Association, et al.&lt;/tertiary-title&gt;&lt;/titles&gt;&lt;number&gt;136 S. Ct. 566&lt;/number&gt;&lt;edition&gt;Stay&lt;/edition&gt;&lt;section&gt;November 30, 2015&lt;/section&gt;&lt;dates&gt;&lt;year&gt;2016&lt;/year&gt;&lt;/dates&gt;&lt;publisher&gt;Supreme Court of United States&lt;/publisher&gt;&lt;urls&gt;&lt;/urls&gt;&lt;/record&gt;&lt;/Cite&gt;&lt;Cite&gt;&lt;Author&gt;Wolf&lt;/Author&gt;&lt;Year&gt;2016&lt;/Year&gt;&lt;RecNum&gt;335&lt;/RecNum&gt;&lt;record&gt;&lt;rec-number&gt;335&lt;/rec-number&gt;&lt;foreign-keys&gt;&lt;key app="EN" db-id="etwareaz8xpxz3et59b50d9vxrata9z2w2zt" timestamp="1468268055"&gt;335&lt;/key&gt;&lt;/foreign-keys&gt;&lt;ref-type name="Newspaper Article"&gt;23&lt;/ref-type&gt;&lt;contributors&gt;&lt;authors&gt;&lt;author&gt;Richard Wolf&lt;/author&gt;&lt;/authors&gt;&lt;/contributors&gt;&lt;titles&gt;&lt;title&gt;Public Employee Unions Dodge a Supreme Court Bullet&lt;/title&gt;&lt;secondary-title&gt;USA Today&lt;/secondary-title&gt;&lt;/titles&gt;&lt;dates&gt;&lt;year&gt;2016&lt;/year&gt;&lt;/dates&gt;&lt;pub-location&gt;New York, NY&lt;/pub-location&gt;&lt;publisher&gt;Gannett Company&lt;/publisher&gt;&lt;urls&gt;&lt;/urls&gt;&lt;/record&gt;&lt;/Cite&gt;&lt;/EndNote&gt;</w:instrText>
      </w:r>
      <w:r>
        <w:fldChar w:fldCharType="separate"/>
      </w:r>
      <w:r>
        <w:rPr>
          <w:noProof/>
        </w:rPr>
        <w:t>("Rebecca Friedrichs, et al, Petitioners v. California Teachers Association, et al.," 2016; Wolf, 2016)</w:t>
      </w:r>
      <w:r>
        <w:fldChar w:fldCharType="end"/>
      </w:r>
      <w:r>
        <w:t>. This is a major win for public sector unions within the U.S.</w:t>
      </w:r>
    </w:p>
  </w:endnote>
  <w:endnote w:id="31">
    <w:p w14:paraId="0EFE3493" w14:textId="77777777" w:rsidR="0079305C" w:rsidRDefault="0079305C" w:rsidP="00103B6F">
      <w:pPr>
        <w:pStyle w:val="EndnoteText"/>
      </w:pPr>
      <w:r>
        <w:rPr>
          <w:rStyle w:val="EndnoteReference"/>
        </w:rPr>
        <w:endnoteRef/>
      </w:r>
      <w:r>
        <w:t xml:space="preserve"> Governmental entitlements refer to those programs that are rights granted to U.S. citizens and sometimes non-citizens by federal law, such as, Social Security, Unemployment, Medicare, Education, etc. </w:t>
      </w:r>
      <w:r>
        <w:fldChar w:fldCharType="begin"/>
      </w:r>
      <w:r>
        <w:instrText xml:space="preserve"> ADDIN EN.CITE &lt;EndNote&gt;&lt;Cite&gt;&lt;Author&gt;Cogswell&lt;/Author&gt;&lt;Year&gt;1996&lt;/Year&gt;&lt;RecNum&gt;329&lt;/RecNum&gt;&lt;DisplayText&gt;(Cogswell, 1996)&lt;/DisplayText&gt;&lt;record&gt;&lt;rec-number&gt;329&lt;/rec-number&gt;&lt;foreign-keys&gt;&lt;key app="EN" db-id="etwareaz8xpxz3et59b50d9vxrata9z2w2zt" timestamp="1467910737"&gt;329&lt;/key&gt;&lt;/foreign-keys&gt;&lt;ref-type name="Book Section"&gt;5&lt;/ref-type&gt;&lt;contributors&gt;&lt;authors&gt;&lt;author&gt;Suzan Hurley Cogswell&lt;/author&gt;&lt;/authors&gt;&lt;secondary-authors&gt;&lt;author&gt;Deborah L. Dennis&lt;/author&gt;&lt;author&gt;John Monahan&lt;/author&gt;&lt;/secondary-authors&gt;&lt;/contributors&gt;&lt;titles&gt;&lt;title&gt;Entitlements, Payees, and Coercion&lt;/title&gt;&lt;secondary-title&gt;Coercion and Aggressive Community Treatment&lt;/secondary-title&gt;&lt;/titles&gt;&lt;pages&gt;115-125&lt;/pages&gt;&lt;number&gt;Social Clinical Psychology&lt;/number&gt;&lt;dates&gt;&lt;year&gt;1996&lt;/year&gt;&lt;/dates&gt;&lt;pub-location&gt;New York, NY&lt;/pub-location&gt;&lt;publisher&gt;Springer&lt;/publisher&gt;&lt;urls&gt;&lt;/urls&gt;&lt;/record&gt;&lt;/Cite&gt;&lt;/EndNote&gt;</w:instrText>
      </w:r>
      <w:r>
        <w:fldChar w:fldCharType="separate"/>
      </w:r>
      <w:r>
        <w:rPr>
          <w:noProof/>
        </w:rPr>
        <w:t>(Cogswell, 1996)</w:t>
      </w:r>
      <w:r>
        <w:fldChar w:fldCharType="end"/>
      </w:r>
      <w:r>
        <w:t>.</w:t>
      </w:r>
    </w:p>
  </w:endnote>
  <w:endnote w:id="32">
    <w:p w14:paraId="1A67E7F8" w14:textId="77777777" w:rsidR="0079305C" w:rsidRDefault="0079305C" w:rsidP="00C379DD">
      <w:pPr>
        <w:pStyle w:val="EndnoteText"/>
      </w:pPr>
      <w:r>
        <w:rPr>
          <w:rStyle w:val="EndnoteReference"/>
        </w:rPr>
        <w:endnoteRef/>
      </w:r>
      <w:r>
        <w:t xml:space="preserve"> Stodgy in this chapter simply means slow moving, unwilling to face change.</w:t>
      </w:r>
    </w:p>
  </w:endnote>
  <w:endnote w:id="33">
    <w:p w14:paraId="1F3ADB61" w14:textId="77777777" w:rsidR="0079305C" w:rsidRDefault="0079305C" w:rsidP="00C379DD">
      <w:pPr>
        <w:pStyle w:val="EndnoteText"/>
      </w:pPr>
      <w:r>
        <w:rPr>
          <w:rStyle w:val="EndnoteReference"/>
        </w:rPr>
        <w:endnoteRef/>
      </w:r>
      <w:r>
        <w:t xml:space="preserve"> These new standards for teacher licensure are still being debated in Wisconsin upon the completion of this research.</w:t>
      </w:r>
    </w:p>
  </w:endnote>
  <w:endnote w:id="34">
    <w:p w14:paraId="2FFEDA40" w14:textId="77777777" w:rsidR="0079305C" w:rsidRDefault="0079305C" w:rsidP="00C379DD">
      <w:pPr>
        <w:pStyle w:val="EndnoteText"/>
      </w:pPr>
      <w:r>
        <w:rPr>
          <w:rStyle w:val="EndnoteReference"/>
        </w:rPr>
        <w:endnoteRef/>
      </w:r>
      <w:r>
        <w:t xml:space="preserve"> Pink-collared was a term coined during and after World War II when women held certain jobs within U.S. society; such as, secretaries, typists, nurses, child care workers etc. Many of these jobs are still held by women in present day America.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590693"/>
      <w:docPartObj>
        <w:docPartGallery w:val="Page Numbers (Bottom of Page)"/>
        <w:docPartUnique/>
      </w:docPartObj>
    </w:sdtPr>
    <w:sdtEndPr>
      <w:rPr>
        <w:noProof/>
      </w:rPr>
    </w:sdtEndPr>
    <w:sdtContent>
      <w:p w14:paraId="7058F6D9" w14:textId="444D650B" w:rsidR="0079305C" w:rsidRDefault="0079305C">
        <w:pPr>
          <w:pStyle w:val="Footer"/>
          <w:jc w:val="center"/>
        </w:pPr>
        <w:r>
          <w:fldChar w:fldCharType="begin"/>
        </w:r>
        <w:r>
          <w:instrText xml:space="preserve"> PAGE   \* MERGEFORMAT </w:instrText>
        </w:r>
        <w:r>
          <w:fldChar w:fldCharType="separate"/>
        </w:r>
        <w:r w:rsidR="00E76379">
          <w:rPr>
            <w:noProof/>
          </w:rPr>
          <w:t>i</w:t>
        </w:r>
        <w:r>
          <w:rPr>
            <w:noProof/>
          </w:rPr>
          <w:fldChar w:fldCharType="end"/>
        </w:r>
      </w:p>
    </w:sdtContent>
  </w:sdt>
  <w:p w14:paraId="61F1C0FA" w14:textId="77777777" w:rsidR="0079305C" w:rsidRDefault="007930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66694" w14:textId="77777777" w:rsidR="0079305C" w:rsidRDefault="0079305C" w:rsidP="00DC6D2F">
      <w:pPr>
        <w:spacing w:line="240" w:lineRule="auto"/>
      </w:pPr>
      <w:r>
        <w:separator/>
      </w:r>
    </w:p>
  </w:footnote>
  <w:footnote w:type="continuationSeparator" w:id="0">
    <w:p w14:paraId="194CFCC3" w14:textId="77777777" w:rsidR="0079305C" w:rsidRDefault="0079305C" w:rsidP="00DC6D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F719C" w14:textId="3B6C3FFF" w:rsidR="0079305C" w:rsidRDefault="0079305C">
    <w:pPr>
      <w:pStyle w:val="Header"/>
      <w:jc w:val="right"/>
    </w:pPr>
  </w:p>
  <w:p w14:paraId="4982283B" w14:textId="77777777" w:rsidR="0079305C" w:rsidRDefault="007930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3A9E6" w14:textId="77777777" w:rsidR="0079305C" w:rsidRDefault="007930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51369" w14:textId="77777777" w:rsidR="0079305C" w:rsidRDefault="007930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87636" w14:textId="4D88DD6A" w:rsidR="0079305C" w:rsidRDefault="0079305C">
    <w:pPr>
      <w:pStyle w:val="Header"/>
      <w:jc w:val="right"/>
    </w:pPr>
  </w:p>
  <w:p w14:paraId="16FBF526" w14:textId="77777777" w:rsidR="0079305C" w:rsidRDefault="007930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3129"/>
    <w:multiLevelType w:val="hybridMultilevel"/>
    <w:tmpl w:val="470E3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107E9"/>
    <w:multiLevelType w:val="hybridMultilevel"/>
    <w:tmpl w:val="36026DCA"/>
    <w:lvl w:ilvl="0" w:tplc="E8C43D7E">
      <w:start w:val="1"/>
      <w:numFmt w:val="decimal"/>
      <w:lvlText w:val="%1."/>
      <w:lvlJc w:val="left"/>
      <w:pPr>
        <w:ind w:left="720" w:hanging="360"/>
      </w:pPr>
      <w:rPr>
        <w:rFonts w:ascii="Times New Roman" w:hAnsi="Times New Roman"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B22B01"/>
    <w:multiLevelType w:val="hybridMultilevel"/>
    <w:tmpl w:val="319CB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365959"/>
    <w:multiLevelType w:val="hybridMultilevel"/>
    <w:tmpl w:val="FD66C2EA"/>
    <w:lvl w:ilvl="0" w:tplc="DF067EE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31AC4106"/>
    <w:multiLevelType w:val="hybridMultilevel"/>
    <w:tmpl w:val="A4F867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FA23FF"/>
    <w:multiLevelType w:val="hybridMultilevel"/>
    <w:tmpl w:val="319CB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F8241B"/>
    <w:multiLevelType w:val="hybridMultilevel"/>
    <w:tmpl w:val="A636E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974D8D"/>
    <w:multiLevelType w:val="hybridMultilevel"/>
    <w:tmpl w:val="279E5E66"/>
    <w:lvl w:ilvl="0" w:tplc="B60EE26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5E6B6D76"/>
    <w:multiLevelType w:val="hybridMultilevel"/>
    <w:tmpl w:val="51127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4D4F07"/>
    <w:multiLevelType w:val="hybridMultilevel"/>
    <w:tmpl w:val="2D36B9F4"/>
    <w:lvl w:ilvl="0" w:tplc="F9605F9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6E324DAB"/>
    <w:multiLevelType w:val="hybridMultilevel"/>
    <w:tmpl w:val="7F740F48"/>
    <w:lvl w:ilvl="0" w:tplc="98881FB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729F071A"/>
    <w:multiLevelType w:val="hybridMultilevel"/>
    <w:tmpl w:val="3320D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10"/>
  </w:num>
  <w:num w:numId="4">
    <w:abstractNumId w:val="9"/>
  </w:num>
  <w:num w:numId="5">
    <w:abstractNumId w:val="8"/>
  </w:num>
  <w:num w:numId="6">
    <w:abstractNumId w:val="6"/>
  </w:num>
  <w:num w:numId="7">
    <w:abstractNumId w:val="5"/>
  </w:num>
  <w:num w:numId="8">
    <w:abstractNumId w:val="11"/>
  </w:num>
  <w:num w:numId="9">
    <w:abstractNumId w:val="4"/>
  </w:num>
  <w:num w:numId="10">
    <w:abstractNumId w:val="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pos w:val="sectEnd"/>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wareaz8xpxz3et59b50d9vxrata9z2w2zt&quot;&gt;My EndNote Library&lt;record-ids&gt;&lt;item&gt;1&lt;/item&gt;&lt;item&gt;2&lt;/item&gt;&lt;item&gt;3&lt;/item&gt;&lt;item&gt;4&lt;/item&gt;&lt;item&gt;5&lt;/item&gt;&lt;item&gt;6&lt;/item&gt;&lt;item&gt;7&lt;/item&gt;&lt;item&gt;8&lt;/item&gt;&lt;item&gt;23&lt;/item&gt;&lt;item&gt;24&lt;/item&gt;&lt;item&gt;25&lt;/item&gt;&lt;item&gt;28&lt;/item&gt;&lt;item&gt;29&lt;/item&gt;&lt;item&gt;30&lt;/item&gt;&lt;item&gt;32&lt;/item&gt;&lt;item&gt;35&lt;/item&gt;&lt;item&gt;36&lt;/item&gt;&lt;item&gt;38&lt;/item&gt;&lt;item&gt;39&lt;/item&gt;&lt;item&gt;40&lt;/item&gt;&lt;item&gt;41&lt;/item&gt;&lt;item&gt;42&lt;/item&gt;&lt;item&gt;43&lt;/item&gt;&lt;item&gt;44&lt;/item&gt;&lt;item&gt;45&lt;/item&gt;&lt;item&gt;46&lt;/item&gt;&lt;item&gt;47&lt;/item&gt;&lt;item&gt;48&lt;/item&gt;&lt;item&gt;50&lt;/item&gt;&lt;item&gt;51&lt;/item&gt;&lt;item&gt;52&lt;/item&gt;&lt;item&gt;53&lt;/item&gt;&lt;item&gt;54&lt;/item&gt;&lt;item&gt;55&lt;/item&gt;&lt;item&gt;56&lt;/item&gt;&lt;item&gt;57&lt;/item&gt;&lt;item&gt;58&lt;/item&gt;&lt;item&gt;59&lt;/item&gt;&lt;item&gt;60&lt;/item&gt;&lt;item&gt;61&lt;/item&gt;&lt;item&gt;62&lt;/item&gt;&lt;item&gt;66&lt;/item&gt;&lt;item&gt;68&lt;/item&gt;&lt;item&gt;72&lt;/item&gt;&lt;item&gt;73&lt;/item&gt;&lt;item&gt;74&lt;/item&gt;&lt;item&gt;75&lt;/item&gt;&lt;item&gt;76&lt;/item&gt;&lt;item&gt;77&lt;/item&gt;&lt;item&gt;78&lt;/item&gt;&lt;item&gt;79&lt;/item&gt;&lt;item&gt;82&lt;/item&gt;&lt;item&gt;84&lt;/item&gt;&lt;item&gt;86&lt;/item&gt;&lt;item&gt;87&lt;/item&gt;&lt;item&gt;88&lt;/item&gt;&lt;item&gt;89&lt;/item&gt;&lt;item&gt;90&lt;/item&gt;&lt;item&gt;91&lt;/item&gt;&lt;item&gt;92&lt;/item&gt;&lt;item&gt;94&lt;/item&gt;&lt;item&gt;95&lt;/item&gt;&lt;item&gt;96&lt;/item&gt;&lt;item&gt;97&lt;/item&gt;&lt;item&gt;98&lt;/item&gt;&lt;item&gt;99&lt;/item&gt;&lt;item&gt;100&lt;/item&gt;&lt;item&gt;102&lt;/item&gt;&lt;item&gt;103&lt;/item&gt;&lt;item&gt;104&lt;/item&gt;&lt;item&gt;105&lt;/item&gt;&lt;item&gt;106&lt;/item&gt;&lt;item&gt;108&lt;/item&gt;&lt;item&gt;111&lt;/item&gt;&lt;item&gt;112&lt;/item&gt;&lt;item&gt;113&lt;/item&gt;&lt;item&gt;114&lt;/item&gt;&lt;item&gt;115&lt;/item&gt;&lt;item&gt;117&lt;/item&gt;&lt;item&gt;118&lt;/item&gt;&lt;item&gt;119&lt;/item&gt;&lt;item&gt;121&lt;/item&gt;&lt;item&gt;122&lt;/item&gt;&lt;item&gt;124&lt;/item&gt;&lt;item&gt;125&lt;/item&gt;&lt;item&gt;126&lt;/item&gt;&lt;item&gt;127&lt;/item&gt;&lt;item&gt;128&lt;/item&gt;&lt;item&gt;130&lt;/item&gt;&lt;item&gt;131&lt;/item&gt;&lt;item&gt;133&lt;/item&gt;&lt;item&gt;134&lt;/item&gt;&lt;item&gt;136&lt;/item&gt;&lt;item&gt;137&lt;/item&gt;&lt;item&gt;138&lt;/item&gt;&lt;item&gt;139&lt;/item&gt;&lt;item&gt;140&lt;/item&gt;&lt;item&gt;142&lt;/item&gt;&lt;item&gt;143&lt;/item&gt;&lt;item&gt;144&lt;/item&gt;&lt;item&gt;145&lt;/item&gt;&lt;item&gt;147&lt;/item&gt;&lt;item&gt;148&lt;/item&gt;&lt;item&gt;149&lt;/item&gt;&lt;item&gt;150&lt;/item&gt;&lt;item&gt;152&lt;/item&gt;&lt;item&gt;153&lt;/item&gt;&lt;item&gt;154&lt;/item&gt;&lt;item&gt;157&lt;/item&gt;&lt;item&gt;158&lt;/item&gt;&lt;item&gt;159&lt;/item&gt;&lt;item&gt;160&lt;/item&gt;&lt;item&gt;161&lt;/item&gt;&lt;item&gt;162&lt;/item&gt;&lt;item&gt;163&lt;/item&gt;&lt;item&gt;164&lt;/item&gt;&lt;item&gt;165&lt;/item&gt;&lt;item&gt;166&lt;/item&gt;&lt;item&gt;168&lt;/item&gt;&lt;item&gt;170&lt;/item&gt;&lt;item&gt;171&lt;/item&gt;&lt;item&gt;172&lt;/item&gt;&lt;item&gt;173&lt;/item&gt;&lt;item&gt;174&lt;/item&gt;&lt;item&gt;178&lt;/item&gt;&lt;item&gt;180&lt;/item&gt;&lt;item&gt;181&lt;/item&gt;&lt;item&gt;182&lt;/item&gt;&lt;item&gt;183&lt;/item&gt;&lt;item&gt;186&lt;/item&gt;&lt;item&gt;187&lt;/item&gt;&lt;item&gt;188&lt;/item&gt;&lt;item&gt;189&lt;/item&gt;&lt;item&gt;190&lt;/item&gt;&lt;item&gt;191&lt;/item&gt;&lt;item&gt;192&lt;/item&gt;&lt;item&gt;193&lt;/item&gt;&lt;item&gt;194&lt;/item&gt;&lt;item&gt;197&lt;/item&gt;&lt;item&gt;198&lt;/item&gt;&lt;item&gt;199&lt;/item&gt;&lt;item&gt;200&lt;/item&gt;&lt;item&gt;202&lt;/item&gt;&lt;item&gt;203&lt;/item&gt;&lt;item&gt;204&lt;/item&gt;&lt;item&gt;205&lt;/item&gt;&lt;item&gt;206&lt;/item&gt;&lt;item&gt;207&lt;/item&gt;&lt;item&gt;208&lt;/item&gt;&lt;item&gt;209&lt;/item&gt;&lt;item&gt;211&lt;/item&gt;&lt;item&gt;212&lt;/item&gt;&lt;item&gt;213&lt;/item&gt;&lt;item&gt;214&lt;/item&gt;&lt;item&gt;215&lt;/item&gt;&lt;item&gt;216&lt;/item&gt;&lt;item&gt;217&lt;/item&gt;&lt;item&gt;223&lt;/item&gt;&lt;item&gt;226&lt;/item&gt;&lt;item&gt;227&lt;/item&gt;&lt;item&gt;228&lt;/item&gt;&lt;item&gt;229&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3&lt;/item&gt;&lt;item&gt;254&lt;/item&gt;&lt;item&gt;255&lt;/item&gt;&lt;item&gt;258&lt;/item&gt;&lt;item&gt;263&lt;/item&gt;&lt;item&gt;268&lt;/item&gt;&lt;item&gt;273&lt;/item&gt;&lt;item&gt;276&lt;/item&gt;&lt;item&gt;277&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21&lt;/item&gt;&lt;item&gt;322&lt;/item&gt;&lt;item&gt;323&lt;/item&gt;&lt;item&gt;324&lt;/item&gt;&lt;item&gt;326&lt;/item&gt;&lt;item&gt;327&lt;/item&gt;&lt;item&gt;328&lt;/item&gt;&lt;item&gt;329&lt;/item&gt;&lt;item&gt;330&lt;/item&gt;&lt;item&gt;332&lt;/item&gt;&lt;item&gt;333&lt;/item&gt;&lt;item&gt;334&lt;/item&gt;&lt;item&gt;335&lt;/item&gt;&lt;item&gt;336&lt;/item&gt;&lt;item&gt;337&lt;/item&gt;&lt;item&gt;338&lt;/item&gt;&lt;item&gt;341&lt;/item&gt;&lt;item&gt;343&lt;/item&gt;&lt;item&gt;344&lt;/item&gt;&lt;item&gt;345&lt;/item&gt;&lt;item&gt;346&lt;/item&gt;&lt;item&gt;347&lt;/item&gt;&lt;item&gt;349&lt;/item&gt;&lt;item&gt;350&lt;/item&gt;&lt;item&gt;353&lt;/item&gt;&lt;item&gt;354&lt;/item&gt;&lt;item&gt;355&lt;/item&gt;&lt;item&gt;356&lt;/item&gt;&lt;item&gt;357&lt;/item&gt;&lt;item&gt;358&lt;/item&gt;&lt;item&gt;360&lt;/item&gt;&lt;item&gt;361&lt;/item&gt;&lt;item&gt;362&lt;/item&gt;&lt;item&gt;363&lt;/item&gt;&lt;item&gt;364&lt;/item&gt;&lt;item&gt;365&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DC6D2F"/>
    <w:rsid w:val="00000280"/>
    <w:rsid w:val="00000C82"/>
    <w:rsid w:val="00010A7D"/>
    <w:rsid w:val="000133FB"/>
    <w:rsid w:val="00022A9B"/>
    <w:rsid w:val="00023CE6"/>
    <w:rsid w:val="0002407A"/>
    <w:rsid w:val="000370E7"/>
    <w:rsid w:val="000375DE"/>
    <w:rsid w:val="00043E70"/>
    <w:rsid w:val="00044C0F"/>
    <w:rsid w:val="00056333"/>
    <w:rsid w:val="000567E7"/>
    <w:rsid w:val="00067D4C"/>
    <w:rsid w:val="0007038B"/>
    <w:rsid w:val="000705C6"/>
    <w:rsid w:val="000717E0"/>
    <w:rsid w:val="00072E42"/>
    <w:rsid w:val="00077CCE"/>
    <w:rsid w:val="00083143"/>
    <w:rsid w:val="00086202"/>
    <w:rsid w:val="000978C6"/>
    <w:rsid w:val="000A05A2"/>
    <w:rsid w:val="000A1431"/>
    <w:rsid w:val="000A29FA"/>
    <w:rsid w:val="000A447D"/>
    <w:rsid w:val="000A69B5"/>
    <w:rsid w:val="000A6D13"/>
    <w:rsid w:val="000B20E7"/>
    <w:rsid w:val="000C0111"/>
    <w:rsid w:val="000C0A36"/>
    <w:rsid w:val="000D002F"/>
    <w:rsid w:val="000D24C2"/>
    <w:rsid w:val="000D42EA"/>
    <w:rsid w:val="000D614B"/>
    <w:rsid w:val="000E1E01"/>
    <w:rsid w:val="000E7B77"/>
    <w:rsid w:val="0010030D"/>
    <w:rsid w:val="00102C03"/>
    <w:rsid w:val="00103B6F"/>
    <w:rsid w:val="00104882"/>
    <w:rsid w:val="00112FB5"/>
    <w:rsid w:val="0011795F"/>
    <w:rsid w:val="0012433F"/>
    <w:rsid w:val="0012463F"/>
    <w:rsid w:val="001307EA"/>
    <w:rsid w:val="0013085F"/>
    <w:rsid w:val="001407F9"/>
    <w:rsid w:val="00157862"/>
    <w:rsid w:val="001743AD"/>
    <w:rsid w:val="001777D0"/>
    <w:rsid w:val="00183BFB"/>
    <w:rsid w:val="001862CC"/>
    <w:rsid w:val="00190671"/>
    <w:rsid w:val="001973D3"/>
    <w:rsid w:val="00197552"/>
    <w:rsid w:val="001A599E"/>
    <w:rsid w:val="001B1E2A"/>
    <w:rsid w:val="001B2373"/>
    <w:rsid w:val="001B6678"/>
    <w:rsid w:val="001B7B71"/>
    <w:rsid w:val="001C6F25"/>
    <w:rsid w:val="001D2920"/>
    <w:rsid w:val="001D5801"/>
    <w:rsid w:val="001E12B9"/>
    <w:rsid w:val="001E21A4"/>
    <w:rsid w:val="001E3CCB"/>
    <w:rsid w:val="001E48CA"/>
    <w:rsid w:val="001E49A6"/>
    <w:rsid w:val="001F015B"/>
    <w:rsid w:val="00202D99"/>
    <w:rsid w:val="002104B6"/>
    <w:rsid w:val="00220FCE"/>
    <w:rsid w:val="00235CA8"/>
    <w:rsid w:val="00236CA1"/>
    <w:rsid w:val="00237443"/>
    <w:rsid w:val="002400B1"/>
    <w:rsid w:val="00253DE2"/>
    <w:rsid w:val="00257513"/>
    <w:rsid w:val="002606B1"/>
    <w:rsid w:val="0026544C"/>
    <w:rsid w:val="0026595C"/>
    <w:rsid w:val="00270E1E"/>
    <w:rsid w:val="002856FD"/>
    <w:rsid w:val="00293808"/>
    <w:rsid w:val="00295DBC"/>
    <w:rsid w:val="002A2156"/>
    <w:rsid w:val="002A2997"/>
    <w:rsid w:val="002A5976"/>
    <w:rsid w:val="002B05CC"/>
    <w:rsid w:val="002B160E"/>
    <w:rsid w:val="002B21A4"/>
    <w:rsid w:val="002B30B4"/>
    <w:rsid w:val="002B519B"/>
    <w:rsid w:val="002B5916"/>
    <w:rsid w:val="002E6ABB"/>
    <w:rsid w:val="002E785F"/>
    <w:rsid w:val="002E79F6"/>
    <w:rsid w:val="002F0770"/>
    <w:rsid w:val="002F65F3"/>
    <w:rsid w:val="002F783F"/>
    <w:rsid w:val="00324C35"/>
    <w:rsid w:val="00326C9A"/>
    <w:rsid w:val="003270C9"/>
    <w:rsid w:val="00331442"/>
    <w:rsid w:val="003445F7"/>
    <w:rsid w:val="00346A18"/>
    <w:rsid w:val="00357D19"/>
    <w:rsid w:val="0036358D"/>
    <w:rsid w:val="0037011A"/>
    <w:rsid w:val="003844E4"/>
    <w:rsid w:val="00385BA2"/>
    <w:rsid w:val="00391A5C"/>
    <w:rsid w:val="00393E50"/>
    <w:rsid w:val="003947F4"/>
    <w:rsid w:val="003951DD"/>
    <w:rsid w:val="003A4F07"/>
    <w:rsid w:val="003A5BC6"/>
    <w:rsid w:val="003C452D"/>
    <w:rsid w:val="003C4635"/>
    <w:rsid w:val="003C70DC"/>
    <w:rsid w:val="003D3ADE"/>
    <w:rsid w:val="003D52AA"/>
    <w:rsid w:val="003D5C2B"/>
    <w:rsid w:val="003D72CB"/>
    <w:rsid w:val="003E0010"/>
    <w:rsid w:val="003E50EF"/>
    <w:rsid w:val="003F4177"/>
    <w:rsid w:val="00400A59"/>
    <w:rsid w:val="004113D7"/>
    <w:rsid w:val="004168C2"/>
    <w:rsid w:val="00420BEA"/>
    <w:rsid w:val="0042244B"/>
    <w:rsid w:val="00424C10"/>
    <w:rsid w:val="00425AB5"/>
    <w:rsid w:val="00440215"/>
    <w:rsid w:val="00441C2B"/>
    <w:rsid w:val="00442397"/>
    <w:rsid w:val="004424AB"/>
    <w:rsid w:val="00443F9B"/>
    <w:rsid w:val="004509E0"/>
    <w:rsid w:val="00463206"/>
    <w:rsid w:val="004708F7"/>
    <w:rsid w:val="004804AF"/>
    <w:rsid w:val="00481BF6"/>
    <w:rsid w:val="004861BC"/>
    <w:rsid w:val="0049348C"/>
    <w:rsid w:val="00497A12"/>
    <w:rsid w:val="004A3DD7"/>
    <w:rsid w:val="004B2D6D"/>
    <w:rsid w:val="004B7F9A"/>
    <w:rsid w:val="004C08D9"/>
    <w:rsid w:val="004C0D6A"/>
    <w:rsid w:val="004C53C7"/>
    <w:rsid w:val="004E2A0E"/>
    <w:rsid w:val="004E2D54"/>
    <w:rsid w:val="004E3304"/>
    <w:rsid w:val="004E582B"/>
    <w:rsid w:val="004F3110"/>
    <w:rsid w:val="004F49F6"/>
    <w:rsid w:val="004F7C46"/>
    <w:rsid w:val="00503D56"/>
    <w:rsid w:val="00504631"/>
    <w:rsid w:val="00520778"/>
    <w:rsid w:val="00540A89"/>
    <w:rsid w:val="0054228B"/>
    <w:rsid w:val="00556262"/>
    <w:rsid w:val="00571A87"/>
    <w:rsid w:val="0058429B"/>
    <w:rsid w:val="00590CA3"/>
    <w:rsid w:val="00592C88"/>
    <w:rsid w:val="0059303E"/>
    <w:rsid w:val="005935DB"/>
    <w:rsid w:val="0059427B"/>
    <w:rsid w:val="00597167"/>
    <w:rsid w:val="005A067C"/>
    <w:rsid w:val="005A1229"/>
    <w:rsid w:val="005A4706"/>
    <w:rsid w:val="005A7DF0"/>
    <w:rsid w:val="005B216E"/>
    <w:rsid w:val="005B3D1F"/>
    <w:rsid w:val="005C09A0"/>
    <w:rsid w:val="005C2651"/>
    <w:rsid w:val="005C3056"/>
    <w:rsid w:val="005C35DA"/>
    <w:rsid w:val="005C5CDA"/>
    <w:rsid w:val="005D15F3"/>
    <w:rsid w:val="005D30AF"/>
    <w:rsid w:val="005D3F76"/>
    <w:rsid w:val="005E082D"/>
    <w:rsid w:val="005E41EA"/>
    <w:rsid w:val="005E4685"/>
    <w:rsid w:val="005E59A0"/>
    <w:rsid w:val="005E6373"/>
    <w:rsid w:val="005E6D97"/>
    <w:rsid w:val="005F721A"/>
    <w:rsid w:val="00604360"/>
    <w:rsid w:val="006054DD"/>
    <w:rsid w:val="0061312C"/>
    <w:rsid w:val="00614A2A"/>
    <w:rsid w:val="006200FB"/>
    <w:rsid w:val="00627A57"/>
    <w:rsid w:val="00627D4F"/>
    <w:rsid w:val="00631054"/>
    <w:rsid w:val="00634C31"/>
    <w:rsid w:val="00636174"/>
    <w:rsid w:val="00640243"/>
    <w:rsid w:val="00641ED4"/>
    <w:rsid w:val="00644D9D"/>
    <w:rsid w:val="00645232"/>
    <w:rsid w:val="00646987"/>
    <w:rsid w:val="00651A40"/>
    <w:rsid w:val="00652C60"/>
    <w:rsid w:val="00652CE5"/>
    <w:rsid w:val="00661F91"/>
    <w:rsid w:val="006658A3"/>
    <w:rsid w:val="00671724"/>
    <w:rsid w:val="00673E7C"/>
    <w:rsid w:val="006745BD"/>
    <w:rsid w:val="00677044"/>
    <w:rsid w:val="00690D04"/>
    <w:rsid w:val="006A0782"/>
    <w:rsid w:val="006A0D4E"/>
    <w:rsid w:val="006A1CB2"/>
    <w:rsid w:val="006A438B"/>
    <w:rsid w:val="006A78F6"/>
    <w:rsid w:val="006B2631"/>
    <w:rsid w:val="006B6B08"/>
    <w:rsid w:val="006B6FD3"/>
    <w:rsid w:val="006C311D"/>
    <w:rsid w:val="006C4992"/>
    <w:rsid w:val="006E1DCF"/>
    <w:rsid w:val="006E71D7"/>
    <w:rsid w:val="006F28A3"/>
    <w:rsid w:val="006F58FD"/>
    <w:rsid w:val="00711DA7"/>
    <w:rsid w:val="007137C6"/>
    <w:rsid w:val="00722D56"/>
    <w:rsid w:val="00725D74"/>
    <w:rsid w:val="0072633A"/>
    <w:rsid w:val="00730484"/>
    <w:rsid w:val="0073796E"/>
    <w:rsid w:val="00745189"/>
    <w:rsid w:val="00746D3A"/>
    <w:rsid w:val="00752169"/>
    <w:rsid w:val="00754B54"/>
    <w:rsid w:val="00756601"/>
    <w:rsid w:val="0076149B"/>
    <w:rsid w:val="007620A8"/>
    <w:rsid w:val="00762198"/>
    <w:rsid w:val="00762953"/>
    <w:rsid w:val="00772CDA"/>
    <w:rsid w:val="00775698"/>
    <w:rsid w:val="00775B9D"/>
    <w:rsid w:val="0079046F"/>
    <w:rsid w:val="00790CAF"/>
    <w:rsid w:val="00791FBA"/>
    <w:rsid w:val="0079305C"/>
    <w:rsid w:val="0079375C"/>
    <w:rsid w:val="00793F91"/>
    <w:rsid w:val="007A0EAA"/>
    <w:rsid w:val="007A2D74"/>
    <w:rsid w:val="007A5D55"/>
    <w:rsid w:val="007A72B9"/>
    <w:rsid w:val="007C0CC1"/>
    <w:rsid w:val="007C45F8"/>
    <w:rsid w:val="007C538D"/>
    <w:rsid w:val="007C62D0"/>
    <w:rsid w:val="007D20FF"/>
    <w:rsid w:val="007D2E33"/>
    <w:rsid w:val="007F5582"/>
    <w:rsid w:val="007F73E9"/>
    <w:rsid w:val="00804D9C"/>
    <w:rsid w:val="00804EE2"/>
    <w:rsid w:val="0080512A"/>
    <w:rsid w:val="008065E3"/>
    <w:rsid w:val="008144A4"/>
    <w:rsid w:val="00821661"/>
    <w:rsid w:val="008224C2"/>
    <w:rsid w:val="00841DA9"/>
    <w:rsid w:val="0084394B"/>
    <w:rsid w:val="00845071"/>
    <w:rsid w:val="008626E8"/>
    <w:rsid w:val="00864262"/>
    <w:rsid w:val="0086508B"/>
    <w:rsid w:val="0086609A"/>
    <w:rsid w:val="008709CF"/>
    <w:rsid w:val="00875208"/>
    <w:rsid w:val="008A04A2"/>
    <w:rsid w:val="008A35C4"/>
    <w:rsid w:val="008A59F5"/>
    <w:rsid w:val="008B3F43"/>
    <w:rsid w:val="008B4E46"/>
    <w:rsid w:val="008C1DA2"/>
    <w:rsid w:val="008C5360"/>
    <w:rsid w:val="008C5CB2"/>
    <w:rsid w:val="008C5DBF"/>
    <w:rsid w:val="008D2585"/>
    <w:rsid w:val="008E5DB1"/>
    <w:rsid w:val="008E657F"/>
    <w:rsid w:val="008F2574"/>
    <w:rsid w:val="008F451E"/>
    <w:rsid w:val="008F76EE"/>
    <w:rsid w:val="008F7EA3"/>
    <w:rsid w:val="00900A10"/>
    <w:rsid w:val="00901348"/>
    <w:rsid w:val="00926996"/>
    <w:rsid w:val="00932572"/>
    <w:rsid w:val="0093285B"/>
    <w:rsid w:val="00935AA5"/>
    <w:rsid w:val="0094462D"/>
    <w:rsid w:val="00950BA9"/>
    <w:rsid w:val="0095233D"/>
    <w:rsid w:val="009758A6"/>
    <w:rsid w:val="00976631"/>
    <w:rsid w:val="0098105D"/>
    <w:rsid w:val="00982467"/>
    <w:rsid w:val="0098418B"/>
    <w:rsid w:val="009934B6"/>
    <w:rsid w:val="009A00EB"/>
    <w:rsid w:val="009A2447"/>
    <w:rsid w:val="009A2804"/>
    <w:rsid w:val="009A46A4"/>
    <w:rsid w:val="009A609A"/>
    <w:rsid w:val="009C1440"/>
    <w:rsid w:val="009C36B6"/>
    <w:rsid w:val="009C438E"/>
    <w:rsid w:val="009C4661"/>
    <w:rsid w:val="009C6385"/>
    <w:rsid w:val="009D41A8"/>
    <w:rsid w:val="009E08AD"/>
    <w:rsid w:val="009E685F"/>
    <w:rsid w:val="009E764A"/>
    <w:rsid w:val="009F05F5"/>
    <w:rsid w:val="009F5134"/>
    <w:rsid w:val="009F76F0"/>
    <w:rsid w:val="00A035C8"/>
    <w:rsid w:val="00A121CD"/>
    <w:rsid w:val="00A24239"/>
    <w:rsid w:val="00A3521D"/>
    <w:rsid w:val="00A35A6A"/>
    <w:rsid w:val="00A36C83"/>
    <w:rsid w:val="00A52547"/>
    <w:rsid w:val="00A54933"/>
    <w:rsid w:val="00A560DA"/>
    <w:rsid w:val="00A57E31"/>
    <w:rsid w:val="00A60DFB"/>
    <w:rsid w:val="00A65366"/>
    <w:rsid w:val="00A71652"/>
    <w:rsid w:val="00A80A74"/>
    <w:rsid w:val="00A856B7"/>
    <w:rsid w:val="00A87176"/>
    <w:rsid w:val="00A91DD9"/>
    <w:rsid w:val="00A974BC"/>
    <w:rsid w:val="00AA68A3"/>
    <w:rsid w:val="00AB0FE1"/>
    <w:rsid w:val="00AB64C3"/>
    <w:rsid w:val="00AC1447"/>
    <w:rsid w:val="00AC7899"/>
    <w:rsid w:val="00AD4023"/>
    <w:rsid w:val="00AE1B7F"/>
    <w:rsid w:val="00AE5879"/>
    <w:rsid w:val="00AE7406"/>
    <w:rsid w:val="00AF0AAC"/>
    <w:rsid w:val="00AF251F"/>
    <w:rsid w:val="00AF2C98"/>
    <w:rsid w:val="00AF5493"/>
    <w:rsid w:val="00B00F37"/>
    <w:rsid w:val="00B03557"/>
    <w:rsid w:val="00B038E7"/>
    <w:rsid w:val="00B13760"/>
    <w:rsid w:val="00B17F85"/>
    <w:rsid w:val="00B2089A"/>
    <w:rsid w:val="00B2118B"/>
    <w:rsid w:val="00B2569A"/>
    <w:rsid w:val="00B26666"/>
    <w:rsid w:val="00B26F70"/>
    <w:rsid w:val="00B33CCC"/>
    <w:rsid w:val="00B35A7C"/>
    <w:rsid w:val="00B35C4F"/>
    <w:rsid w:val="00B40520"/>
    <w:rsid w:val="00B43E78"/>
    <w:rsid w:val="00B44D76"/>
    <w:rsid w:val="00B50219"/>
    <w:rsid w:val="00B51522"/>
    <w:rsid w:val="00B52286"/>
    <w:rsid w:val="00B602BC"/>
    <w:rsid w:val="00B60844"/>
    <w:rsid w:val="00B66DD5"/>
    <w:rsid w:val="00B72A67"/>
    <w:rsid w:val="00B73562"/>
    <w:rsid w:val="00B75CF8"/>
    <w:rsid w:val="00B9089C"/>
    <w:rsid w:val="00B92543"/>
    <w:rsid w:val="00B956DF"/>
    <w:rsid w:val="00B97A20"/>
    <w:rsid w:val="00BA06A8"/>
    <w:rsid w:val="00BA4336"/>
    <w:rsid w:val="00BA55FA"/>
    <w:rsid w:val="00BA72BA"/>
    <w:rsid w:val="00BB2378"/>
    <w:rsid w:val="00BC00A7"/>
    <w:rsid w:val="00BC09EA"/>
    <w:rsid w:val="00BC5CD8"/>
    <w:rsid w:val="00BC6241"/>
    <w:rsid w:val="00BC764C"/>
    <w:rsid w:val="00BC7C0A"/>
    <w:rsid w:val="00BD0DD9"/>
    <w:rsid w:val="00BD2C08"/>
    <w:rsid w:val="00BD39BD"/>
    <w:rsid w:val="00BE6C70"/>
    <w:rsid w:val="00BE6DB9"/>
    <w:rsid w:val="00BE7544"/>
    <w:rsid w:val="00BF4B49"/>
    <w:rsid w:val="00C00880"/>
    <w:rsid w:val="00C064E1"/>
    <w:rsid w:val="00C07D69"/>
    <w:rsid w:val="00C12556"/>
    <w:rsid w:val="00C137F8"/>
    <w:rsid w:val="00C14794"/>
    <w:rsid w:val="00C26E0D"/>
    <w:rsid w:val="00C32FF4"/>
    <w:rsid w:val="00C34AC8"/>
    <w:rsid w:val="00C379DD"/>
    <w:rsid w:val="00C40B67"/>
    <w:rsid w:val="00C52C03"/>
    <w:rsid w:val="00C554A7"/>
    <w:rsid w:val="00C55AFF"/>
    <w:rsid w:val="00C56DF5"/>
    <w:rsid w:val="00C57F96"/>
    <w:rsid w:val="00C64771"/>
    <w:rsid w:val="00C64BE2"/>
    <w:rsid w:val="00C6726B"/>
    <w:rsid w:val="00C759B3"/>
    <w:rsid w:val="00C77176"/>
    <w:rsid w:val="00C774E5"/>
    <w:rsid w:val="00C8038D"/>
    <w:rsid w:val="00C8607D"/>
    <w:rsid w:val="00C90BFE"/>
    <w:rsid w:val="00C925B0"/>
    <w:rsid w:val="00C94416"/>
    <w:rsid w:val="00CA088A"/>
    <w:rsid w:val="00CA73DA"/>
    <w:rsid w:val="00CB2D59"/>
    <w:rsid w:val="00CB31E4"/>
    <w:rsid w:val="00CD58B5"/>
    <w:rsid w:val="00CE4DFC"/>
    <w:rsid w:val="00CE7C21"/>
    <w:rsid w:val="00D0581F"/>
    <w:rsid w:val="00D05A98"/>
    <w:rsid w:val="00D074D2"/>
    <w:rsid w:val="00D10D14"/>
    <w:rsid w:val="00D10E02"/>
    <w:rsid w:val="00D15AFA"/>
    <w:rsid w:val="00D15CA7"/>
    <w:rsid w:val="00D172B9"/>
    <w:rsid w:val="00D3576A"/>
    <w:rsid w:val="00D36015"/>
    <w:rsid w:val="00D36652"/>
    <w:rsid w:val="00D44315"/>
    <w:rsid w:val="00D45FC0"/>
    <w:rsid w:val="00D52401"/>
    <w:rsid w:val="00D540DB"/>
    <w:rsid w:val="00D667D2"/>
    <w:rsid w:val="00D673C2"/>
    <w:rsid w:val="00D71620"/>
    <w:rsid w:val="00D808E2"/>
    <w:rsid w:val="00D81396"/>
    <w:rsid w:val="00D86518"/>
    <w:rsid w:val="00D86F4F"/>
    <w:rsid w:val="00D936DD"/>
    <w:rsid w:val="00D93DAF"/>
    <w:rsid w:val="00DA0231"/>
    <w:rsid w:val="00DA365C"/>
    <w:rsid w:val="00DA6C25"/>
    <w:rsid w:val="00DC330D"/>
    <w:rsid w:val="00DC4045"/>
    <w:rsid w:val="00DC6D2F"/>
    <w:rsid w:val="00DD7EC3"/>
    <w:rsid w:val="00DE355F"/>
    <w:rsid w:val="00DE6EF6"/>
    <w:rsid w:val="00DF1604"/>
    <w:rsid w:val="00DF4380"/>
    <w:rsid w:val="00DF4443"/>
    <w:rsid w:val="00DF5DFA"/>
    <w:rsid w:val="00E0173F"/>
    <w:rsid w:val="00E01F71"/>
    <w:rsid w:val="00E03BD9"/>
    <w:rsid w:val="00E05625"/>
    <w:rsid w:val="00E15BEC"/>
    <w:rsid w:val="00E2117B"/>
    <w:rsid w:val="00E22F69"/>
    <w:rsid w:val="00E27E60"/>
    <w:rsid w:val="00E3315B"/>
    <w:rsid w:val="00E337DF"/>
    <w:rsid w:val="00E341FA"/>
    <w:rsid w:val="00E4154F"/>
    <w:rsid w:val="00E42196"/>
    <w:rsid w:val="00E46DC2"/>
    <w:rsid w:val="00E51483"/>
    <w:rsid w:val="00E53554"/>
    <w:rsid w:val="00E57B5A"/>
    <w:rsid w:val="00E6061B"/>
    <w:rsid w:val="00E64E7D"/>
    <w:rsid w:val="00E71B5F"/>
    <w:rsid w:val="00E7517F"/>
    <w:rsid w:val="00E755B7"/>
    <w:rsid w:val="00E76379"/>
    <w:rsid w:val="00E763F7"/>
    <w:rsid w:val="00E812D3"/>
    <w:rsid w:val="00E939FF"/>
    <w:rsid w:val="00EA0B57"/>
    <w:rsid w:val="00EA1F77"/>
    <w:rsid w:val="00EA2F8F"/>
    <w:rsid w:val="00EA34B9"/>
    <w:rsid w:val="00EA5D6B"/>
    <w:rsid w:val="00EA6A37"/>
    <w:rsid w:val="00EB0380"/>
    <w:rsid w:val="00EB644B"/>
    <w:rsid w:val="00ED0904"/>
    <w:rsid w:val="00ED19DB"/>
    <w:rsid w:val="00ED5FE3"/>
    <w:rsid w:val="00EE2375"/>
    <w:rsid w:val="00F05E7E"/>
    <w:rsid w:val="00F120C0"/>
    <w:rsid w:val="00F20264"/>
    <w:rsid w:val="00F25DEC"/>
    <w:rsid w:val="00F337FA"/>
    <w:rsid w:val="00F3590C"/>
    <w:rsid w:val="00F41126"/>
    <w:rsid w:val="00F42696"/>
    <w:rsid w:val="00F45D04"/>
    <w:rsid w:val="00F46CCB"/>
    <w:rsid w:val="00F4748B"/>
    <w:rsid w:val="00F51934"/>
    <w:rsid w:val="00F5244F"/>
    <w:rsid w:val="00F5279B"/>
    <w:rsid w:val="00F61922"/>
    <w:rsid w:val="00F63BA1"/>
    <w:rsid w:val="00F64396"/>
    <w:rsid w:val="00F72C49"/>
    <w:rsid w:val="00F77B1F"/>
    <w:rsid w:val="00F82279"/>
    <w:rsid w:val="00F85BD0"/>
    <w:rsid w:val="00F90B7C"/>
    <w:rsid w:val="00F94052"/>
    <w:rsid w:val="00FA0F1F"/>
    <w:rsid w:val="00FA5643"/>
    <w:rsid w:val="00FB226B"/>
    <w:rsid w:val="00FB291B"/>
    <w:rsid w:val="00FB2ED8"/>
    <w:rsid w:val="00FB5652"/>
    <w:rsid w:val="00FB6952"/>
    <w:rsid w:val="00FB7926"/>
    <w:rsid w:val="00FD6CBD"/>
    <w:rsid w:val="00FE11D5"/>
    <w:rsid w:val="00FE32F8"/>
    <w:rsid w:val="00FE476B"/>
    <w:rsid w:val="00FE58DB"/>
    <w:rsid w:val="00FF31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0F7AAF5"/>
  <w15:docId w15:val="{3CFFF089-C9B2-4DDF-AF78-45BBBA11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E2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6F28A3"/>
    <w:pPr>
      <w:keepNext/>
      <w:keepLines/>
      <w:spacing w:after="240" w:line="240" w:lineRule="auto"/>
      <w:jc w:val="center"/>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1B1E2A"/>
    <w:pPr>
      <w:keepNext/>
      <w:keepLines/>
      <w:spacing w:before="2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12433F"/>
    <w:pPr>
      <w:keepNext/>
      <w:keepLines/>
      <w:ind w:left="72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8A3"/>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1B1E2A"/>
    <w:rPr>
      <w:rFonts w:ascii="Times New Roman" w:eastAsiaTheme="majorEastAsia" w:hAnsi="Times New Roman" w:cstheme="majorBidi"/>
      <w:b/>
      <w:sz w:val="24"/>
      <w:szCs w:val="26"/>
    </w:rPr>
  </w:style>
  <w:style w:type="paragraph" w:styleId="BalloonText">
    <w:name w:val="Balloon Text"/>
    <w:basedOn w:val="Normal"/>
    <w:link w:val="BalloonTextChar"/>
    <w:uiPriority w:val="99"/>
    <w:semiHidden/>
    <w:unhideWhenUsed/>
    <w:rsid w:val="00DC6D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D2F"/>
    <w:rPr>
      <w:rFonts w:ascii="Segoe UI" w:hAnsi="Segoe UI" w:cs="Segoe UI"/>
      <w:sz w:val="18"/>
      <w:szCs w:val="18"/>
    </w:rPr>
  </w:style>
  <w:style w:type="paragraph" w:customStyle="1" w:styleId="EndNoteBibliographyTitle">
    <w:name w:val="EndNote Bibliography Title"/>
    <w:basedOn w:val="Normal"/>
    <w:link w:val="EndNoteBibliographyTitleChar"/>
    <w:rsid w:val="00DC6D2F"/>
    <w:pPr>
      <w:jc w:val="center"/>
    </w:pPr>
    <w:rPr>
      <w:rFonts w:cs="Times New Roman"/>
      <w:noProof/>
    </w:rPr>
  </w:style>
  <w:style w:type="character" w:customStyle="1" w:styleId="EndNoteBibliographyTitleChar">
    <w:name w:val="EndNote Bibliography Title Char"/>
    <w:basedOn w:val="DefaultParagraphFont"/>
    <w:link w:val="EndNoteBibliographyTitle"/>
    <w:rsid w:val="00DC6D2F"/>
    <w:rPr>
      <w:rFonts w:ascii="Times New Roman" w:hAnsi="Times New Roman" w:cs="Times New Roman"/>
      <w:noProof/>
      <w:sz w:val="24"/>
    </w:rPr>
  </w:style>
  <w:style w:type="paragraph" w:customStyle="1" w:styleId="EndNoteBibliography">
    <w:name w:val="EndNote Bibliography"/>
    <w:basedOn w:val="Normal"/>
    <w:link w:val="EndNoteBibliographyChar"/>
    <w:rsid w:val="00DC6D2F"/>
    <w:pPr>
      <w:spacing w:line="240" w:lineRule="auto"/>
    </w:pPr>
    <w:rPr>
      <w:rFonts w:cs="Times New Roman"/>
      <w:noProof/>
    </w:rPr>
  </w:style>
  <w:style w:type="character" w:customStyle="1" w:styleId="EndNoteBibliographyChar">
    <w:name w:val="EndNote Bibliography Char"/>
    <w:basedOn w:val="DefaultParagraphFont"/>
    <w:link w:val="EndNoteBibliography"/>
    <w:rsid w:val="00DC6D2F"/>
    <w:rPr>
      <w:rFonts w:ascii="Times New Roman" w:hAnsi="Times New Roman" w:cs="Times New Roman"/>
      <w:noProof/>
      <w:sz w:val="24"/>
    </w:rPr>
  </w:style>
  <w:style w:type="paragraph" w:styleId="FootnoteText">
    <w:name w:val="footnote text"/>
    <w:basedOn w:val="Normal"/>
    <w:link w:val="FootnoteTextChar"/>
    <w:uiPriority w:val="99"/>
    <w:semiHidden/>
    <w:unhideWhenUsed/>
    <w:rsid w:val="00DC6D2F"/>
    <w:pPr>
      <w:spacing w:line="240" w:lineRule="auto"/>
    </w:pPr>
    <w:rPr>
      <w:sz w:val="20"/>
      <w:szCs w:val="20"/>
    </w:rPr>
  </w:style>
  <w:style w:type="character" w:customStyle="1" w:styleId="FootnoteTextChar">
    <w:name w:val="Footnote Text Char"/>
    <w:basedOn w:val="DefaultParagraphFont"/>
    <w:link w:val="FootnoteText"/>
    <w:uiPriority w:val="99"/>
    <w:semiHidden/>
    <w:rsid w:val="00DC6D2F"/>
    <w:rPr>
      <w:rFonts w:ascii="Times New Roman" w:hAnsi="Times New Roman"/>
      <w:sz w:val="20"/>
      <w:szCs w:val="20"/>
    </w:rPr>
  </w:style>
  <w:style w:type="character" w:styleId="FootnoteReference">
    <w:name w:val="footnote reference"/>
    <w:basedOn w:val="DefaultParagraphFont"/>
    <w:uiPriority w:val="99"/>
    <w:semiHidden/>
    <w:unhideWhenUsed/>
    <w:rsid w:val="00DC6D2F"/>
    <w:rPr>
      <w:vertAlign w:val="superscript"/>
    </w:rPr>
  </w:style>
  <w:style w:type="character" w:styleId="Hyperlink">
    <w:name w:val="Hyperlink"/>
    <w:basedOn w:val="DefaultParagraphFont"/>
    <w:uiPriority w:val="99"/>
    <w:unhideWhenUsed/>
    <w:rsid w:val="00DC6D2F"/>
    <w:rPr>
      <w:color w:val="0563C1" w:themeColor="hyperlink"/>
      <w:u w:val="single"/>
    </w:rPr>
  </w:style>
  <w:style w:type="paragraph" w:styleId="ListParagraph">
    <w:name w:val="List Paragraph"/>
    <w:basedOn w:val="Normal"/>
    <w:uiPriority w:val="34"/>
    <w:qFormat/>
    <w:rsid w:val="00DC6D2F"/>
    <w:pPr>
      <w:ind w:left="720"/>
      <w:contextualSpacing/>
    </w:pPr>
  </w:style>
  <w:style w:type="character" w:styleId="CommentReference">
    <w:name w:val="annotation reference"/>
    <w:basedOn w:val="DefaultParagraphFont"/>
    <w:uiPriority w:val="99"/>
    <w:semiHidden/>
    <w:unhideWhenUsed/>
    <w:rsid w:val="00DC6D2F"/>
    <w:rPr>
      <w:sz w:val="16"/>
      <w:szCs w:val="16"/>
    </w:rPr>
  </w:style>
  <w:style w:type="paragraph" w:styleId="CommentText">
    <w:name w:val="annotation text"/>
    <w:basedOn w:val="Normal"/>
    <w:link w:val="CommentTextChar"/>
    <w:uiPriority w:val="99"/>
    <w:semiHidden/>
    <w:unhideWhenUsed/>
    <w:rsid w:val="00DC6D2F"/>
    <w:pPr>
      <w:spacing w:line="240" w:lineRule="auto"/>
    </w:pPr>
    <w:rPr>
      <w:sz w:val="20"/>
      <w:szCs w:val="20"/>
    </w:rPr>
  </w:style>
  <w:style w:type="character" w:customStyle="1" w:styleId="CommentTextChar">
    <w:name w:val="Comment Text Char"/>
    <w:basedOn w:val="DefaultParagraphFont"/>
    <w:link w:val="CommentText"/>
    <w:uiPriority w:val="99"/>
    <w:semiHidden/>
    <w:rsid w:val="00DC6D2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C6D2F"/>
    <w:rPr>
      <w:b/>
      <w:bCs/>
    </w:rPr>
  </w:style>
  <w:style w:type="character" w:customStyle="1" w:styleId="CommentSubjectChar">
    <w:name w:val="Comment Subject Char"/>
    <w:basedOn w:val="CommentTextChar"/>
    <w:link w:val="CommentSubject"/>
    <w:uiPriority w:val="99"/>
    <w:semiHidden/>
    <w:rsid w:val="00DC6D2F"/>
    <w:rPr>
      <w:rFonts w:ascii="Times New Roman" w:hAnsi="Times New Roman"/>
      <w:b/>
      <w:bCs/>
      <w:sz w:val="20"/>
      <w:szCs w:val="20"/>
    </w:rPr>
  </w:style>
  <w:style w:type="character" w:styleId="LineNumber">
    <w:name w:val="line number"/>
    <w:basedOn w:val="DefaultParagraphFont"/>
    <w:uiPriority w:val="99"/>
    <w:semiHidden/>
    <w:unhideWhenUsed/>
    <w:rsid w:val="00DC6D2F"/>
  </w:style>
  <w:style w:type="paragraph" w:styleId="Header">
    <w:name w:val="header"/>
    <w:basedOn w:val="Normal"/>
    <w:link w:val="HeaderChar"/>
    <w:uiPriority w:val="99"/>
    <w:unhideWhenUsed/>
    <w:rsid w:val="00DC6D2F"/>
    <w:pPr>
      <w:tabs>
        <w:tab w:val="center" w:pos="4680"/>
        <w:tab w:val="right" w:pos="9360"/>
      </w:tabs>
      <w:spacing w:line="240" w:lineRule="auto"/>
    </w:pPr>
  </w:style>
  <w:style w:type="character" w:customStyle="1" w:styleId="HeaderChar">
    <w:name w:val="Header Char"/>
    <w:basedOn w:val="DefaultParagraphFont"/>
    <w:link w:val="Header"/>
    <w:uiPriority w:val="99"/>
    <w:rsid w:val="00DC6D2F"/>
    <w:rPr>
      <w:rFonts w:ascii="Times New Roman" w:hAnsi="Times New Roman"/>
      <w:sz w:val="24"/>
    </w:rPr>
  </w:style>
  <w:style w:type="paragraph" w:styleId="Footer">
    <w:name w:val="footer"/>
    <w:basedOn w:val="Normal"/>
    <w:link w:val="FooterChar"/>
    <w:uiPriority w:val="99"/>
    <w:unhideWhenUsed/>
    <w:rsid w:val="00DC6D2F"/>
    <w:pPr>
      <w:tabs>
        <w:tab w:val="center" w:pos="4680"/>
        <w:tab w:val="right" w:pos="9360"/>
      </w:tabs>
      <w:spacing w:line="240" w:lineRule="auto"/>
    </w:pPr>
  </w:style>
  <w:style w:type="character" w:customStyle="1" w:styleId="FooterChar">
    <w:name w:val="Footer Char"/>
    <w:basedOn w:val="DefaultParagraphFont"/>
    <w:link w:val="Footer"/>
    <w:uiPriority w:val="99"/>
    <w:rsid w:val="00DC6D2F"/>
    <w:rPr>
      <w:rFonts w:ascii="Times New Roman" w:hAnsi="Times New Roman"/>
      <w:sz w:val="24"/>
    </w:rPr>
  </w:style>
  <w:style w:type="paragraph" w:styleId="EndnoteText">
    <w:name w:val="endnote text"/>
    <w:basedOn w:val="Normal"/>
    <w:link w:val="EndnoteTextChar"/>
    <w:uiPriority w:val="99"/>
    <w:unhideWhenUsed/>
    <w:rsid w:val="00DC6D2F"/>
    <w:pPr>
      <w:spacing w:line="240" w:lineRule="auto"/>
    </w:pPr>
    <w:rPr>
      <w:sz w:val="20"/>
      <w:szCs w:val="20"/>
    </w:rPr>
  </w:style>
  <w:style w:type="character" w:customStyle="1" w:styleId="EndnoteTextChar">
    <w:name w:val="Endnote Text Char"/>
    <w:basedOn w:val="DefaultParagraphFont"/>
    <w:link w:val="EndnoteText"/>
    <w:uiPriority w:val="99"/>
    <w:rsid w:val="00DC6D2F"/>
    <w:rPr>
      <w:rFonts w:ascii="Times New Roman" w:hAnsi="Times New Roman"/>
      <w:sz w:val="20"/>
      <w:szCs w:val="20"/>
    </w:rPr>
  </w:style>
  <w:style w:type="character" w:styleId="EndnoteReference">
    <w:name w:val="endnote reference"/>
    <w:basedOn w:val="DefaultParagraphFont"/>
    <w:uiPriority w:val="99"/>
    <w:semiHidden/>
    <w:unhideWhenUsed/>
    <w:rsid w:val="00DC6D2F"/>
    <w:rPr>
      <w:vertAlign w:val="superscript"/>
    </w:rPr>
  </w:style>
  <w:style w:type="paragraph" w:styleId="Title">
    <w:name w:val="Title"/>
    <w:basedOn w:val="Normal"/>
    <w:next w:val="Normal"/>
    <w:link w:val="TitleChar"/>
    <w:uiPriority w:val="10"/>
    <w:qFormat/>
    <w:rsid w:val="0012433F"/>
    <w:pPr>
      <w:spacing w:line="240" w:lineRule="auto"/>
      <w:jc w:val="center"/>
    </w:pPr>
    <w:rPr>
      <w:rFonts w:cs="Times New Roman"/>
      <w:b/>
      <w:szCs w:val="24"/>
    </w:rPr>
  </w:style>
  <w:style w:type="character" w:customStyle="1" w:styleId="TitleChar">
    <w:name w:val="Title Char"/>
    <w:basedOn w:val="DefaultParagraphFont"/>
    <w:link w:val="Title"/>
    <w:uiPriority w:val="10"/>
    <w:rsid w:val="0012433F"/>
    <w:rPr>
      <w:rFonts w:ascii="Times New Roman" w:hAnsi="Times New Roman" w:cs="Times New Roman"/>
      <w:b/>
      <w:sz w:val="24"/>
      <w:szCs w:val="24"/>
    </w:rPr>
  </w:style>
  <w:style w:type="paragraph" w:customStyle="1" w:styleId="EndNoteCategoryHeading">
    <w:name w:val="EndNote Category Heading"/>
    <w:basedOn w:val="Normal"/>
    <w:link w:val="EndNoteCategoryHeadingChar"/>
    <w:rsid w:val="00441C2B"/>
    <w:pPr>
      <w:spacing w:before="120" w:after="120"/>
    </w:pPr>
    <w:rPr>
      <w:b/>
      <w:noProof/>
    </w:rPr>
  </w:style>
  <w:style w:type="character" w:customStyle="1" w:styleId="EndNoteCategoryHeadingChar">
    <w:name w:val="EndNote Category Heading Char"/>
    <w:basedOn w:val="EndNoteBibliographyTitleChar"/>
    <w:link w:val="EndNoteCategoryHeading"/>
    <w:rsid w:val="00441C2B"/>
    <w:rPr>
      <w:rFonts w:ascii="Times New Roman" w:hAnsi="Times New Roman" w:cs="Times New Roman"/>
      <w:b/>
      <w:noProof/>
      <w:sz w:val="24"/>
    </w:rPr>
  </w:style>
  <w:style w:type="table" w:styleId="TableGrid">
    <w:name w:val="Table Grid"/>
    <w:basedOn w:val="TableNormal"/>
    <w:uiPriority w:val="59"/>
    <w:rsid w:val="00124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2433F"/>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7A5D55"/>
    <w:pPr>
      <w:spacing w:before="240"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7A5D55"/>
    <w:pPr>
      <w:spacing w:after="100"/>
    </w:pPr>
  </w:style>
  <w:style w:type="paragraph" w:styleId="TOC2">
    <w:name w:val="toc 2"/>
    <w:basedOn w:val="Normal"/>
    <w:next w:val="Normal"/>
    <w:autoRedefine/>
    <w:uiPriority w:val="39"/>
    <w:unhideWhenUsed/>
    <w:rsid w:val="007A5D55"/>
    <w:pPr>
      <w:spacing w:after="100"/>
      <w:ind w:left="240"/>
    </w:pPr>
  </w:style>
  <w:style w:type="paragraph" w:styleId="TOC3">
    <w:name w:val="toc 3"/>
    <w:basedOn w:val="Normal"/>
    <w:next w:val="Normal"/>
    <w:autoRedefine/>
    <w:uiPriority w:val="39"/>
    <w:unhideWhenUsed/>
    <w:rsid w:val="007A5D5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9190">
      <w:bodyDiv w:val="1"/>
      <w:marLeft w:val="0"/>
      <w:marRight w:val="0"/>
      <w:marTop w:val="0"/>
      <w:marBottom w:val="0"/>
      <w:divBdr>
        <w:top w:val="none" w:sz="0" w:space="0" w:color="auto"/>
        <w:left w:val="none" w:sz="0" w:space="0" w:color="auto"/>
        <w:bottom w:val="none" w:sz="0" w:space="0" w:color="auto"/>
        <w:right w:val="none" w:sz="0" w:space="0" w:color="auto"/>
      </w:divBdr>
    </w:div>
    <w:div w:id="1969505206">
      <w:bodyDiv w:val="1"/>
      <w:marLeft w:val="0"/>
      <w:marRight w:val="0"/>
      <w:marTop w:val="0"/>
      <w:marBottom w:val="0"/>
      <w:divBdr>
        <w:top w:val="none" w:sz="0" w:space="0" w:color="auto"/>
        <w:left w:val="none" w:sz="0" w:space="0" w:color="auto"/>
        <w:bottom w:val="none" w:sz="0" w:space="0" w:color="auto"/>
        <w:right w:val="none" w:sz="0" w:space="0" w:color="auto"/>
      </w:divBdr>
      <w:divsChild>
        <w:div w:id="381558289">
          <w:marLeft w:val="0"/>
          <w:marRight w:val="0"/>
          <w:marTop w:val="0"/>
          <w:marBottom w:val="0"/>
          <w:divBdr>
            <w:top w:val="none" w:sz="0" w:space="0" w:color="auto"/>
            <w:left w:val="none" w:sz="0" w:space="0" w:color="auto"/>
            <w:bottom w:val="none" w:sz="0" w:space="0" w:color="auto"/>
            <w:right w:val="none" w:sz="0" w:space="0" w:color="auto"/>
          </w:divBdr>
          <w:divsChild>
            <w:div w:id="506796091">
              <w:marLeft w:val="0"/>
              <w:marRight w:val="0"/>
              <w:marTop w:val="0"/>
              <w:marBottom w:val="0"/>
              <w:divBdr>
                <w:top w:val="none" w:sz="0" w:space="0" w:color="auto"/>
                <w:left w:val="none" w:sz="0" w:space="0" w:color="auto"/>
                <w:bottom w:val="none" w:sz="0" w:space="0" w:color="auto"/>
                <w:right w:val="none" w:sz="0" w:space="0" w:color="auto"/>
              </w:divBdr>
              <w:divsChild>
                <w:div w:id="1419525522">
                  <w:marLeft w:val="0"/>
                  <w:marRight w:val="0"/>
                  <w:marTop w:val="0"/>
                  <w:marBottom w:val="0"/>
                  <w:divBdr>
                    <w:top w:val="none" w:sz="0" w:space="0" w:color="auto"/>
                    <w:left w:val="none" w:sz="0" w:space="0" w:color="auto"/>
                    <w:bottom w:val="none" w:sz="0" w:space="0" w:color="auto"/>
                    <w:right w:val="none" w:sz="0" w:space="0" w:color="auto"/>
                  </w:divBdr>
                  <w:divsChild>
                    <w:div w:id="1367826191">
                      <w:marLeft w:val="0"/>
                      <w:marRight w:val="0"/>
                      <w:marTop w:val="0"/>
                      <w:marBottom w:val="0"/>
                      <w:divBdr>
                        <w:top w:val="none" w:sz="0" w:space="0" w:color="auto"/>
                        <w:left w:val="none" w:sz="0" w:space="0" w:color="auto"/>
                        <w:bottom w:val="none" w:sz="0" w:space="0" w:color="auto"/>
                        <w:right w:val="none" w:sz="0" w:space="0" w:color="auto"/>
                      </w:divBdr>
                      <w:divsChild>
                        <w:div w:id="1930277">
                          <w:marLeft w:val="-15"/>
                          <w:marRight w:val="0"/>
                          <w:marTop w:val="0"/>
                          <w:marBottom w:val="0"/>
                          <w:divBdr>
                            <w:top w:val="none" w:sz="0" w:space="0" w:color="auto"/>
                            <w:left w:val="none" w:sz="0" w:space="0" w:color="auto"/>
                            <w:bottom w:val="none" w:sz="0" w:space="0" w:color="auto"/>
                            <w:right w:val="none" w:sz="0" w:space="0" w:color="auto"/>
                          </w:divBdr>
                          <w:divsChild>
                            <w:div w:id="1358849985">
                              <w:marLeft w:val="0"/>
                              <w:marRight w:val="0"/>
                              <w:marTop w:val="0"/>
                              <w:marBottom w:val="0"/>
                              <w:divBdr>
                                <w:top w:val="none" w:sz="0" w:space="0" w:color="auto"/>
                                <w:left w:val="none" w:sz="0" w:space="0" w:color="auto"/>
                                <w:bottom w:val="none" w:sz="0" w:space="0" w:color="auto"/>
                                <w:right w:val="none" w:sz="0" w:space="0" w:color="auto"/>
                              </w:divBdr>
                              <w:divsChild>
                                <w:div w:id="1193492770">
                                  <w:marLeft w:val="0"/>
                                  <w:marRight w:val="0"/>
                                  <w:marTop w:val="0"/>
                                  <w:marBottom w:val="0"/>
                                  <w:divBdr>
                                    <w:top w:val="none" w:sz="0" w:space="0" w:color="auto"/>
                                    <w:left w:val="none" w:sz="0" w:space="0" w:color="auto"/>
                                    <w:bottom w:val="none" w:sz="0" w:space="0" w:color="auto"/>
                                    <w:right w:val="none" w:sz="0" w:space="0" w:color="auto"/>
                                  </w:divBdr>
                                  <w:divsChild>
                                    <w:div w:id="998728833">
                                      <w:marLeft w:val="0"/>
                                      <w:marRight w:val="-15"/>
                                      <w:marTop w:val="0"/>
                                      <w:marBottom w:val="0"/>
                                      <w:divBdr>
                                        <w:top w:val="none" w:sz="0" w:space="0" w:color="auto"/>
                                        <w:left w:val="none" w:sz="0" w:space="0" w:color="auto"/>
                                        <w:bottom w:val="none" w:sz="0" w:space="0" w:color="auto"/>
                                        <w:right w:val="none" w:sz="0" w:space="0" w:color="auto"/>
                                      </w:divBdr>
                                      <w:divsChild>
                                        <w:div w:id="1528980035">
                                          <w:marLeft w:val="0"/>
                                          <w:marRight w:val="0"/>
                                          <w:marTop w:val="0"/>
                                          <w:marBottom w:val="0"/>
                                          <w:divBdr>
                                            <w:top w:val="none" w:sz="0" w:space="0" w:color="auto"/>
                                            <w:left w:val="none" w:sz="0" w:space="0" w:color="auto"/>
                                            <w:bottom w:val="none" w:sz="0" w:space="0" w:color="auto"/>
                                            <w:right w:val="none" w:sz="0" w:space="0" w:color="auto"/>
                                          </w:divBdr>
                                          <w:divsChild>
                                            <w:div w:id="593903239">
                                              <w:marLeft w:val="0"/>
                                              <w:marRight w:val="0"/>
                                              <w:marTop w:val="0"/>
                                              <w:marBottom w:val="0"/>
                                              <w:divBdr>
                                                <w:top w:val="none" w:sz="0" w:space="0" w:color="auto"/>
                                                <w:left w:val="none" w:sz="0" w:space="0" w:color="auto"/>
                                                <w:bottom w:val="none" w:sz="0" w:space="0" w:color="auto"/>
                                                <w:right w:val="none" w:sz="0" w:space="0" w:color="auto"/>
                                              </w:divBdr>
                                              <w:divsChild>
                                                <w:div w:id="2057007430">
                                                  <w:marLeft w:val="-270"/>
                                                  <w:marRight w:val="0"/>
                                                  <w:marTop w:val="0"/>
                                                  <w:marBottom w:val="0"/>
                                                  <w:divBdr>
                                                    <w:top w:val="none" w:sz="0" w:space="0" w:color="auto"/>
                                                    <w:left w:val="none" w:sz="0" w:space="0" w:color="auto"/>
                                                    <w:bottom w:val="none" w:sz="0" w:space="0" w:color="auto"/>
                                                    <w:right w:val="none" w:sz="0" w:space="0" w:color="auto"/>
                                                  </w:divBdr>
                                                  <w:divsChild>
                                                    <w:div w:id="351230088">
                                                      <w:marLeft w:val="0"/>
                                                      <w:marRight w:val="0"/>
                                                      <w:marTop w:val="0"/>
                                                      <w:marBottom w:val="0"/>
                                                      <w:divBdr>
                                                        <w:top w:val="none" w:sz="0" w:space="0" w:color="auto"/>
                                                        <w:left w:val="none" w:sz="0" w:space="0" w:color="auto"/>
                                                        <w:bottom w:val="none" w:sz="0" w:space="0" w:color="auto"/>
                                                        <w:right w:val="none" w:sz="0" w:space="0" w:color="auto"/>
                                                      </w:divBdr>
                                                      <w:divsChild>
                                                        <w:div w:id="160584974">
                                                          <w:marLeft w:val="0"/>
                                                          <w:marRight w:val="0"/>
                                                          <w:marTop w:val="0"/>
                                                          <w:marBottom w:val="0"/>
                                                          <w:divBdr>
                                                            <w:top w:val="none" w:sz="0" w:space="0" w:color="auto"/>
                                                            <w:left w:val="none" w:sz="0" w:space="0" w:color="auto"/>
                                                            <w:bottom w:val="none" w:sz="0" w:space="0" w:color="auto"/>
                                                            <w:right w:val="none" w:sz="0" w:space="0" w:color="auto"/>
                                                          </w:divBdr>
                                                          <w:divsChild>
                                                            <w:div w:id="1033312965">
                                                              <w:marLeft w:val="0"/>
                                                              <w:marRight w:val="0"/>
                                                              <w:marTop w:val="0"/>
                                                              <w:marBottom w:val="0"/>
                                                              <w:divBdr>
                                                                <w:top w:val="none" w:sz="0" w:space="0" w:color="auto"/>
                                                                <w:left w:val="none" w:sz="0" w:space="0" w:color="auto"/>
                                                                <w:bottom w:val="none" w:sz="0" w:space="0" w:color="auto"/>
                                                                <w:right w:val="none" w:sz="0" w:space="0" w:color="auto"/>
                                                              </w:divBdr>
                                                              <w:divsChild>
                                                                <w:div w:id="277225622">
                                                                  <w:marLeft w:val="0"/>
                                                                  <w:marRight w:val="0"/>
                                                                  <w:marTop w:val="0"/>
                                                                  <w:marBottom w:val="0"/>
                                                                  <w:divBdr>
                                                                    <w:top w:val="none" w:sz="0" w:space="0" w:color="auto"/>
                                                                    <w:left w:val="none" w:sz="0" w:space="0" w:color="auto"/>
                                                                    <w:bottom w:val="none" w:sz="0" w:space="0" w:color="auto"/>
                                                                    <w:right w:val="none" w:sz="0" w:space="0" w:color="auto"/>
                                                                  </w:divBdr>
                                                                  <w:divsChild>
                                                                    <w:div w:id="788355949">
                                                                      <w:marLeft w:val="0"/>
                                                                      <w:marRight w:val="0"/>
                                                                      <w:marTop w:val="0"/>
                                                                      <w:marBottom w:val="0"/>
                                                                      <w:divBdr>
                                                                        <w:top w:val="none" w:sz="0" w:space="0" w:color="auto"/>
                                                                        <w:left w:val="none" w:sz="0" w:space="0" w:color="auto"/>
                                                                        <w:bottom w:val="none" w:sz="0" w:space="0" w:color="auto"/>
                                                                        <w:right w:val="none" w:sz="0" w:space="0" w:color="auto"/>
                                                                      </w:divBdr>
                                                                      <w:divsChild>
                                                                        <w:div w:id="185874954">
                                                                          <w:marLeft w:val="0"/>
                                                                          <w:marRight w:val="0"/>
                                                                          <w:marTop w:val="0"/>
                                                                          <w:marBottom w:val="0"/>
                                                                          <w:divBdr>
                                                                            <w:top w:val="none" w:sz="0" w:space="0" w:color="auto"/>
                                                                            <w:left w:val="none" w:sz="0" w:space="0" w:color="auto"/>
                                                                            <w:bottom w:val="none" w:sz="0" w:space="0" w:color="auto"/>
                                                                            <w:right w:val="none" w:sz="0" w:space="0" w:color="auto"/>
                                                                          </w:divBdr>
                                                                          <w:divsChild>
                                                                            <w:div w:id="917405098">
                                                                              <w:marLeft w:val="0"/>
                                                                              <w:marRight w:val="0"/>
                                                                              <w:marTop w:val="0"/>
                                                                              <w:marBottom w:val="0"/>
                                                                              <w:divBdr>
                                                                                <w:top w:val="none" w:sz="0" w:space="0" w:color="auto"/>
                                                                                <w:left w:val="none" w:sz="0" w:space="0" w:color="auto"/>
                                                                                <w:bottom w:val="none" w:sz="0" w:space="0" w:color="auto"/>
                                                                                <w:right w:val="none" w:sz="0" w:space="0" w:color="auto"/>
                                                                              </w:divBdr>
                                                                              <w:divsChild>
                                                                                <w:div w:id="476803872">
                                                                                  <w:marLeft w:val="0"/>
                                                                                  <w:marRight w:val="0"/>
                                                                                  <w:marTop w:val="0"/>
                                                                                  <w:marBottom w:val="0"/>
                                                                                  <w:divBdr>
                                                                                    <w:top w:val="single" w:sz="6" w:space="0" w:color="E5E6E9"/>
                                                                                    <w:left w:val="single" w:sz="6" w:space="0" w:color="DFE0E4"/>
                                                                                    <w:bottom w:val="single" w:sz="6" w:space="0" w:color="D0D1D5"/>
                                                                                    <w:right w:val="single" w:sz="6" w:space="0" w:color="DFE0E4"/>
                                                                                  </w:divBdr>
                                                                                  <w:divsChild>
                                                                                    <w:div w:id="1257592989">
                                                                                      <w:marLeft w:val="0"/>
                                                                                      <w:marRight w:val="0"/>
                                                                                      <w:marTop w:val="0"/>
                                                                                      <w:marBottom w:val="0"/>
                                                                                      <w:divBdr>
                                                                                        <w:top w:val="none" w:sz="0" w:space="0" w:color="auto"/>
                                                                                        <w:left w:val="none" w:sz="0" w:space="0" w:color="auto"/>
                                                                                        <w:bottom w:val="none" w:sz="0" w:space="0" w:color="auto"/>
                                                                                        <w:right w:val="none" w:sz="0" w:space="0" w:color="auto"/>
                                                                                      </w:divBdr>
                                                                                      <w:divsChild>
                                                                                        <w:div w:id="411856575">
                                                                                          <w:marLeft w:val="0"/>
                                                                                          <w:marRight w:val="0"/>
                                                                                          <w:marTop w:val="0"/>
                                                                                          <w:marBottom w:val="0"/>
                                                                                          <w:divBdr>
                                                                                            <w:top w:val="none" w:sz="0" w:space="0" w:color="auto"/>
                                                                                            <w:left w:val="none" w:sz="0" w:space="0" w:color="auto"/>
                                                                                            <w:bottom w:val="none" w:sz="0" w:space="0" w:color="auto"/>
                                                                                            <w:right w:val="none" w:sz="0" w:space="0" w:color="auto"/>
                                                                                          </w:divBdr>
                                                                                          <w:divsChild>
                                                                                            <w:div w:id="1045834732">
                                                                                              <w:marLeft w:val="0"/>
                                                                                              <w:marRight w:val="0"/>
                                                                                              <w:marTop w:val="0"/>
                                                                                              <w:marBottom w:val="0"/>
                                                                                              <w:divBdr>
                                                                                                <w:top w:val="none" w:sz="0" w:space="0" w:color="auto"/>
                                                                                                <w:left w:val="none" w:sz="0" w:space="0" w:color="auto"/>
                                                                                                <w:bottom w:val="none" w:sz="0" w:space="0" w:color="auto"/>
                                                                                                <w:right w:val="none" w:sz="0" w:space="0" w:color="auto"/>
                                                                                              </w:divBdr>
                                                                                              <w:divsChild>
                                                                                                <w:div w:id="18449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Data" Target="diagrams/data1.xml"/><Relationship Id="rId18" Type="http://schemas.openxmlformats.org/officeDocument/2006/relationships/diagramData" Target="diagrams/data2.xm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header" Target="header4.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diagramLayout" Target="diagrams/layout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Layout" Target="diagrams/layout1.xml"/><Relationship Id="rId22"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6D02B9-03F1-47F0-B1FA-DD96874BA9B2}" type="doc">
      <dgm:prSet loTypeId="urn:microsoft.com/office/officeart/2005/8/layout/hProcess9" loCatId="process" qsTypeId="urn:microsoft.com/office/officeart/2005/8/quickstyle/simple1" qsCatId="simple" csTypeId="urn:microsoft.com/office/officeart/2005/8/colors/accent1_2" csCatId="accent1" phldr="1"/>
      <dgm:spPr/>
    </dgm:pt>
    <dgm:pt modelId="{84432AC2-76D1-40E7-8092-C653079A7A76}">
      <dgm:prSet phldrT="[Text]" custT="1"/>
      <dgm:spPr/>
      <dgm:t>
        <a:bodyPr/>
        <a:lstStyle/>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Step 1</a:t>
          </a:r>
        </a:p>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Open coding</a:t>
          </a:r>
        </a:p>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Identified codes after reading data set.</a:t>
          </a:r>
        </a:p>
      </dgm:t>
    </dgm:pt>
    <dgm:pt modelId="{9624D3FB-3510-4604-91F1-055180F8F9FB}" type="parTrans" cxnId="{51056C88-11CE-4358-9FBA-2AE20FE936ED}">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9531EE1B-B37C-4EFC-BAE1-F4E36168A67E}" type="sibTrans" cxnId="{51056C88-11CE-4358-9FBA-2AE20FE936ED}">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4E5ACB6F-1132-457C-B78A-3868C340F04C}">
      <dgm:prSet phldrT="[Text]" custT="1"/>
      <dgm:spPr/>
      <dgm:t>
        <a:bodyPr/>
        <a:lstStyle/>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Step 2</a:t>
          </a:r>
        </a:p>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Re-read material until saturation occured.</a:t>
          </a:r>
        </a:p>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Three readings.</a:t>
          </a:r>
        </a:p>
      </dgm:t>
    </dgm:pt>
    <dgm:pt modelId="{280DE598-24CE-4278-ADFC-F8ED5B5AEAFD}" type="parTrans" cxnId="{0214E873-ABDB-46C3-B959-28CCA04C15B6}">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D2D4731C-A7AB-4366-856F-A6B62FA0C118}" type="sibTrans" cxnId="{0214E873-ABDB-46C3-B959-28CCA04C15B6}">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688C0314-F5C7-47CD-9564-A43E20F876B3}">
      <dgm:prSet phldrT="[Text]" custT="1"/>
      <dgm:spPr/>
      <dgm:t>
        <a:bodyPr/>
        <a:lstStyle/>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Step 5</a:t>
          </a:r>
        </a:p>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Created workable theory.</a:t>
          </a:r>
        </a:p>
      </dgm:t>
    </dgm:pt>
    <dgm:pt modelId="{0E920AD0-3B1E-4422-8E73-9A54432D290B}" type="parTrans" cxnId="{14BEBD76-C86F-40E0-851F-8916412544BE}">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17B19053-DA5D-4F8E-A63C-379737436E19}" type="sibTrans" cxnId="{14BEBD76-C86F-40E0-851F-8916412544BE}">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CF182DCC-473B-4A13-98AD-2BAC738C18FF}">
      <dgm:prSet phldrT="[Text]" custT="1"/>
      <dgm:spPr/>
      <dgm:t>
        <a:bodyPr/>
        <a:lstStyle/>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Step 3</a:t>
          </a:r>
        </a:p>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Pattern Coding</a:t>
          </a:r>
        </a:p>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Putting codes  into disernable patterns found. Initial themes.</a:t>
          </a:r>
        </a:p>
      </dgm:t>
    </dgm:pt>
    <dgm:pt modelId="{287467E5-6008-4531-A12B-C48958B6B1ED}" type="parTrans" cxnId="{06678479-BE4F-4C7B-B15B-59C063A366C4}">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1B4E923E-3D1F-41FB-9E09-962432E76B17}" type="sibTrans" cxnId="{06678479-BE4F-4C7B-B15B-59C063A366C4}">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05507652-C58E-49EC-A4E7-73DB525A85CB}">
      <dgm:prSet phldrT="[Text]" custT="1"/>
      <dgm:spPr/>
      <dgm:t>
        <a:bodyPr/>
        <a:lstStyle/>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Step 4</a:t>
          </a:r>
        </a:p>
        <a:p>
          <a:pPr algn="ctr">
            <a:lnSpc>
              <a:spcPct val="100000"/>
            </a:lnSpc>
            <a:spcBef>
              <a:spcPts val="0"/>
            </a:spcBef>
            <a:spcAft>
              <a:spcPts val="300"/>
            </a:spcAft>
          </a:pPr>
          <a:r>
            <a:rPr lang="en-US" sz="1100">
              <a:latin typeface="Times New Roman" panose="02020603050405020304" pitchFamily="18" charset="0"/>
              <a:cs typeface="Times New Roman" panose="02020603050405020304" pitchFamily="18" charset="0"/>
            </a:rPr>
            <a:t>CDA Analysis of Linguistics and Semiotics within coding.</a:t>
          </a:r>
        </a:p>
      </dgm:t>
    </dgm:pt>
    <dgm:pt modelId="{86ADD89E-E393-495D-96D5-0D482A163632}" type="parTrans" cxnId="{28A7D495-60E0-471D-8ABA-B43D58A8B6EB}">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237B2318-1954-4E5B-9791-FC9D4059B688}" type="sibTrans" cxnId="{28A7D495-60E0-471D-8ABA-B43D58A8B6EB}">
      <dgm:prSet/>
      <dgm:spPr/>
      <dgm:t>
        <a:bodyPr/>
        <a:lstStyle/>
        <a:p>
          <a:pPr algn="ctr">
            <a:spcBef>
              <a:spcPts val="2400"/>
            </a:spcBef>
          </a:pPr>
          <a:endParaRPr lang="en-US" sz="1100">
            <a:latin typeface="Times New Roman" panose="02020603050405020304" pitchFamily="18" charset="0"/>
            <a:cs typeface="Times New Roman" panose="02020603050405020304" pitchFamily="18" charset="0"/>
          </a:endParaRPr>
        </a:p>
      </dgm:t>
    </dgm:pt>
    <dgm:pt modelId="{3CA69FEB-39FF-45E1-910A-6C26295BAA25}" type="pres">
      <dgm:prSet presAssocID="{866D02B9-03F1-47F0-B1FA-DD96874BA9B2}" presName="CompostProcess" presStyleCnt="0">
        <dgm:presLayoutVars>
          <dgm:dir/>
          <dgm:resizeHandles val="exact"/>
        </dgm:presLayoutVars>
      </dgm:prSet>
      <dgm:spPr/>
    </dgm:pt>
    <dgm:pt modelId="{AA48E53E-0301-4771-9349-6BF3C538B42D}" type="pres">
      <dgm:prSet presAssocID="{866D02B9-03F1-47F0-B1FA-DD96874BA9B2}" presName="arrow" presStyleLbl="bgShp" presStyleIdx="0" presStyleCnt="1" custScaleX="117647" custLinFactNeighborX="-885" custLinFactNeighborY="313"/>
      <dgm:spPr/>
    </dgm:pt>
    <dgm:pt modelId="{0D12119D-43DA-4E95-9BA6-3019B0602023}" type="pres">
      <dgm:prSet presAssocID="{866D02B9-03F1-47F0-B1FA-DD96874BA9B2}" presName="linearProcess" presStyleCnt="0"/>
      <dgm:spPr/>
    </dgm:pt>
    <dgm:pt modelId="{43832349-58EB-49DE-A7DA-41D8E5C0E825}" type="pres">
      <dgm:prSet presAssocID="{84432AC2-76D1-40E7-8092-C653079A7A76}" presName="textNode" presStyleLbl="node1" presStyleIdx="0" presStyleCnt="5" custScaleY="203871">
        <dgm:presLayoutVars>
          <dgm:bulletEnabled val="1"/>
        </dgm:presLayoutVars>
      </dgm:prSet>
      <dgm:spPr/>
      <dgm:t>
        <a:bodyPr/>
        <a:lstStyle/>
        <a:p>
          <a:endParaRPr lang="en-US"/>
        </a:p>
      </dgm:t>
    </dgm:pt>
    <dgm:pt modelId="{826BDE8E-CCD6-498F-9C8B-39E10F83A488}" type="pres">
      <dgm:prSet presAssocID="{9531EE1B-B37C-4EFC-BAE1-F4E36168A67E}" presName="sibTrans" presStyleCnt="0"/>
      <dgm:spPr/>
    </dgm:pt>
    <dgm:pt modelId="{A922C807-46A0-441A-9EB9-AF97C1E7D1A4}" type="pres">
      <dgm:prSet presAssocID="{4E5ACB6F-1132-457C-B78A-3868C340F04C}" presName="textNode" presStyleLbl="node1" presStyleIdx="1" presStyleCnt="5" custScaleY="206113">
        <dgm:presLayoutVars>
          <dgm:bulletEnabled val="1"/>
        </dgm:presLayoutVars>
      </dgm:prSet>
      <dgm:spPr/>
      <dgm:t>
        <a:bodyPr/>
        <a:lstStyle/>
        <a:p>
          <a:endParaRPr lang="en-US"/>
        </a:p>
      </dgm:t>
    </dgm:pt>
    <dgm:pt modelId="{BD7418D4-7FA3-41D0-A342-E38C8EE8811F}" type="pres">
      <dgm:prSet presAssocID="{D2D4731C-A7AB-4366-856F-A6B62FA0C118}" presName="sibTrans" presStyleCnt="0"/>
      <dgm:spPr/>
    </dgm:pt>
    <dgm:pt modelId="{5AE802EA-2D70-4947-9A24-4F111857FBFC}" type="pres">
      <dgm:prSet presAssocID="{CF182DCC-473B-4A13-98AD-2BAC738C18FF}" presName="textNode" presStyleLbl="node1" presStyleIdx="2" presStyleCnt="5" custScaleY="206113">
        <dgm:presLayoutVars>
          <dgm:bulletEnabled val="1"/>
        </dgm:presLayoutVars>
      </dgm:prSet>
      <dgm:spPr/>
      <dgm:t>
        <a:bodyPr/>
        <a:lstStyle/>
        <a:p>
          <a:endParaRPr lang="en-US"/>
        </a:p>
      </dgm:t>
    </dgm:pt>
    <dgm:pt modelId="{C5CBE3FA-9D44-46C5-876B-91B66849164B}" type="pres">
      <dgm:prSet presAssocID="{1B4E923E-3D1F-41FB-9E09-962432E76B17}" presName="sibTrans" presStyleCnt="0"/>
      <dgm:spPr/>
    </dgm:pt>
    <dgm:pt modelId="{6A94A818-9C54-485F-B854-9E9ADF7C2EC4}" type="pres">
      <dgm:prSet presAssocID="{05507652-C58E-49EC-A4E7-73DB525A85CB}" presName="textNode" presStyleLbl="node1" presStyleIdx="3" presStyleCnt="5" custScaleY="210591" custLinFactNeighborX="20596" custLinFactNeighborY="811">
        <dgm:presLayoutVars>
          <dgm:bulletEnabled val="1"/>
        </dgm:presLayoutVars>
      </dgm:prSet>
      <dgm:spPr/>
      <dgm:t>
        <a:bodyPr/>
        <a:lstStyle/>
        <a:p>
          <a:endParaRPr lang="en-US"/>
        </a:p>
      </dgm:t>
    </dgm:pt>
    <dgm:pt modelId="{DFE4E55A-1EB8-42B1-BFF4-6379E49FBF1C}" type="pres">
      <dgm:prSet presAssocID="{237B2318-1954-4E5B-9791-FC9D4059B688}" presName="sibTrans" presStyleCnt="0"/>
      <dgm:spPr/>
    </dgm:pt>
    <dgm:pt modelId="{BFDFFDC9-01E8-4891-94D9-0DF94DEDD3D8}" type="pres">
      <dgm:prSet presAssocID="{688C0314-F5C7-47CD-9564-A43E20F876B3}" presName="textNode" presStyleLbl="node1" presStyleIdx="4" presStyleCnt="5" custScaleY="208352">
        <dgm:presLayoutVars>
          <dgm:bulletEnabled val="1"/>
        </dgm:presLayoutVars>
      </dgm:prSet>
      <dgm:spPr/>
      <dgm:t>
        <a:bodyPr/>
        <a:lstStyle/>
        <a:p>
          <a:endParaRPr lang="en-US"/>
        </a:p>
      </dgm:t>
    </dgm:pt>
  </dgm:ptLst>
  <dgm:cxnLst>
    <dgm:cxn modelId="{14BEBD76-C86F-40E0-851F-8916412544BE}" srcId="{866D02B9-03F1-47F0-B1FA-DD96874BA9B2}" destId="{688C0314-F5C7-47CD-9564-A43E20F876B3}" srcOrd="4" destOrd="0" parTransId="{0E920AD0-3B1E-4422-8E73-9A54432D290B}" sibTransId="{17B19053-DA5D-4F8E-A63C-379737436E19}"/>
    <dgm:cxn modelId="{04952E17-5C20-4B3F-BBB8-82AD887DB01F}" type="presOf" srcId="{05507652-C58E-49EC-A4E7-73DB525A85CB}" destId="{6A94A818-9C54-485F-B854-9E9ADF7C2EC4}" srcOrd="0" destOrd="0" presId="urn:microsoft.com/office/officeart/2005/8/layout/hProcess9"/>
    <dgm:cxn modelId="{28A7D495-60E0-471D-8ABA-B43D58A8B6EB}" srcId="{866D02B9-03F1-47F0-B1FA-DD96874BA9B2}" destId="{05507652-C58E-49EC-A4E7-73DB525A85CB}" srcOrd="3" destOrd="0" parTransId="{86ADD89E-E393-495D-96D5-0D482A163632}" sibTransId="{237B2318-1954-4E5B-9791-FC9D4059B688}"/>
    <dgm:cxn modelId="{51056C88-11CE-4358-9FBA-2AE20FE936ED}" srcId="{866D02B9-03F1-47F0-B1FA-DD96874BA9B2}" destId="{84432AC2-76D1-40E7-8092-C653079A7A76}" srcOrd="0" destOrd="0" parTransId="{9624D3FB-3510-4604-91F1-055180F8F9FB}" sibTransId="{9531EE1B-B37C-4EFC-BAE1-F4E36168A67E}"/>
    <dgm:cxn modelId="{662249D0-8BB5-430C-A0CC-26D1A37DE364}" type="presOf" srcId="{688C0314-F5C7-47CD-9564-A43E20F876B3}" destId="{BFDFFDC9-01E8-4891-94D9-0DF94DEDD3D8}" srcOrd="0" destOrd="0" presId="urn:microsoft.com/office/officeart/2005/8/layout/hProcess9"/>
    <dgm:cxn modelId="{00E3A266-5B61-4735-BB5B-560E347B778D}" type="presOf" srcId="{84432AC2-76D1-40E7-8092-C653079A7A76}" destId="{43832349-58EB-49DE-A7DA-41D8E5C0E825}" srcOrd="0" destOrd="0" presId="urn:microsoft.com/office/officeart/2005/8/layout/hProcess9"/>
    <dgm:cxn modelId="{06678479-BE4F-4C7B-B15B-59C063A366C4}" srcId="{866D02B9-03F1-47F0-B1FA-DD96874BA9B2}" destId="{CF182DCC-473B-4A13-98AD-2BAC738C18FF}" srcOrd="2" destOrd="0" parTransId="{287467E5-6008-4531-A12B-C48958B6B1ED}" sibTransId="{1B4E923E-3D1F-41FB-9E09-962432E76B17}"/>
    <dgm:cxn modelId="{DD029AA7-BE95-40E5-A65E-0F019C356ACC}" type="presOf" srcId="{866D02B9-03F1-47F0-B1FA-DD96874BA9B2}" destId="{3CA69FEB-39FF-45E1-910A-6C26295BAA25}" srcOrd="0" destOrd="0" presId="urn:microsoft.com/office/officeart/2005/8/layout/hProcess9"/>
    <dgm:cxn modelId="{0214E873-ABDB-46C3-B959-28CCA04C15B6}" srcId="{866D02B9-03F1-47F0-B1FA-DD96874BA9B2}" destId="{4E5ACB6F-1132-457C-B78A-3868C340F04C}" srcOrd="1" destOrd="0" parTransId="{280DE598-24CE-4278-ADFC-F8ED5B5AEAFD}" sibTransId="{D2D4731C-A7AB-4366-856F-A6B62FA0C118}"/>
    <dgm:cxn modelId="{A87D0DF1-30DC-420D-869C-438A7D24D43F}" type="presOf" srcId="{CF182DCC-473B-4A13-98AD-2BAC738C18FF}" destId="{5AE802EA-2D70-4947-9A24-4F111857FBFC}" srcOrd="0" destOrd="0" presId="urn:microsoft.com/office/officeart/2005/8/layout/hProcess9"/>
    <dgm:cxn modelId="{2079680C-3FA0-4FD2-AA9F-C634E66813A9}" type="presOf" srcId="{4E5ACB6F-1132-457C-B78A-3868C340F04C}" destId="{A922C807-46A0-441A-9EB9-AF97C1E7D1A4}" srcOrd="0" destOrd="0" presId="urn:microsoft.com/office/officeart/2005/8/layout/hProcess9"/>
    <dgm:cxn modelId="{B84C00C0-5D91-478B-8040-9597E844E104}" type="presParOf" srcId="{3CA69FEB-39FF-45E1-910A-6C26295BAA25}" destId="{AA48E53E-0301-4771-9349-6BF3C538B42D}" srcOrd="0" destOrd="0" presId="urn:microsoft.com/office/officeart/2005/8/layout/hProcess9"/>
    <dgm:cxn modelId="{B4DB9245-9FBF-4314-89BA-80F859C27E73}" type="presParOf" srcId="{3CA69FEB-39FF-45E1-910A-6C26295BAA25}" destId="{0D12119D-43DA-4E95-9BA6-3019B0602023}" srcOrd="1" destOrd="0" presId="urn:microsoft.com/office/officeart/2005/8/layout/hProcess9"/>
    <dgm:cxn modelId="{E31F6E32-7D2A-4587-960C-EE2A2C8251C9}" type="presParOf" srcId="{0D12119D-43DA-4E95-9BA6-3019B0602023}" destId="{43832349-58EB-49DE-A7DA-41D8E5C0E825}" srcOrd="0" destOrd="0" presId="urn:microsoft.com/office/officeart/2005/8/layout/hProcess9"/>
    <dgm:cxn modelId="{EBC050B0-AA03-4CE9-B503-2E9645F39140}" type="presParOf" srcId="{0D12119D-43DA-4E95-9BA6-3019B0602023}" destId="{826BDE8E-CCD6-498F-9C8B-39E10F83A488}" srcOrd="1" destOrd="0" presId="urn:microsoft.com/office/officeart/2005/8/layout/hProcess9"/>
    <dgm:cxn modelId="{38A786AD-202A-495A-B1A5-82AA6256493D}" type="presParOf" srcId="{0D12119D-43DA-4E95-9BA6-3019B0602023}" destId="{A922C807-46A0-441A-9EB9-AF97C1E7D1A4}" srcOrd="2" destOrd="0" presId="urn:microsoft.com/office/officeart/2005/8/layout/hProcess9"/>
    <dgm:cxn modelId="{86C8B789-A0D2-4F91-9888-C0727133CEF7}" type="presParOf" srcId="{0D12119D-43DA-4E95-9BA6-3019B0602023}" destId="{BD7418D4-7FA3-41D0-A342-E38C8EE8811F}" srcOrd="3" destOrd="0" presId="urn:microsoft.com/office/officeart/2005/8/layout/hProcess9"/>
    <dgm:cxn modelId="{CA6BFF00-1233-489B-8A85-F5C84F9928B6}" type="presParOf" srcId="{0D12119D-43DA-4E95-9BA6-3019B0602023}" destId="{5AE802EA-2D70-4947-9A24-4F111857FBFC}" srcOrd="4" destOrd="0" presId="urn:microsoft.com/office/officeart/2005/8/layout/hProcess9"/>
    <dgm:cxn modelId="{096ECB66-C753-4169-B3E8-6FEE5D5BA58E}" type="presParOf" srcId="{0D12119D-43DA-4E95-9BA6-3019B0602023}" destId="{C5CBE3FA-9D44-46C5-876B-91B66849164B}" srcOrd="5" destOrd="0" presId="urn:microsoft.com/office/officeart/2005/8/layout/hProcess9"/>
    <dgm:cxn modelId="{1E5E2DFB-2C7C-4BE4-BED9-FF25040AA7E7}" type="presParOf" srcId="{0D12119D-43DA-4E95-9BA6-3019B0602023}" destId="{6A94A818-9C54-485F-B854-9E9ADF7C2EC4}" srcOrd="6" destOrd="0" presId="urn:microsoft.com/office/officeart/2005/8/layout/hProcess9"/>
    <dgm:cxn modelId="{DECE9FE5-1A2A-4693-9E90-C4C6D8CE2851}" type="presParOf" srcId="{0D12119D-43DA-4E95-9BA6-3019B0602023}" destId="{DFE4E55A-1EB8-42B1-BFF4-6379E49FBF1C}" srcOrd="7" destOrd="0" presId="urn:microsoft.com/office/officeart/2005/8/layout/hProcess9"/>
    <dgm:cxn modelId="{6797818B-BBA4-4B71-86CD-F4B7E33B7D0D}" type="presParOf" srcId="{0D12119D-43DA-4E95-9BA6-3019B0602023}" destId="{BFDFFDC9-01E8-4891-94D9-0DF94DEDD3D8}" srcOrd="8" destOrd="0" presId="urn:microsoft.com/office/officeart/2005/8/layout/hProcess9"/>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7C834EC-56CC-49CA-8EDA-FD5ADCF07A7A}" type="doc">
      <dgm:prSet loTypeId="urn:microsoft.com/office/officeart/2005/8/layout/pyramid3" loCatId="pyramid" qsTypeId="urn:microsoft.com/office/officeart/2005/8/quickstyle/simple1" qsCatId="simple" csTypeId="urn:microsoft.com/office/officeart/2005/8/colors/accent1_2" csCatId="accent1" phldr="1"/>
      <dgm:spPr/>
    </dgm:pt>
    <dgm:pt modelId="{4B78BB3B-68F7-4824-ADD0-42975A6AFF36}">
      <dgm:prSet phldrT="[Text]" custT="1"/>
      <dgm:spPr/>
      <dgm:t>
        <a:bodyPr/>
        <a:lstStyle/>
        <a:p>
          <a:r>
            <a:rPr lang="en-US" sz="1200">
              <a:latin typeface="Times New Roman" panose="02020603050405020304" pitchFamily="18" charset="0"/>
              <a:cs typeface="Times New Roman" panose="02020603050405020304" pitchFamily="18" charset="0"/>
            </a:rPr>
            <a:t>Stage 1: Analyze the discourse found within the material being researched</a:t>
          </a:r>
        </a:p>
      </dgm:t>
    </dgm:pt>
    <dgm:pt modelId="{4D27FDA0-F592-4A42-8F99-A9B9F1C250CB}" type="parTrans" cxnId="{2BB5E7A9-F4B7-4A91-BDFC-E22B77B5375D}">
      <dgm:prSet/>
      <dgm:spPr/>
      <dgm:t>
        <a:bodyPr/>
        <a:lstStyle/>
        <a:p>
          <a:endParaRPr lang="en-US">
            <a:latin typeface="Times New Roman" panose="02020603050405020304" pitchFamily="18" charset="0"/>
            <a:cs typeface="Times New Roman" panose="02020603050405020304" pitchFamily="18" charset="0"/>
          </a:endParaRPr>
        </a:p>
      </dgm:t>
    </dgm:pt>
    <dgm:pt modelId="{27DB4B02-98BA-40F4-AD0D-C289482E2E55}" type="sibTrans" cxnId="{2BB5E7A9-F4B7-4A91-BDFC-E22B77B5375D}">
      <dgm:prSet/>
      <dgm:spPr/>
      <dgm:t>
        <a:bodyPr/>
        <a:lstStyle/>
        <a:p>
          <a:endParaRPr lang="en-US">
            <a:latin typeface="Times New Roman" panose="02020603050405020304" pitchFamily="18" charset="0"/>
            <a:cs typeface="Times New Roman" panose="02020603050405020304" pitchFamily="18" charset="0"/>
          </a:endParaRPr>
        </a:p>
      </dgm:t>
    </dgm:pt>
    <dgm:pt modelId="{D780B168-4152-4F07-8869-850DA3E44012}">
      <dgm:prSet phldrT="[Text]" custT="1"/>
      <dgm:spPr/>
      <dgm:t>
        <a:bodyPr/>
        <a:lstStyle/>
        <a:p>
          <a:r>
            <a:rPr lang="en-US" sz="1200">
              <a:latin typeface="Times New Roman" panose="02020603050405020304" pitchFamily="18" charset="0"/>
              <a:cs typeface="Times New Roman" panose="02020603050405020304" pitchFamily="18" charset="0"/>
            </a:rPr>
            <a:t>Stage 2: Analyze relevance to social problems being addressed by analysis of information.</a:t>
          </a:r>
        </a:p>
      </dgm:t>
    </dgm:pt>
    <dgm:pt modelId="{C52A5E34-8FA7-4D73-A146-B75D89BF4005}" type="parTrans" cxnId="{0CD39892-413C-46E0-9C0E-78A1AF1FE9F3}">
      <dgm:prSet/>
      <dgm:spPr/>
      <dgm:t>
        <a:bodyPr/>
        <a:lstStyle/>
        <a:p>
          <a:endParaRPr lang="en-US">
            <a:latin typeface="Times New Roman" panose="02020603050405020304" pitchFamily="18" charset="0"/>
            <a:cs typeface="Times New Roman" panose="02020603050405020304" pitchFamily="18" charset="0"/>
          </a:endParaRPr>
        </a:p>
      </dgm:t>
    </dgm:pt>
    <dgm:pt modelId="{296EAB2A-2D54-4FC3-A798-37078D227F66}" type="sibTrans" cxnId="{0CD39892-413C-46E0-9C0E-78A1AF1FE9F3}">
      <dgm:prSet/>
      <dgm:spPr/>
      <dgm:t>
        <a:bodyPr/>
        <a:lstStyle/>
        <a:p>
          <a:endParaRPr lang="en-US">
            <a:latin typeface="Times New Roman" panose="02020603050405020304" pitchFamily="18" charset="0"/>
            <a:cs typeface="Times New Roman" panose="02020603050405020304" pitchFamily="18" charset="0"/>
          </a:endParaRPr>
        </a:p>
      </dgm:t>
    </dgm:pt>
    <dgm:pt modelId="{3B25627E-3CC5-4B81-8AB0-27EB93C5DFEB}">
      <dgm:prSet phldrT="[Text]" custT="1"/>
      <dgm:spPr/>
      <dgm:t>
        <a:bodyPr/>
        <a:lstStyle/>
        <a:p>
          <a:r>
            <a:rPr lang="en-US" sz="1200">
              <a:latin typeface="Times New Roman" panose="02020603050405020304" pitchFamily="18" charset="0"/>
              <a:cs typeface="Times New Roman" panose="02020603050405020304" pitchFamily="18" charset="0"/>
            </a:rPr>
            <a:t>Stage 3: Reflect critically on the analysis with a focus on research questions presented.</a:t>
          </a:r>
        </a:p>
      </dgm:t>
    </dgm:pt>
    <dgm:pt modelId="{C1848305-7985-4846-9A94-DDB4BBC8D2E3}" type="parTrans" cxnId="{21975D57-CA73-4696-AE73-F7872D1208A8}">
      <dgm:prSet/>
      <dgm:spPr/>
      <dgm:t>
        <a:bodyPr/>
        <a:lstStyle/>
        <a:p>
          <a:endParaRPr lang="en-US">
            <a:latin typeface="Times New Roman" panose="02020603050405020304" pitchFamily="18" charset="0"/>
            <a:cs typeface="Times New Roman" panose="02020603050405020304" pitchFamily="18" charset="0"/>
          </a:endParaRPr>
        </a:p>
      </dgm:t>
    </dgm:pt>
    <dgm:pt modelId="{4603F657-9782-474C-A5E0-5B4BA1FD6DB6}" type="sibTrans" cxnId="{21975D57-CA73-4696-AE73-F7872D1208A8}">
      <dgm:prSet/>
      <dgm:spPr/>
      <dgm:t>
        <a:bodyPr/>
        <a:lstStyle/>
        <a:p>
          <a:endParaRPr lang="en-US">
            <a:latin typeface="Times New Roman" panose="02020603050405020304" pitchFamily="18" charset="0"/>
            <a:cs typeface="Times New Roman" panose="02020603050405020304" pitchFamily="18" charset="0"/>
          </a:endParaRPr>
        </a:p>
      </dgm:t>
    </dgm:pt>
    <dgm:pt modelId="{BE1B3095-85E8-4FBB-B108-8CCAFD9CB61D}">
      <dgm:prSet phldrT="[Text]"/>
      <dgm:spPr/>
      <dgm:t>
        <a:bodyPr/>
        <a:lstStyle/>
        <a:p>
          <a:r>
            <a:rPr lang="en-US">
              <a:latin typeface="Times New Roman" panose="02020603050405020304" pitchFamily="18" charset="0"/>
              <a:cs typeface="Times New Roman" panose="02020603050405020304" pitchFamily="18" charset="0"/>
            </a:rPr>
            <a:t>Structural analysis of discourse. The order of discourse.</a:t>
          </a:r>
        </a:p>
      </dgm:t>
    </dgm:pt>
    <dgm:pt modelId="{57CD174C-687B-40F1-9A4C-3CE5B68979EF}" type="parTrans" cxnId="{EAE7BEF7-060F-471D-B083-D16EEF7769E4}">
      <dgm:prSet/>
      <dgm:spPr/>
      <dgm:t>
        <a:bodyPr/>
        <a:lstStyle/>
        <a:p>
          <a:endParaRPr lang="en-US">
            <a:latin typeface="Times New Roman" panose="02020603050405020304" pitchFamily="18" charset="0"/>
            <a:cs typeface="Times New Roman" panose="02020603050405020304" pitchFamily="18" charset="0"/>
          </a:endParaRPr>
        </a:p>
      </dgm:t>
    </dgm:pt>
    <dgm:pt modelId="{D616DF98-BAA3-422C-81C6-2F9827625D78}" type="sibTrans" cxnId="{EAE7BEF7-060F-471D-B083-D16EEF7769E4}">
      <dgm:prSet/>
      <dgm:spPr/>
      <dgm:t>
        <a:bodyPr/>
        <a:lstStyle/>
        <a:p>
          <a:endParaRPr lang="en-US">
            <a:latin typeface="Times New Roman" panose="02020603050405020304" pitchFamily="18" charset="0"/>
            <a:cs typeface="Times New Roman" panose="02020603050405020304" pitchFamily="18" charset="0"/>
          </a:endParaRPr>
        </a:p>
      </dgm:t>
    </dgm:pt>
    <dgm:pt modelId="{F738D46A-1CCE-4354-AD64-EF8B1F1C7B7F}">
      <dgm:prSet phldrT="[Text]"/>
      <dgm:spPr/>
      <dgm:t>
        <a:bodyPr/>
        <a:lstStyle/>
        <a:p>
          <a:r>
            <a:rPr lang="en-US">
              <a:latin typeface="Times New Roman" panose="02020603050405020304" pitchFamily="18" charset="0"/>
              <a:cs typeface="Times New Roman" panose="02020603050405020304" pitchFamily="18" charset="0"/>
            </a:rPr>
            <a:t>Deep linguistic and semiotic analysis of information within discourse looking for key markers as listed previously.</a:t>
          </a:r>
        </a:p>
      </dgm:t>
    </dgm:pt>
    <dgm:pt modelId="{3CCDA62B-D1B5-409F-95B7-F87291BE676C}" type="parTrans" cxnId="{47EC7E45-A58C-4752-9784-39C7971A7C36}">
      <dgm:prSet/>
      <dgm:spPr/>
      <dgm:t>
        <a:bodyPr/>
        <a:lstStyle/>
        <a:p>
          <a:endParaRPr lang="en-US">
            <a:latin typeface="Times New Roman" panose="02020603050405020304" pitchFamily="18" charset="0"/>
            <a:cs typeface="Times New Roman" panose="02020603050405020304" pitchFamily="18" charset="0"/>
          </a:endParaRPr>
        </a:p>
      </dgm:t>
    </dgm:pt>
    <dgm:pt modelId="{C48280E7-67A3-4EC1-A1E4-6F401A981B41}" type="sibTrans" cxnId="{47EC7E45-A58C-4752-9784-39C7971A7C36}">
      <dgm:prSet/>
      <dgm:spPr/>
      <dgm:t>
        <a:bodyPr/>
        <a:lstStyle/>
        <a:p>
          <a:endParaRPr lang="en-US">
            <a:latin typeface="Times New Roman" panose="02020603050405020304" pitchFamily="18" charset="0"/>
            <a:cs typeface="Times New Roman" panose="02020603050405020304" pitchFamily="18" charset="0"/>
          </a:endParaRPr>
        </a:p>
      </dgm:t>
    </dgm:pt>
    <dgm:pt modelId="{63B40BA9-BF30-4CAF-920C-9DC5CC94DE3D}">
      <dgm:prSet phldrT="[Text]"/>
      <dgm:spPr/>
      <dgm:t>
        <a:bodyPr/>
        <a:lstStyle/>
        <a:p>
          <a:r>
            <a:rPr lang="en-US">
              <a:latin typeface="Times New Roman" panose="02020603050405020304" pitchFamily="18" charset="0"/>
              <a:cs typeface="Times New Roman" panose="02020603050405020304" pitchFamily="18" charset="0"/>
            </a:rPr>
            <a:t>Social problem has been identified—the issues of power concerning media production of information and knowledge to U.S. society concerning teacher unions in the state of Wisconsin. However, diverging from Fairclough, my research questions were present in the back of my mind when completing the CDA analysis.</a:t>
          </a:r>
        </a:p>
      </dgm:t>
    </dgm:pt>
    <dgm:pt modelId="{32A7E58E-A777-465B-A859-4EAAFE9E4664}" type="parTrans" cxnId="{53C155DA-CFB3-443F-A5F8-F798DE325137}">
      <dgm:prSet/>
      <dgm:spPr/>
      <dgm:t>
        <a:bodyPr/>
        <a:lstStyle/>
        <a:p>
          <a:endParaRPr lang="en-US">
            <a:latin typeface="Times New Roman" panose="02020603050405020304" pitchFamily="18" charset="0"/>
            <a:cs typeface="Times New Roman" panose="02020603050405020304" pitchFamily="18" charset="0"/>
          </a:endParaRPr>
        </a:p>
      </dgm:t>
    </dgm:pt>
    <dgm:pt modelId="{3BB3327E-A33E-490E-B87D-4E84F7AA722D}" type="sibTrans" cxnId="{53C155DA-CFB3-443F-A5F8-F798DE325137}">
      <dgm:prSet/>
      <dgm:spPr/>
      <dgm:t>
        <a:bodyPr/>
        <a:lstStyle/>
        <a:p>
          <a:endParaRPr lang="en-US">
            <a:latin typeface="Times New Roman" panose="02020603050405020304" pitchFamily="18" charset="0"/>
            <a:cs typeface="Times New Roman" panose="02020603050405020304" pitchFamily="18" charset="0"/>
          </a:endParaRPr>
        </a:p>
      </dgm:t>
    </dgm:pt>
    <dgm:pt modelId="{3F1B0D55-3170-4CFD-9C2F-F63DA7BB6049}">
      <dgm:prSet phldrT="[Text]"/>
      <dgm:spPr/>
      <dgm:t>
        <a:bodyPr/>
        <a:lstStyle/>
        <a:p>
          <a:r>
            <a:rPr lang="en-US">
              <a:latin typeface="Times New Roman" panose="02020603050405020304" pitchFamily="18" charset="0"/>
              <a:cs typeface="Times New Roman" panose="02020603050405020304" pitchFamily="18" charset="0"/>
            </a:rPr>
            <a:t>The objective here is to try and understand if there is indeed something that the media is writing that is creating additional and substantial obstacles for teacher unions within Wisconsin and arguably to the rest of the U.S., thus creating greater inequality and inequity among certain members within society.</a:t>
          </a:r>
        </a:p>
      </dgm:t>
    </dgm:pt>
    <dgm:pt modelId="{01914EE1-2070-4CEA-8D80-E702DD00DBB1}" type="parTrans" cxnId="{586B5257-5299-4095-B03A-AA839B6766B3}">
      <dgm:prSet/>
      <dgm:spPr/>
      <dgm:t>
        <a:bodyPr/>
        <a:lstStyle/>
        <a:p>
          <a:endParaRPr lang="en-US">
            <a:latin typeface="Times New Roman" panose="02020603050405020304" pitchFamily="18" charset="0"/>
            <a:cs typeface="Times New Roman" panose="02020603050405020304" pitchFamily="18" charset="0"/>
          </a:endParaRPr>
        </a:p>
      </dgm:t>
    </dgm:pt>
    <dgm:pt modelId="{239AF3B9-75E5-4EAE-B00C-61800BFC113E}" type="sibTrans" cxnId="{586B5257-5299-4095-B03A-AA839B6766B3}">
      <dgm:prSet/>
      <dgm:spPr/>
      <dgm:t>
        <a:bodyPr/>
        <a:lstStyle/>
        <a:p>
          <a:endParaRPr lang="en-US">
            <a:latin typeface="Times New Roman" panose="02020603050405020304" pitchFamily="18" charset="0"/>
            <a:cs typeface="Times New Roman" panose="02020603050405020304" pitchFamily="18" charset="0"/>
          </a:endParaRPr>
        </a:p>
      </dgm:t>
    </dgm:pt>
    <dgm:pt modelId="{1764B433-EB92-409C-A7CA-1237661EA883}" type="pres">
      <dgm:prSet presAssocID="{67C834EC-56CC-49CA-8EDA-FD5ADCF07A7A}" presName="Name0" presStyleCnt="0">
        <dgm:presLayoutVars>
          <dgm:dir/>
          <dgm:animLvl val="lvl"/>
          <dgm:resizeHandles val="exact"/>
        </dgm:presLayoutVars>
      </dgm:prSet>
      <dgm:spPr/>
    </dgm:pt>
    <dgm:pt modelId="{9928BA17-83F9-4DEF-BC2D-376EDD566AB2}" type="pres">
      <dgm:prSet presAssocID="{4B78BB3B-68F7-4824-ADD0-42975A6AFF36}" presName="Name8" presStyleCnt="0"/>
      <dgm:spPr/>
    </dgm:pt>
    <dgm:pt modelId="{E4589C6A-45A0-40A4-B751-06D94FC5DDA7}" type="pres">
      <dgm:prSet presAssocID="{4B78BB3B-68F7-4824-ADD0-42975A6AFF36}" presName="acctBkgd" presStyleLbl="alignAcc1" presStyleIdx="0" presStyleCnt="3"/>
      <dgm:spPr/>
      <dgm:t>
        <a:bodyPr/>
        <a:lstStyle/>
        <a:p>
          <a:endParaRPr lang="en-US"/>
        </a:p>
      </dgm:t>
    </dgm:pt>
    <dgm:pt modelId="{B0A007A3-A1B9-4C4B-AE61-3174A61ADB9C}" type="pres">
      <dgm:prSet presAssocID="{4B78BB3B-68F7-4824-ADD0-42975A6AFF36}" presName="acctTx" presStyleLbl="alignAcc1" presStyleIdx="0" presStyleCnt="3">
        <dgm:presLayoutVars>
          <dgm:bulletEnabled val="1"/>
        </dgm:presLayoutVars>
      </dgm:prSet>
      <dgm:spPr/>
      <dgm:t>
        <a:bodyPr/>
        <a:lstStyle/>
        <a:p>
          <a:endParaRPr lang="en-US"/>
        </a:p>
      </dgm:t>
    </dgm:pt>
    <dgm:pt modelId="{EBF8ADD4-2921-4A41-B97C-36EEBF2942A3}" type="pres">
      <dgm:prSet presAssocID="{4B78BB3B-68F7-4824-ADD0-42975A6AFF36}" presName="level" presStyleLbl="node1" presStyleIdx="0" presStyleCnt="3">
        <dgm:presLayoutVars>
          <dgm:chMax val="1"/>
          <dgm:bulletEnabled val="1"/>
        </dgm:presLayoutVars>
      </dgm:prSet>
      <dgm:spPr/>
      <dgm:t>
        <a:bodyPr/>
        <a:lstStyle/>
        <a:p>
          <a:endParaRPr lang="en-US"/>
        </a:p>
      </dgm:t>
    </dgm:pt>
    <dgm:pt modelId="{10CA5A82-9BEC-4F68-A305-EC1D0C0AF39E}" type="pres">
      <dgm:prSet presAssocID="{4B78BB3B-68F7-4824-ADD0-42975A6AFF36}" presName="levelTx" presStyleLbl="revTx" presStyleIdx="0" presStyleCnt="0">
        <dgm:presLayoutVars>
          <dgm:chMax val="1"/>
          <dgm:bulletEnabled val="1"/>
        </dgm:presLayoutVars>
      </dgm:prSet>
      <dgm:spPr/>
      <dgm:t>
        <a:bodyPr/>
        <a:lstStyle/>
        <a:p>
          <a:endParaRPr lang="en-US"/>
        </a:p>
      </dgm:t>
    </dgm:pt>
    <dgm:pt modelId="{5CB4C456-F100-4E98-AB29-698313D4680D}" type="pres">
      <dgm:prSet presAssocID="{D780B168-4152-4F07-8869-850DA3E44012}" presName="Name8" presStyleCnt="0"/>
      <dgm:spPr/>
    </dgm:pt>
    <dgm:pt modelId="{874A0BFB-F9CB-4A07-8336-6043CC46172C}" type="pres">
      <dgm:prSet presAssocID="{D780B168-4152-4F07-8869-850DA3E44012}" presName="acctBkgd" presStyleLbl="alignAcc1" presStyleIdx="1" presStyleCnt="3"/>
      <dgm:spPr/>
      <dgm:t>
        <a:bodyPr/>
        <a:lstStyle/>
        <a:p>
          <a:endParaRPr lang="en-US"/>
        </a:p>
      </dgm:t>
    </dgm:pt>
    <dgm:pt modelId="{30A21DD0-A7F1-4404-A203-8BF522C8EEEE}" type="pres">
      <dgm:prSet presAssocID="{D780B168-4152-4F07-8869-850DA3E44012}" presName="acctTx" presStyleLbl="alignAcc1" presStyleIdx="1" presStyleCnt="3">
        <dgm:presLayoutVars>
          <dgm:bulletEnabled val="1"/>
        </dgm:presLayoutVars>
      </dgm:prSet>
      <dgm:spPr/>
      <dgm:t>
        <a:bodyPr/>
        <a:lstStyle/>
        <a:p>
          <a:endParaRPr lang="en-US"/>
        </a:p>
      </dgm:t>
    </dgm:pt>
    <dgm:pt modelId="{AFC3C26C-107E-4F37-A6D2-A164989C9E07}" type="pres">
      <dgm:prSet presAssocID="{D780B168-4152-4F07-8869-850DA3E44012}" presName="level" presStyleLbl="node1" presStyleIdx="1" presStyleCnt="3">
        <dgm:presLayoutVars>
          <dgm:chMax val="1"/>
          <dgm:bulletEnabled val="1"/>
        </dgm:presLayoutVars>
      </dgm:prSet>
      <dgm:spPr/>
      <dgm:t>
        <a:bodyPr/>
        <a:lstStyle/>
        <a:p>
          <a:endParaRPr lang="en-US"/>
        </a:p>
      </dgm:t>
    </dgm:pt>
    <dgm:pt modelId="{40FE4D6B-CC31-4B50-AC0B-8D36CAC534F1}" type="pres">
      <dgm:prSet presAssocID="{D780B168-4152-4F07-8869-850DA3E44012}" presName="levelTx" presStyleLbl="revTx" presStyleIdx="0" presStyleCnt="0">
        <dgm:presLayoutVars>
          <dgm:chMax val="1"/>
          <dgm:bulletEnabled val="1"/>
        </dgm:presLayoutVars>
      </dgm:prSet>
      <dgm:spPr/>
      <dgm:t>
        <a:bodyPr/>
        <a:lstStyle/>
        <a:p>
          <a:endParaRPr lang="en-US"/>
        </a:p>
      </dgm:t>
    </dgm:pt>
    <dgm:pt modelId="{E07ED9C4-5718-411F-A8FC-D67CD6EBBEEF}" type="pres">
      <dgm:prSet presAssocID="{3B25627E-3CC5-4B81-8AB0-27EB93C5DFEB}" presName="Name8" presStyleCnt="0"/>
      <dgm:spPr/>
    </dgm:pt>
    <dgm:pt modelId="{5E4F82B6-B0B2-45F3-BE75-938DEDDAD0E2}" type="pres">
      <dgm:prSet presAssocID="{3B25627E-3CC5-4B81-8AB0-27EB93C5DFEB}" presName="acctBkgd" presStyleLbl="alignAcc1" presStyleIdx="2" presStyleCnt="3"/>
      <dgm:spPr/>
      <dgm:t>
        <a:bodyPr/>
        <a:lstStyle/>
        <a:p>
          <a:endParaRPr lang="en-US"/>
        </a:p>
      </dgm:t>
    </dgm:pt>
    <dgm:pt modelId="{8D2939F4-0712-46A7-902F-F318FA599C39}" type="pres">
      <dgm:prSet presAssocID="{3B25627E-3CC5-4B81-8AB0-27EB93C5DFEB}" presName="acctTx" presStyleLbl="alignAcc1" presStyleIdx="2" presStyleCnt="3">
        <dgm:presLayoutVars>
          <dgm:bulletEnabled val="1"/>
        </dgm:presLayoutVars>
      </dgm:prSet>
      <dgm:spPr/>
      <dgm:t>
        <a:bodyPr/>
        <a:lstStyle/>
        <a:p>
          <a:endParaRPr lang="en-US"/>
        </a:p>
      </dgm:t>
    </dgm:pt>
    <dgm:pt modelId="{F9CCBD0A-7C3A-4C58-AC1D-A138C0401BB0}" type="pres">
      <dgm:prSet presAssocID="{3B25627E-3CC5-4B81-8AB0-27EB93C5DFEB}" presName="level" presStyleLbl="node1" presStyleIdx="2" presStyleCnt="3">
        <dgm:presLayoutVars>
          <dgm:chMax val="1"/>
          <dgm:bulletEnabled val="1"/>
        </dgm:presLayoutVars>
      </dgm:prSet>
      <dgm:spPr/>
      <dgm:t>
        <a:bodyPr/>
        <a:lstStyle/>
        <a:p>
          <a:endParaRPr lang="en-US"/>
        </a:p>
      </dgm:t>
    </dgm:pt>
    <dgm:pt modelId="{EB9946EF-D242-4B20-A88B-C623278F1790}" type="pres">
      <dgm:prSet presAssocID="{3B25627E-3CC5-4B81-8AB0-27EB93C5DFEB}" presName="levelTx" presStyleLbl="revTx" presStyleIdx="0" presStyleCnt="0">
        <dgm:presLayoutVars>
          <dgm:chMax val="1"/>
          <dgm:bulletEnabled val="1"/>
        </dgm:presLayoutVars>
      </dgm:prSet>
      <dgm:spPr/>
      <dgm:t>
        <a:bodyPr/>
        <a:lstStyle/>
        <a:p>
          <a:endParaRPr lang="en-US"/>
        </a:p>
      </dgm:t>
    </dgm:pt>
  </dgm:ptLst>
  <dgm:cxnLst>
    <dgm:cxn modelId="{DEDBDA03-4B2A-4D67-9E47-1FFEEDBC765F}" type="presOf" srcId="{3B25627E-3CC5-4B81-8AB0-27EB93C5DFEB}" destId="{EB9946EF-D242-4B20-A88B-C623278F1790}" srcOrd="1" destOrd="0" presId="urn:microsoft.com/office/officeart/2005/8/layout/pyramid3"/>
    <dgm:cxn modelId="{3CC9BE8E-85F2-479B-99E7-9370B77C018F}" type="presOf" srcId="{3B25627E-3CC5-4B81-8AB0-27EB93C5DFEB}" destId="{F9CCBD0A-7C3A-4C58-AC1D-A138C0401BB0}" srcOrd="0" destOrd="0" presId="urn:microsoft.com/office/officeart/2005/8/layout/pyramid3"/>
    <dgm:cxn modelId="{2BB5E7A9-F4B7-4A91-BDFC-E22B77B5375D}" srcId="{67C834EC-56CC-49CA-8EDA-FD5ADCF07A7A}" destId="{4B78BB3B-68F7-4824-ADD0-42975A6AFF36}" srcOrd="0" destOrd="0" parTransId="{4D27FDA0-F592-4A42-8F99-A9B9F1C250CB}" sibTransId="{27DB4B02-98BA-40F4-AD0D-C289482E2E55}"/>
    <dgm:cxn modelId="{7F9E2B05-C8DA-4F6A-AF0B-F345B583EE56}" type="presOf" srcId="{4B78BB3B-68F7-4824-ADD0-42975A6AFF36}" destId="{10CA5A82-9BEC-4F68-A305-EC1D0C0AF39E}" srcOrd="1" destOrd="0" presId="urn:microsoft.com/office/officeart/2005/8/layout/pyramid3"/>
    <dgm:cxn modelId="{137293AB-FDB9-4C80-8439-E8DD8D45576E}" type="presOf" srcId="{D780B168-4152-4F07-8869-850DA3E44012}" destId="{40FE4D6B-CC31-4B50-AC0B-8D36CAC534F1}" srcOrd="1" destOrd="0" presId="urn:microsoft.com/office/officeart/2005/8/layout/pyramid3"/>
    <dgm:cxn modelId="{A842550F-B2FF-4EC1-8776-E1421AB96292}" type="presOf" srcId="{F738D46A-1CCE-4354-AD64-EF8B1F1C7B7F}" destId="{E4589C6A-45A0-40A4-B751-06D94FC5DDA7}" srcOrd="0" destOrd="1" presId="urn:microsoft.com/office/officeart/2005/8/layout/pyramid3"/>
    <dgm:cxn modelId="{DC11BEC3-DA52-44D3-A35D-9A0B7F127511}" type="presOf" srcId="{BE1B3095-85E8-4FBB-B108-8CCAFD9CB61D}" destId="{B0A007A3-A1B9-4C4B-AE61-3174A61ADB9C}" srcOrd="1" destOrd="0" presId="urn:microsoft.com/office/officeart/2005/8/layout/pyramid3"/>
    <dgm:cxn modelId="{493D5866-AFDD-4F15-968B-E40D1D8840AD}" type="presOf" srcId="{BE1B3095-85E8-4FBB-B108-8CCAFD9CB61D}" destId="{E4589C6A-45A0-40A4-B751-06D94FC5DDA7}" srcOrd="0" destOrd="0" presId="urn:microsoft.com/office/officeart/2005/8/layout/pyramid3"/>
    <dgm:cxn modelId="{04E27191-8E0A-4E02-8F59-523D79D03178}" type="presOf" srcId="{67C834EC-56CC-49CA-8EDA-FD5ADCF07A7A}" destId="{1764B433-EB92-409C-A7CA-1237661EA883}" srcOrd="0" destOrd="0" presId="urn:microsoft.com/office/officeart/2005/8/layout/pyramid3"/>
    <dgm:cxn modelId="{6FC4D9A8-E6D5-4BF6-8453-9437248408E2}" type="presOf" srcId="{3F1B0D55-3170-4CFD-9C2F-F63DA7BB6049}" destId="{8D2939F4-0712-46A7-902F-F318FA599C39}" srcOrd="1" destOrd="0" presId="urn:microsoft.com/office/officeart/2005/8/layout/pyramid3"/>
    <dgm:cxn modelId="{47EC7E45-A58C-4752-9784-39C7971A7C36}" srcId="{4B78BB3B-68F7-4824-ADD0-42975A6AFF36}" destId="{F738D46A-1CCE-4354-AD64-EF8B1F1C7B7F}" srcOrd="1" destOrd="0" parTransId="{3CCDA62B-D1B5-409F-95B7-F87291BE676C}" sibTransId="{C48280E7-67A3-4EC1-A1E4-6F401A981B41}"/>
    <dgm:cxn modelId="{D56985C5-CCF4-4362-9C21-64685D967A12}" type="presOf" srcId="{3F1B0D55-3170-4CFD-9C2F-F63DA7BB6049}" destId="{5E4F82B6-B0B2-45F3-BE75-938DEDDAD0E2}" srcOrd="0" destOrd="0" presId="urn:microsoft.com/office/officeart/2005/8/layout/pyramid3"/>
    <dgm:cxn modelId="{D30BE56A-51BA-415C-928C-620E8B82EAAB}" type="presOf" srcId="{F738D46A-1CCE-4354-AD64-EF8B1F1C7B7F}" destId="{B0A007A3-A1B9-4C4B-AE61-3174A61ADB9C}" srcOrd="1" destOrd="1" presId="urn:microsoft.com/office/officeart/2005/8/layout/pyramid3"/>
    <dgm:cxn modelId="{A7BF44D9-DEF8-4F6C-857A-DACAFF2B13C4}" type="presOf" srcId="{4B78BB3B-68F7-4824-ADD0-42975A6AFF36}" destId="{EBF8ADD4-2921-4A41-B97C-36EEBF2942A3}" srcOrd="0" destOrd="0" presId="urn:microsoft.com/office/officeart/2005/8/layout/pyramid3"/>
    <dgm:cxn modelId="{21975D57-CA73-4696-AE73-F7872D1208A8}" srcId="{67C834EC-56CC-49CA-8EDA-FD5ADCF07A7A}" destId="{3B25627E-3CC5-4B81-8AB0-27EB93C5DFEB}" srcOrd="2" destOrd="0" parTransId="{C1848305-7985-4846-9A94-DDB4BBC8D2E3}" sibTransId="{4603F657-9782-474C-A5E0-5B4BA1FD6DB6}"/>
    <dgm:cxn modelId="{53C155DA-CFB3-443F-A5F8-F798DE325137}" srcId="{D780B168-4152-4F07-8869-850DA3E44012}" destId="{63B40BA9-BF30-4CAF-920C-9DC5CC94DE3D}" srcOrd="0" destOrd="0" parTransId="{32A7E58E-A777-465B-A859-4EAAFE9E4664}" sibTransId="{3BB3327E-A33E-490E-B87D-4E84F7AA722D}"/>
    <dgm:cxn modelId="{F2B60933-F4F3-46AF-A3A5-9B1010AFD158}" type="presOf" srcId="{63B40BA9-BF30-4CAF-920C-9DC5CC94DE3D}" destId="{874A0BFB-F9CB-4A07-8336-6043CC46172C}" srcOrd="0" destOrd="0" presId="urn:microsoft.com/office/officeart/2005/8/layout/pyramid3"/>
    <dgm:cxn modelId="{0CD39892-413C-46E0-9C0E-78A1AF1FE9F3}" srcId="{67C834EC-56CC-49CA-8EDA-FD5ADCF07A7A}" destId="{D780B168-4152-4F07-8869-850DA3E44012}" srcOrd="1" destOrd="0" parTransId="{C52A5E34-8FA7-4D73-A146-B75D89BF4005}" sibTransId="{296EAB2A-2D54-4FC3-A798-37078D227F66}"/>
    <dgm:cxn modelId="{AEF98E98-D86B-478E-BE79-86CB8FB47083}" type="presOf" srcId="{63B40BA9-BF30-4CAF-920C-9DC5CC94DE3D}" destId="{30A21DD0-A7F1-4404-A203-8BF522C8EEEE}" srcOrd="1" destOrd="0" presId="urn:microsoft.com/office/officeart/2005/8/layout/pyramid3"/>
    <dgm:cxn modelId="{36379FDB-B550-423C-98DA-A00735C1FE22}" type="presOf" srcId="{D780B168-4152-4F07-8869-850DA3E44012}" destId="{AFC3C26C-107E-4F37-A6D2-A164989C9E07}" srcOrd="0" destOrd="0" presId="urn:microsoft.com/office/officeart/2005/8/layout/pyramid3"/>
    <dgm:cxn modelId="{586B5257-5299-4095-B03A-AA839B6766B3}" srcId="{3B25627E-3CC5-4B81-8AB0-27EB93C5DFEB}" destId="{3F1B0D55-3170-4CFD-9C2F-F63DA7BB6049}" srcOrd="0" destOrd="0" parTransId="{01914EE1-2070-4CEA-8D80-E702DD00DBB1}" sibTransId="{239AF3B9-75E5-4EAE-B00C-61800BFC113E}"/>
    <dgm:cxn modelId="{EAE7BEF7-060F-471D-B083-D16EEF7769E4}" srcId="{4B78BB3B-68F7-4824-ADD0-42975A6AFF36}" destId="{BE1B3095-85E8-4FBB-B108-8CCAFD9CB61D}" srcOrd="0" destOrd="0" parTransId="{57CD174C-687B-40F1-9A4C-3CE5B68979EF}" sibTransId="{D616DF98-BAA3-422C-81C6-2F9827625D78}"/>
    <dgm:cxn modelId="{0462A961-EF74-4ED4-8895-4891FC106C49}" type="presParOf" srcId="{1764B433-EB92-409C-A7CA-1237661EA883}" destId="{9928BA17-83F9-4DEF-BC2D-376EDD566AB2}" srcOrd="0" destOrd="0" presId="urn:microsoft.com/office/officeart/2005/8/layout/pyramid3"/>
    <dgm:cxn modelId="{2D65FFC7-25FE-4965-AD07-07BA29731978}" type="presParOf" srcId="{9928BA17-83F9-4DEF-BC2D-376EDD566AB2}" destId="{E4589C6A-45A0-40A4-B751-06D94FC5DDA7}" srcOrd="0" destOrd="0" presId="urn:microsoft.com/office/officeart/2005/8/layout/pyramid3"/>
    <dgm:cxn modelId="{9F0F5344-EF75-4050-A828-2F7781B6DE85}" type="presParOf" srcId="{9928BA17-83F9-4DEF-BC2D-376EDD566AB2}" destId="{B0A007A3-A1B9-4C4B-AE61-3174A61ADB9C}" srcOrd="1" destOrd="0" presId="urn:microsoft.com/office/officeart/2005/8/layout/pyramid3"/>
    <dgm:cxn modelId="{EC2A790D-9024-4537-A6AB-8FB1F78D8307}" type="presParOf" srcId="{9928BA17-83F9-4DEF-BC2D-376EDD566AB2}" destId="{EBF8ADD4-2921-4A41-B97C-36EEBF2942A3}" srcOrd="2" destOrd="0" presId="urn:microsoft.com/office/officeart/2005/8/layout/pyramid3"/>
    <dgm:cxn modelId="{E5AF78AC-860E-4366-B677-86052D38441E}" type="presParOf" srcId="{9928BA17-83F9-4DEF-BC2D-376EDD566AB2}" destId="{10CA5A82-9BEC-4F68-A305-EC1D0C0AF39E}" srcOrd="3" destOrd="0" presId="urn:microsoft.com/office/officeart/2005/8/layout/pyramid3"/>
    <dgm:cxn modelId="{AE274CC3-480C-4ED7-A483-B95625920CBC}" type="presParOf" srcId="{1764B433-EB92-409C-A7CA-1237661EA883}" destId="{5CB4C456-F100-4E98-AB29-698313D4680D}" srcOrd="1" destOrd="0" presId="urn:microsoft.com/office/officeart/2005/8/layout/pyramid3"/>
    <dgm:cxn modelId="{53F009CB-3CB2-4970-A0B1-C08C88EFA705}" type="presParOf" srcId="{5CB4C456-F100-4E98-AB29-698313D4680D}" destId="{874A0BFB-F9CB-4A07-8336-6043CC46172C}" srcOrd="0" destOrd="0" presId="urn:microsoft.com/office/officeart/2005/8/layout/pyramid3"/>
    <dgm:cxn modelId="{9CD72928-DAE0-49E4-9944-6AF68F35DD2E}" type="presParOf" srcId="{5CB4C456-F100-4E98-AB29-698313D4680D}" destId="{30A21DD0-A7F1-4404-A203-8BF522C8EEEE}" srcOrd="1" destOrd="0" presId="urn:microsoft.com/office/officeart/2005/8/layout/pyramid3"/>
    <dgm:cxn modelId="{0F22C669-F7A6-4D07-8F57-F463F89F78ED}" type="presParOf" srcId="{5CB4C456-F100-4E98-AB29-698313D4680D}" destId="{AFC3C26C-107E-4F37-A6D2-A164989C9E07}" srcOrd="2" destOrd="0" presId="urn:microsoft.com/office/officeart/2005/8/layout/pyramid3"/>
    <dgm:cxn modelId="{EC1288DF-A8CD-46AC-BAA0-ECBC520860B2}" type="presParOf" srcId="{5CB4C456-F100-4E98-AB29-698313D4680D}" destId="{40FE4D6B-CC31-4B50-AC0B-8D36CAC534F1}" srcOrd="3" destOrd="0" presId="urn:microsoft.com/office/officeart/2005/8/layout/pyramid3"/>
    <dgm:cxn modelId="{BBDF5EDE-E4D4-4128-842A-98AD40072075}" type="presParOf" srcId="{1764B433-EB92-409C-A7CA-1237661EA883}" destId="{E07ED9C4-5718-411F-A8FC-D67CD6EBBEEF}" srcOrd="2" destOrd="0" presId="urn:microsoft.com/office/officeart/2005/8/layout/pyramid3"/>
    <dgm:cxn modelId="{579F8613-DB75-47B9-A1E9-21B1E166D269}" type="presParOf" srcId="{E07ED9C4-5718-411F-A8FC-D67CD6EBBEEF}" destId="{5E4F82B6-B0B2-45F3-BE75-938DEDDAD0E2}" srcOrd="0" destOrd="0" presId="urn:microsoft.com/office/officeart/2005/8/layout/pyramid3"/>
    <dgm:cxn modelId="{52B34401-534C-4355-B6B4-3066839F8686}" type="presParOf" srcId="{E07ED9C4-5718-411F-A8FC-D67CD6EBBEEF}" destId="{8D2939F4-0712-46A7-902F-F318FA599C39}" srcOrd="1" destOrd="0" presId="urn:microsoft.com/office/officeart/2005/8/layout/pyramid3"/>
    <dgm:cxn modelId="{7B73D862-BBDB-4200-9668-2B58FD1EDE31}" type="presParOf" srcId="{E07ED9C4-5718-411F-A8FC-D67CD6EBBEEF}" destId="{F9CCBD0A-7C3A-4C58-AC1D-A138C0401BB0}" srcOrd="2" destOrd="0" presId="urn:microsoft.com/office/officeart/2005/8/layout/pyramid3"/>
    <dgm:cxn modelId="{9396C565-7F82-4594-A940-53B6807B192B}" type="presParOf" srcId="{E07ED9C4-5718-411F-A8FC-D67CD6EBBEEF}" destId="{EB9946EF-D242-4B20-A88B-C623278F1790}" srcOrd="3" destOrd="0" presId="urn:microsoft.com/office/officeart/2005/8/layout/pyramid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48E53E-0301-4771-9349-6BF3C538B42D}">
      <dsp:nvSpPr>
        <dsp:cNvPr id="0" name=""/>
        <dsp:cNvSpPr/>
      </dsp:nvSpPr>
      <dsp:spPr>
        <a:xfrm>
          <a:off x="0" y="0"/>
          <a:ext cx="5943597" cy="182880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3832349-58EB-49DE-A7DA-41D8E5C0E825}">
      <dsp:nvSpPr>
        <dsp:cNvPr id="0" name=""/>
        <dsp:cNvSpPr/>
      </dsp:nvSpPr>
      <dsp:spPr>
        <a:xfrm>
          <a:off x="175799" y="168721"/>
          <a:ext cx="1012761" cy="149135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Step 1</a:t>
          </a:r>
        </a:p>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Open coding</a:t>
          </a:r>
        </a:p>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Identified codes after reading data set.</a:t>
          </a:r>
        </a:p>
      </dsp:txBody>
      <dsp:txXfrm>
        <a:off x="225238" y="218160"/>
        <a:ext cx="913883" cy="1392479"/>
      </dsp:txXfrm>
    </dsp:sp>
    <dsp:sp modelId="{A922C807-46A0-441A-9EB9-AF97C1E7D1A4}">
      <dsp:nvSpPr>
        <dsp:cNvPr id="0" name=""/>
        <dsp:cNvSpPr/>
      </dsp:nvSpPr>
      <dsp:spPr>
        <a:xfrm>
          <a:off x="1320609" y="160521"/>
          <a:ext cx="1012761" cy="150775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Step 2</a:t>
          </a:r>
        </a:p>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Re-read material until saturation occured.</a:t>
          </a:r>
        </a:p>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Three readings.</a:t>
          </a:r>
        </a:p>
      </dsp:txBody>
      <dsp:txXfrm>
        <a:off x="1370048" y="209960"/>
        <a:ext cx="913883" cy="1408879"/>
      </dsp:txXfrm>
    </dsp:sp>
    <dsp:sp modelId="{5AE802EA-2D70-4947-9A24-4F111857FBFC}">
      <dsp:nvSpPr>
        <dsp:cNvPr id="0" name=""/>
        <dsp:cNvSpPr/>
      </dsp:nvSpPr>
      <dsp:spPr>
        <a:xfrm>
          <a:off x="2465419" y="160521"/>
          <a:ext cx="1012761" cy="150775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Step 3</a:t>
          </a:r>
        </a:p>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Pattern Coding</a:t>
          </a:r>
        </a:p>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Putting codes  into disernable patterns found. Initial themes.</a:t>
          </a:r>
        </a:p>
      </dsp:txBody>
      <dsp:txXfrm>
        <a:off x="2514858" y="209960"/>
        <a:ext cx="913883" cy="1408879"/>
      </dsp:txXfrm>
    </dsp:sp>
    <dsp:sp modelId="{6A94A818-9C54-485F-B854-9E9ADF7C2EC4}">
      <dsp:nvSpPr>
        <dsp:cNvPr id="0" name=""/>
        <dsp:cNvSpPr/>
      </dsp:nvSpPr>
      <dsp:spPr>
        <a:xfrm>
          <a:off x="3637425" y="150074"/>
          <a:ext cx="1012761" cy="154051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Step 4</a:t>
          </a:r>
        </a:p>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CDA Analysis of Linguistics and Semiotics within coding.</a:t>
          </a:r>
        </a:p>
      </dsp:txBody>
      <dsp:txXfrm>
        <a:off x="3686864" y="199513"/>
        <a:ext cx="913883" cy="1441637"/>
      </dsp:txXfrm>
    </dsp:sp>
    <dsp:sp modelId="{BFDFFDC9-01E8-4891-94D9-0DF94DEDD3D8}">
      <dsp:nvSpPr>
        <dsp:cNvPr id="0" name=""/>
        <dsp:cNvSpPr/>
      </dsp:nvSpPr>
      <dsp:spPr>
        <a:xfrm>
          <a:off x="4755038" y="152331"/>
          <a:ext cx="1012761" cy="152413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Step 5</a:t>
          </a:r>
        </a:p>
        <a:p>
          <a:pPr lvl="0" algn="ctr" defTabSz="488950">
            <a:lnSpc>
              <a:spcPct val="100000"/>
            </a:lnSpc>
            <a:spcBef>
              <a:spcPct val="0"/>
            </a:spcBef>
            <a:spcAft>
              <a:spcPts val="300"/>
            </a:spcAft>
          </a:pPr>
          <a:r>
            <a:rPr lang="en-US" sz="1100" kern="1200">
              <a:latin typeface="Times New Roman" panose="02020603050405020304" pitchFamily="18" charset="0"/>
              <a:cs typeface="Times New Roman" panose="02020603050405020304" pitchFamily="18" charset="0"/>
            </a:rPr>
            <a:t>Created workable theory.</a:t>
          </a:r>
        </a:p>
      </dsp:txBody>
      <dsp:txXfrm>
        <a:off x="4804477" y="201770"/>
        <a:ext cx="913883" cy="14252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589C6A-45A0-40A4-B751-06D94FC5DDA7}">
      <dsp:nvSpPr>
        <dsp:cNvPr id="0" name=""/>
        <dsp:cNvSpPr/>
      </dsp:nvSpPr>
      <dsp:spPr>
        <a:xfrm>
          <a:off x="3314065" y="0"/>
          <a:ext cx="2534285" cy="1127760"/>
        </a:xfrm>
        <a:prstGeom prst="nonIsoscelesTrapezoid">
          <a:avLst>
            <a:gd name="adj1" fmla="val 58773"/>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Times New Roman" panose="02020603050405020304" pitchFamily="18" charset="0"/>
              <a:cs typeface="Times New Roman" panose="02020603050405020304" pitchFamily="18" charset="0"/>
            </a:rPr>
            <a:t>Structural analysis of discourse. The order of discourse.</a:t>
          </a:r>
        </a:p>
        <a:p>
          <a:pPr marL="57150" lvl="1" indent="-57150" algn="l" defTabSz="444500">
            <a:lnSpc>
              <a:spcPct val="90000"/>
            </a:lnSpc>
            <a:spcBef>
              <a:spcPct val="0"/>
            </a:spcBef>
            <a:spcAft>
              <a:spcPct val="15000"/>
            </a:spcAft>
            <a:buChar char="••"/>
          </a:pPr>
          <a:r>
            <a:rPr lang="en-US" sz="1000" kern="1200">
              <a:latin typeface="Times New Roman" panose="02020603050405020304" pitchFamily="18" charset="0"/>
              <a:cs typeface="Times New Roman" panose="02020603050405020304" pitchFamily="18" charset="0"/>
            </a:rPr>
            <a:t>Deep linguistic and semiotic analysis of information within discourse looking for key markers as listed previously.</a:t>
          </a:r>
        </a:p>
      </dsp:txBody>
      <dsp:txXfrm>
        <a:off x="3976878" y="0"/>
        <a:ext cx="1871472" cy="1127760"/>
      </dsp:txXfrm>
    </dsp:sp>
    <dsp:sp modelId="{EBF8ADD4-2921-4A41-B97C-36EEBF2942A3}">
      <dsp:nvSpPr>
        <dsp:cNvPr id="0" name=""/>
        <dsp:cNvSpPr/>
      </dsp:nvSpPr>
      <dsp:spPr>
        <a:xfrm rot="10800000">
          <a:off x="0" y="0"/>
          <a:ext cx="3976878" cy="1127760"/>
        </a:xfrm>
        <a:prstGeom prst="trapezoid">
          <a:avLst>
            <a:gd name="adj" fmla="val 5877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Stage 1: Analyze the discourse found within the material being researched</a:t>
          </a:r>
        </a:p>
      </dsp:txBody>
      <dsp:txXfrm rot="-10800000">
        <a:off x="695953" y="0"/>
        <a:ext cx="2584970" cy="1127760"/>
      </dsp:txXfrm>
    </dsp:sp>
    <dsp:sp modelId="{874A0BFB-F9CB-4A07-8336-6043CC46172C}">
      <dsp:nvSpPr>
        <dsp:cNvPr id="0" name=""/>
        <dsp:cNvSpPr/>
      </dsp:nvSpPr>
      <dsp:spPr>
        <a:xfrm>
          <a:off x="2651252" y="1127760"/>
          <a:ext cx="3197098" cy="1127760"/>
        </a:xfrm>
        <a:prstGeom prst="nonIsoscelesTrapezoid">
          <a:avLst>
            <a:gd name="adj1" fmla="val 58773"/>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Times New Roman" panose="02020603050405020304" pitchFamily="18" charset="0"/>
              <a:cs typeface="Times New Roman" panose="02020603050405020304" pitchFamily="18" charset="0"/>
            </a:rPr>
            <a:t>Social problem has been identified—the issues of power concerning media production of information and knowledge to U.S. society concerning teacher unions in the state of Wisconsin. However, diverging from Fairclough, my research questions were present in the back of my mind when completing the CDA analysis.</a:t>
          </a:r>
        </a:p>
      </dsp:txBody>
      <dsp:txXfrm>
        <a:off x="3314065" y="1127760"/>
        <a:ext cx="2534285" cy="1127760"/>
      </dsp:txXfrm>
    </dsp:sp>
    <dsp:sp modelId="{AFC3C26C-107E-4F37-A6D2-A164989C9E07}">
      <dsp:nvSpPr>
        <dsp:cNvPr id="0" name=""/>
        <dsp:cNvSpPr/>
      </dsp:nvSpPr>
      <dsp:spPr>
        <a:xfrm rot="10800000">
          <a:off x="662813" y="1127760"/>
          <a:ext cx="2651252" cy="1127760"/>
        </a:xfrm>
        <a:prstGeom prst="trapezoid">
          <a:avLst>
            <a:gd name="adj" fmla="val 5877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Stage 2: Analyze relevance to social problems being addressed by analysis of information.</a:t>
          </a:r>
        </a:p>
      </dsp:txBody>
      <dsp:txXfrm rot="-10800000">
        <a:off x="1126782" y="1127760"/>
        <a:ext cx="1723313" cy="1127760"/>
      </dsp:txXfrm>
    </dsp:sp>
    <dsp:sp modelId="{5E4F82B6-B0B2-45F3-BE75-938DEDDAD0E2}">
      <dsp:nvSpPr>
        <dsp:cNvPr id="0" name=""/>
        <dsp:cNvSpPr/>
      </dsp:nvSpPr>
      <dsp:spPr>
        <a:xfrm>
          <a:off x="1988439" y="2255520"/>
          <a:ext cx="3859911" cy="1127760"/>
        </a:xfrm>
        <a:prstGeom prst="nonIsoscelesTrapezoid">
          <a:avLst>
            <a:gd name="adj1" fmla="val 58773"/>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Times New Roman" panose="02020603050405020304" pitchFamily="18" charset="0"/>
              <a:cs typeface="Times New Roman" panose="02020603050405020304" pitchFamily="18" charset="0"/>
            </a:rPr>
            <a:t>The objective here is to try and understand if there is indeed something that the media is writing that is creating additional and substantial obstacles for teacher unions within Wisconsin and arguably to the rest of the U.S., thus creating greater inequality and inequity among certain members within society.</a:t>
          </a:r>
        </a:p>
      </dsp:txBody>
      <dsp:txXfrm>
        <a:off x="2651252" y="2255520"/>
        <a:ext cx="3197098" cy="1127760"/>
      </dsp:txXfrm>
    </dsp:sp>
    <dsp:sp modelId="{F9CCBD0A-7C3A-4C58-AC1D-A138C0401BB0}">
      <dsp:nvSpPr>
        <dsp:cNvPr id="0" name=""/>
        <dsp:cNvSpPr/>
      </dsp:nvSpPr>
      <dsp:spPr>
        <a:xfrm rot="10800000">
          <a:off x="1325626" y="2255520"/>
          <a:ext cx="1325626" cy="1127760"/>
        </a:xfrm>
        <a:prstGeom prst="trapezoid">
          <a:avLst>
            <a:gd name="adj" fmla="val 5877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Stage 3: Reflect critically on the analysis with a focus on research questions presented.</a:t>
          </a:r>
        </a:p>
      </dsp:txBody>
      <dsp:txXfrm rot="-10800000">
        <a:off x="1325626" y="2255520"/>
        <a:ext cx="1325626" cy="112776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1CC1C-94D2-4ED3-B759-AA7C6DEF4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184</Pages>
  <Words>101498</Words>
  <Characters>578543</Characters>
  <Application>Microsoft Office Word</Application>
  <DocSecurity>0</DocSecurity>
  <Lines>4821</Lines>
  <Paragraphs>1357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Harness</dc:creator>
  <cp:keywords/>
  <dc:description/>
  <cp:lastModifiedBy>Adam Harness</cp:lastModifiedBy>
  <cp:revision>7</cp:revision>
  <cp:lastPrinted>2016-06-13T15:47:00Z</cp:lastPrinted>
  <dcterms:created xsi:type="dcterms:W3CDTF">2016-09-28T20:47:00Z</dcterms:created>
  <dcterms:modified xsi:type="dcterms:W3CDTF">2016-10-11T17:13:00Z</dcterms:modified>
</cp:coreProperties>
</file>