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F71" w:rsidRDefault="00D66F71" w:rsidP="00D66F71">
      <w:pPr>
        <w:jc w:val="center"/>
        <w:rPr>
          <w:b/>
          <w:sz w:val="28"/>
          <w:szCs w:val="28"/>
        </w:rPr>
      </w:pPr>
      <w:r w:rsidRPr="00D66F71">
        <w:rPr>
          <w:b/>
          <w:sz w:val="28"/>
          <w:szCs w:val="28"/>
        </w:rPr>
        <w:t xml:space="preserve">Quantitative Techniques for PET/CT: </w:t>
      </w:r>
    </w:p>
    <w:p w:rsidR="00D66F71" w:rsidRDefault="00D66F71" w:rsidP="00D66F71">
      <w:pPr>
        <w:jc w:val="center"/>
        <w:rPr>
          <w:b/>
          <w:sz w:val="28"/>
          <w:szCs w:val="28"/>
          <w:lang w:val="en-CA"/>
        </w:rPr>
      </w:pPr>
      <w:r w:rsidRPr="00D66F71">
        <w:rPr>
          <w:b/>
          <w:sz w:val="28"/>
          <w:szCs w:val="28"/>
        </w:rPr>
        <w:t>A Clinical Assessment of the Impact of PSF and TOF</w:t>
      </w:r>
    </w:p>
    <w:p w:rsidR="00D66F71" w:rsidRPr="00612F41" w:rsidRDefault="00D66F71" w:rsidP="00612F41">
      <w:pPr>
        <w:ind w:left="2880" w:firstLine="720"/>
        <w:rPr>
          <w:b/>
          <w:sz w:val="28"/>
          <w:szCs w:val="28"/>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 xml:space="preserve">A </w:t>
      </w:r>
      <w:r w:rsidR="00640435">
        <w:rPr>
          <w:sz w:val="28"/>
          <w:szCs w:val="28"/>
        </w:rPr>
        <w:t>Dissertation</w:t>
      </w:r>
      <w:r w:rsidRPr="00E17018">
        <w:rPr>
          <w:sz w:val="28"/>
          <w:szCs w:val="28"/>
        </w:rPr>
        <w:t xml:space="preserve"> Presented for</w:t>
      </w:r>
      <w:r w:rsidR="00C62680">
        <w:rPr>
          <w:sz w:val="28"/>
          <w:szCs w:val="28"/>
        </w:rPr>
        <w:t xml:space="preserve"> the </w:t>
      </w:r>
    </w:p>
    <w:p w:rsidR="009C755C" w:rsidRPr="00E17018" w:rsidRDefault="00D66F71">
      <w:pPr>
        <w:jc w:val="center"/>
        <w:rPr>
          <w:sz w:val="28"/>
          <w:szCs w:val="28"/>
        </w:rPr>
      </w:pPr>
      <w:r>
        <w:rPr>
          <w:sz w:val="28"/>
          <w:szCs w:val="28"/>
        </w:rPr>
        <w:t>Doctor of Philosophy</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AF5F0A">
      <w:pPr>
        <w:jc w:val="center"/>
        <w:rPr>
          <w:sz w:val="28"/>
          <w:szCs w:val="28"/>
        </w:rPr>
      </w:pPr>
      <w:r>
        <w:rPr>
          <w:sz w:val="28"/>
          <w:szCs w:val="28"/>
        </w:rPr>
        <w:t>Joshua Donald Schaefferkoetter</w:t>
      </w:r>
    </w:p>
    <w:p w:rsidR="009C755C" w:rsidRPr="00E17018" w:rsidRDefault="005A7352">
      <w:pPr>
        <w:jc w:val="center"/>
        <w:rPr>
          <w:sz w:val="28"/>
          <w:szCs w:val="28"/>
        </w:rPr>
      </w:pPr>
      <w:r>
        <w:rPr>
          <w:sz w:val="28"/>
          <w:szCs w:val="28"/>
        </w:rPr>
        <w:t>May 2013</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073443" w:rsidP="00D91C27">
      <w:pPr>
        <w:jc w:val="center"/>
      </w:pPr>
      <w:r>
        <w:t>Copyright © 201</w:t>
      </w:r>
      <w:r w:rsidR="00DA4A35">
        <w:t>3</w:t>
      </w:r>
      <w:r w:rsidR="00236E6D" w:rsidRPr="00F920F6">
        <w:t xml:space="preserve"> by </w:t>
      </w:r>
      <w:r w:rsidR="00DA4A35">
        <w:t>Joshua Schaefferkoetter</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5F60C6" w:rsidRDefault="005F60C6">
      <w:pPr>
        <w:rPr>
          <w:b/>
        </w:rPr>
      </w:pPr>
      <w:r>
        <w:rPr>
          <w:b/>
        </w:rPr>
        <w:br w:type="page"/>
      </w:r>
    </w:p>
    <w:p w:rsidR="00CD73A9" w:rsidRPr="00612F41" w:rsidRDefault="00D067C3" w:rsidP="005B2970">
      <w:pPr>
        <w:tabs>
          <w:tab w:val="left" w:pos="90"/>
        </w:tabs>
        <w:ind w:left="90"/>
        <w:jc w:val="center"/>
        <w:rPr>
          <w:b/>
        </w:rPr>
      </w:pPr>
      <w:r w:rsidRPr="00612F41">
        <w:rPr>
          <w:b/>
        </w:rPr>
        <w:lastRenderedPageBreak/>
        <w:t>Acknowledgements</w:t>
      </w:r>
    </w:p>
    <w:p w:rsidR="00CD73A9" w:rsidRPr="00F920F6" w:rsidRDefault="00CD73A9">
      <w:pPr>
        <w:jc w:val="center"/>
      </w:pPr>
    </w:p>
    <w:p w:rsidR="00D340F4" w:rsidRDefault="00FD3368" w:rsidP="00255D93">
      <w:pPr>
        <w:numPr>
          <w:ilvl w:val="12"/>
          <w:numId w:val="0"/>
        </w:numPr>
        <w:spacing w:line="480" w:lineRule="auto"/>
        <w:ind w:firstLine="720"/>
      </w:pPr>
      <w:r>
        <w:t>I would</w:t>
      </w:r>
      <w:r w:rsidR="00F72E17">
        <w:t xml:space="preserve"> first</w:t>
      </w:r>
      <w:r>
        <w:t xml:space="preserve"> like to thank the primary members of my PhD committee, Mike Guidry, Hanno </w:t>
      </w:r>
      <w:proofErr w:type="spellStart"/>
      <w:r>
        <w:t>Weitering</w:t>
      </w:r>
      <w:proofErr w:type="spellEnd"/>
      <w:r>
        <w:t>, Jonathan Wall, and David Townsend for their continued support throughout my graduate studies.  The fifth member</w:t>
      </w:r>
      <w:r w:rsidR="002F19E6">
        <w:t>,</w:t>
      </w:r>
      <w:r>
        <w:t xml:space="preserve"> Georges El Fakhri</w:t>
      </w:r>
      <w:r w:rsidR="002F19E6">
        <w:t>,</w:t>
      </w:r>
      <w:r>
        <w:t xml:space="preserve"> was essential in defining the </w:t>
      </w:r>
      <w:r w:rsidR="00F72E17">
        <w:t xml:space="preserve">course of the research </w:t>
      </w:r>
      <w:r w:rsidR="00953A4F">
        <w:t>presented</w:t>
      </w:r>
      <w:r w:rsidR="00F72E17">
        <w:t xml:space="preserve"> in this dissertation</w:t>
      </w:r>
      <w:r w:rsidR="00953A4F">
        <w:t xml:space="preserve"> and deserves much of the credit for this work.  </w:t>
      </w:r>
      <w:proofErr w:type="spellStart"/>
      <w:r w:rsidR="00255D93">
        <w:t>Bjoern</w:t>
      </w:r>
      <w:proofErr w:type="spellEnd"/>
      <w:r w:rsidR="00255D93">
        <w:t xml:space="preserve"> </w:t>
      </w:r>
      <w:proofErr w:type="spellStart"/>
      <w:r w:rsidR="00255D93">
        <w:t>Jakoby</w:t>
      </w:r>
      <w:proofErr w:type="spellEnd"/>
      <w:r w:rsidR="00255D93">
        <w:t xml:space="preserve"> was a graduate Physics student working with the molecular imaging group when I joined in 2008; he was largely responsible for helping me get started </w:t>
      </w:r>
      <w:r w:rsidR="00D95D46">
        <w:t>on</w:t>
      </w:r>
      <w:r w:rsidR="00255D93">
        <w:t xml:space="preserve"> this academic path.  </w:t>
      </w:r>
      <w:r w:rsidR="00953A4F">
        <w:t>I would also like to take this opportunity to acknowledge the help of</w:t>
      </w:r>
      <w:r w:rsidR="00D95D46">
        <w:t xml:space="preserve"> several of the</w:t>
      </w:r>
      <w:r w:rsidR="00953A4F">
        <w:t xml:space="preserve"> many</w:t>
      </w:r>
      <w:r w:rsidR="00255D93">
        <w:t xml:space="preserve"> brilliant</w:t>
      </w:r>
      <w:r w:rsidR="00953A4F">
        <w:t xml:space="preserve"> scientists working at Siemens </w:t>
      </w:r>
      <w:r w:rsidR="00585CEB">
        <w:t>Healthcare</w:t>
      </w:r>
      <w:r w:rsidR="00953A4F">
        <w:t xml:space="preserve">, who always made time to answer my questions, and without which, this work would not have been possible.  These include: Harold </w:t>
      </w:r>
      <w:proofErr w:type="spellStart"/>
      <w:r w:rsidR="00953A4F">
        <w:t>Rothfuss</w:t>
      </w:r>
      <w:proofErr w:type="spellEnd"/>
      <w:r w:rsidR="00953A4F">
        <w:t xml:space="preserve">, for teaching me the majority of my knowledge about the structure and organization of PET data, </w:t>
      </w:r>
      <w:r w:rsidR="00255D93">
        <w:t xml:space="preserve">Jim </w:t>
      </w:r>
      <w:proofErr w:type="spellStart"/>
      <w:r w:rsidR="00255D93">
        <w:t>Hamill</w:t>
      </w:r>
      <w:proofErr w:type="spellEnd"/>
      <w:r w:rsidR="00255D93">
        <w:t xml:space="preserve"> and Judson Jones for their time and assistance with various pieces of software code, Maurizio Conti for </w:t>
      </w:r>
      <w:r w:rsidR="00D95D46">
        <w:t>numerous</w:t>
      </w:r>
      <w:r w:rsidR="00255D93">
        <w:t xml:space="preserve"> helpful discussions about TOF</w:t>
      </w:r>
      <w:r w:rsidR="00D95D46">
        <w:t>-PET</w:t>
      </w:r>
      <w:r w:rsidR="00255D93">
        <w:t xml:space="preserve">, and Mike Casey, the director of the Physics group, for his direction and many discussions on a wide range of topics.  Finally, I would like to thank the three physicians who assisted with the observer study for their valuable time, Drs. </w:t>
      </w:r>
      <w:proofErr w:type="spellStart"/>
      <w:r w:rsidR="00255D93">
        <w:t>Yitong</w:t>
      </w:r>
      <w:proofErr w:type="spellEnd"/>
      <w:r w:rsidR="00255D93">
        <w:t xml:space="preserve"> Fu, Karen Wells, and Yong Bradley.</w:t>
      </w:r>
    </w:p>
    <w:p w:rsidR="00236E6D" w:rsidRPr="00F920F6" w:rsidRDefault="00CD73A9" w:rsidP="008F60C3">
      <w:pPr>
        <w:jc w:val="center"/>
      </w:pPr>
      <w:r w:rsidRPr="00F920F6">
        <w:rPr>
          <w:sz w:val="36"/>
          <w:szCs w:val="36"/>
        </w:rPr>
        <w:br w:type="page"/>
      </w:r>
      <w:r w:rsidR="00D067C3" w:rsidRPr="00612F41">
        <w:rPr>
          <w:b/>
          <w:bCs/>
        </w:rPr>
        <w:lastRenderedPageBreak/>
        <w:t>Abstract</w:t>
      </w:r>
    </w:p>
    <w:p w:rsidR="00236E6D" w:rsidRPr="00F920F6" w:rsidRDefault="00236E6D"/>
    <w:p w:rsidR="00E04386" w:rsidRPr="00F920F6" w:rsidRDefault="007A75FC" w:rsidP="00E04386">
      <w:pPr>
        <w:numPr>
          <w:ilvl w:val="12"/>
          <w:numId w:val="0"/>
        </w:numPr>
        <w:spacing w:line="480" w:lineRule="auto"/>
        <w:ind w:firstLine="720"/>
      </w:pPr>
      <w:r w:rsidRPr="007A75FC">
        <w:t xml:space="preserve"> Tomographic reconstruction </w:t>
      </w:r>
      <w:r w:rsidR="004F52E7">
        <w:t>has been a</w:t>
      </w:r>
      <w:r w:rsidRPr="007A75FC">
        <w:t xml:space="preserve"> challenge </w:t>
      </w:r>
      <w:r w:rsidR="004F52E7">
        <w:t>for</w:t>
      </w:r>
      <w:r w:rsidRPr="007A75FC">
        <w:t xml:space="preserve"> many</w:t>
      </w:r>
      <w:r>
        <w:t xml:space="preserve"> </w:t>
      </w:r>
      <w:r w:rsidRPr="007A75FC">
        <w:t xml:space="preserve">imaging </w:t>
      </w:r>
      <w:r w:rsidR="004F52E7">
        <w:t>applications</w:t>
      </w:r>
      <w:r w:rsidRPr="007A75FC">
        <w:t xml:space="preserve">, and it is particularly problematic for </w:t>
      </w:r>
      <w:r w:rsidR="004F52E7">
        <w:t>count-limited</w:t>
      </w:r>
      <w:r>
        <w:t xml:space="preserve"> </w:t>
      </w:r>
      <w:r w:rsidRPr="007A75FC">
        <w:t xml:space="preserve">modalities such as </w:t>
      </w:r>
      <w:r w:rsidR="004F52E7">
        <w:t>Positron Emission Tomography (</w:t>
      </w:r>
      <w:r w:rsidRPr="007A75FC">
        <w:t>PET</w:t>
      </w:r>
      <w:r w:rsidR="004F52E7">
        <w:t>).  R</w:t>
      </w:r>
      <w:r w:rsidRPr="007A75FC">
        <w:t>ecent advances</w:t>
      </w:r>
      <w:r w:rsidR="004F52E7">
        <w:t xml:space="preserve"> in PET</w:t>
      </w:r>
      <w:r w:rsidRPr="007A75FC">
        <w:t>, including</w:t>
      </w:r>
      <w:r>
        <w:t xml:space="preserve"> </w:t>
      </w:r>
      <w:r w:rsidR="002F6D4C">
        <w:t xml:space="preserve">the incorporation of </w:t>
      </w:r>
      <w:r w:rsidRPr="007A75FC">
        <w:t>time-of-flight</w:t>
      </w:r>
      <w:r w:rsidR="002F6D4C">
        <w:t xml:space="preserve"> (TOF) information</w:t>
      </w:r>
      <w:r w:rsidRPr="007A75FC">
        <w:t xml:space="preserve"> and mo</w:t>
      </w:r>
      <w:r w:rsidR="002F6D4C">
        <w:t>deling the variation of the point response across the imaging field (PSF), have resulted in significant improvements</w:t>
      </w:r>
      <w:r w:rsidRPr="007A75FC">
        <w:t xml:space="preserve"> in image quality.  While the effects of these techniques</w:t>
      </w:r>
      <w:r>
        <w:t xml:space="preserve"> </w:t>
      </w:r>
      <w:r w:rsidRPr="007A75FC">
        <w:t>have been characterized</w:t>
      </w:r>
      <w:r w:rsidR="002F6D4C">
        <w:t xml:space="preserve"> with simulations and mathematical modeling</w:t>
      </w:r>
      <w:r w:rsidRPr="007A75FC">
        <w:t>, there has been</w:t>
      </w:r>
      <w:r>
        <w:t xml:space="preserve"> </w:t>
      </w:r>
      <w:r w:rsidRPr="007A75FC">
        <w:t xml:space="preserve">relatively little work </w:t>
      </w:r>
      <w:r w:rsidR="002F6D4C">
        <w:t>investigating</w:t>
      </w:r>
      <w:r w:rsidRPr="007A75FC">
        <w:t xml:space="preserve"> the potential impact of</w:t>
      </w:r>
      <w:r>
        <w:t xml:space="preserve"> </w:t>
      </w:r>
      <w:r w:rsidRPr="007A75FC">
        <w:t xml:space="preserve">such </w:t>
      </w:r>
      <w:r w:rsidR="002F6D4C">
        <w:t>methods</w:t>
      </w:r>
      <w:r w:rsidR="00CC4F77">
        <w:t xml:space="preserve"> in the clinical setting.  The objective of this</w:t>
      </w:r>
      <w:r w:rsidRPr="007A75FC">
        <w:t xml:space="preserve"> work</w:t>
      </w:r>
      <w:r w:rsidR="00CC4F77">
        <w:t xml:space="preserve"> is to quantify</w:t>
      </w:r>
      <w:r w:rsidRPr="007A75FC">
        <w:t xml:space="preserve"> these</w:t>
      </w:r>
      <w:r>
        <w:t xml:space="preserve"> </w:t>
      </w:r>
      <w:r w:rsidR="00CC4F77">
        <w:t>techniques</w:t>
      </w:r>
      <w:r w:rsidRPr="007A75FC">
        <w:t xml:space="preserve"> in the context</w:t>
      </w:r>
      <w:r w:rsidR="00CC4F77">
        <w:t xml:space="preserve"> of</w:t>
      </w:r>
      <w:r w:rsidRPr="007A75FC">
        <w:t xml:space="preserve"> realistic lesion detection and</w:t>
      </w:r>
      <w:r>
        <w:t xml:space="preserve"> </w:t>
      </w:r>
      <w:r w:rsidRPr="007A75FC">
        <w:t>localization task</w:t>
      </w:r>
      <w:r w:rsidR="00CC4F77">
        <w:t>s for a medical environment</w:t>
      </w:r>
      <w:r w:rsidRPr="007A75FC">
        <w:t xml:space="preserve">.  Mathematical observers are used to </w:t>
      </w:r>
      <w:r w:rsidR="00BD50AC">
        <w:t xml:space="preserve">first </w:t>
      </w:r>
      <w:r w:rsidRPr="007A75FC">
        <w:t xml:space="preserve">identify optimal reconstruction parameters and then </w:t>
      </w:r>
      <w:r w:rsidR="00BD50AC">
        <w:t xml:space="preserve">later to </w:t>
      </w:r>
      <w:r w:rsidRPr="007A75FC">
        <w:t xml:space="preserve">evaluate </w:t>
      </w:r>
      <w:r w:rsidR="00BD50AC">
        <w:t xml:space="preserve">the </w:t>
      </w:r>
      <w:r w:rsidRPr="007A75FC">
        <w:t>performance of the</w:t>
      </w:r>
      <w:r>
        <w:t xml:space="preserve"> </w:t>
      </w:r>
      <w:r w:rsidRPr="007A75FC">
        <w:t xml:space="preserve">reconstructions.  The effect on the </w:t>
      </w:r>
      <w:r w:rsidR="00BD50AC">
        <w:t xml:space="preserve">reconstruction </w:t>
      </w:r>
      <w:r w:rsidRPr="007A75FC">
        <w:t>algorithms is then evaluated for</w:t>
      </w:r>
      <w:r>
        <w:t xml:space="preserve"> </w:t>
      </w:r>
      <w:r w:rsidRPr="007A75FC">
        <w:t>various patient size</w:t>
      </w:r>
      <w:r w:rsidR="00BD50AC">
        <w:t>s and imaging conditions.  The</w:t>
      </w:r>
      <w:r w:rsidRPr="007A75FC">
        <w:t xml:space="preserve"> findings</w:t>
      </w:r>
      <w:r w:rsidR="00BD50AC">
        <w:t xml:space="preserve"> for the mathematical observers</w:t>
      </w:r>
      <w:r w:rsidRPr="007A75FC">
        <w:t xml:space="preserve"> are</w:t>
      </w:r>
      <w:r>
        <w:t xml:space="preserve"> </w:t>
      </w:r>
      <w:r w:rsidRPr="007A75FC">
        <w:t>compared to</w:t>
      </w:r>
      <w:r w:rsidR="00BD50AC">
        <w:t>,</w:t>
      </w:r>
      <w:r w:rsidRPr="007A75FC">
        <w:t xml:space="preserve"> and validated by</w:t>
      </w:r>
      <w:r w:rsidR="00BD50AC">
        <w:t>, the performance</w:t>
      </w:r>
      <w:r w:rsidRPr="007A75FC">
        <w:t xml:space="preserve"> of </w:t>
      </w:r>
      <w:r w:rsidR="00BD50AC">
        <w:t>three</w:t>
      </w:r>
      <w:r w:rsidRPr="007A75FC">
        <w:t xml:space="preserve"> experienced</w:t>
      </w:r>
      <w:r>
        <w:t xml:space="preserve"> </w:t>
      </w:r>
      <w:r w:rsidR="00BD50AC">
        <w:t>nuclear medicine physicians completing</w:t>
      </w:r>
      <w:r w:rsidRPr="007A75FC">
        <w:t xml:space="preserve"> the same task.</w:t>
      </w:r>
      <w:r w:rsidR="0009045E">
        <w:t xml:space="preserve"> </w:t>
      </w:r>
    </w:p>
    <w:p w:rsidR="00236E6D" w:rsidRDefault="00236E6D" w:rsidP="00F710F9">
      <w:pPr>
        <w:numPr>
          <w:ilvl w:val="12"/>
          <w:numId w:val="0"/>
        </w:numPr>
        <w:jc w:val="center"/>
        <w:rPr>
          <w:bCs/>
        </w:rPr>
      </w:pPr>
      <w:r w:rsidRPr="00F920F6">
        <w:br w:type="page"/>
      </w:r>
      <w:r w:rsidR="00D067C3" w:rsidRPr="00612F41">
        <w:rPr>
          <w:b/>
          <w:bCs/>
        </w:rPr>
        <w:lastRenderedPageBreak/>
        <w:t>Table of Contents</w:t>
      </w:r>
    </w:p>
    <w:p w:rsidR="00552852" w:rsidRPr="00F920F6" w:rsidRDefault="00552852" w:rsidP="00F710F9">
      <w:pPr>
        <w:numPr>
          <w:ilvl w:val="12"/>
          <w:numId w:val="0"/>
        </w:numPr>
        <w:jc w:val="center"/>
      </w:pPr>
    </w:p>
    <w:p w:rsidR="005B6C27" w:rsidRDefault="009B6816">
      <w:pPr>
        <w:pStyle w:val="TOC1"/>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\o "1-3" \h \z </w:instrText>
      </w:r>
      <w:r w:rsidRPr="00F920F6">
        <w:fldChar w:fldCharType="separate"/>
      </w:r>
      <w:hyperlink w:anchor="_Toc351889981" w:history="1">
        <w:r w:rsidR="005B6C27" w:rsidRPr="005A1788">
          <w:rPr>
            <w:rStyle w:val="Hyperlink"/>
            <w:noProof/>
          </w:rPr>
          <w:t>Chapter 1 PET Background</w:t>
        </w:r>
        <w:r w:rsidR="005B6C27">
          <w:rPr>
            <w:noProof/>
            <w:webHidden/>
          </w:rPr>
          <w:tab/>
        </w:r>
        <w:r w:rsidR="005B6C27">
          <w:rPr>
            <w:noProof/>
            <w:webHidden/>
          </w:rPr>
          <w:fldChar w:fldCharType="begin"/>
        </w:r>
        <w:r w:rsidR="005B6C27">
          <w:rPr>
            <w:noProof/>
            <w:webHidden/>
          </w:rPr>
          <w:instrText xml:space="preserve"> PAGEREF _Toc351889981 \h </w:instrText>
        </w:r>
        <w:r w:rsidR="005B6C27">
          <w:rPr>
            <w:noProof/>
            <w:webHidden/>
          </w:rPr>
        </w:r>
        <w:r w:rsidR="005B6C27">
          <w:rPr>
            <w:noProof/>
            <w:webHidden/>
          </w:rPr>
          <w:fldChar w:fldCharType="separate"/>
        </w:r>
        <w:r w:rsidR="005B6C27">
          <w:rPr>
            <w:noProof/>
            <w:webHidden/>
          </w:rPr>
          <w:t>1</w:t>
        </w:r>
        <w:r w:rsidR="005B6C27">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2" w:history="1">
        <w:r w:rsidRPr="005A1788">
          <w:rPr>
            <w:rStyle w:val="Hyperlink"/>
            <w:noProof/>
          </w:rPr>
          <w:t>Introduction</w:t>
        </w:r>
        <w:r>
          <w:rPr>
            <w:noProof/>
            <w:webHidden/>
          </w:rPr>
          <w:tab/>
        </w:r>
        <w:r>
          <w:rPr>
            <w:noProof/>
            <w:webHidden/>
          </w:rPr>
          <w:fldChar w:fldCharType="begin"/>
        </w:r>
        <w:r>
          <w:rPr>
            <w:noProof/>
            <w:webHidden/>
          </w:rPr>
          <w:instrText xml:space="preserve"> PAGEREF _Toc351889982 \h </w:instrText>
        </w:r>
        <w:r>
          <w:rPr>
            <w:noProof/>
            <w:webHidden/>
          </w:rPr>
        </w:r>
        <w:r>
          <w:rPr>
            <w:noProof/>
            <w:webHidden/>
          </w:rPr>
          <w:fldChar w:fldCharType="separate"/>
        </w:r>
        <w:r>
          <w:rPr>
            <w:noProof/>
            <w:webHidden/>
          </w:rPr>
          <w:t>1</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3" w:history="1">
        <w:r w:rsidRPr="005A1788">
          <w:rPr>
            <w:rStyle w:val="Hyperlink"/>
            <w:noProof/>
          </w:rPr>
          <w:t>History</w:t>
        </w:r>
        <w:r>
          <w:rPr>
            <w:noProof/>
            <w:webHidden/>
          </w:rPr>
          <w:tab/>
        </w:r>
        <w:r>
          <w:rPr>
            <w:noProof/>
            <w:webHidden/>
          </w:rPr>
          <w:fldChar w:fldCharType="begin"/>
        </w:r>
        <w:r>
          <w:rPr>
            <w:noProof/>
            <w:webHidden/>
          </w:rPr>
          <w:instrText xml:space="preserve"> PAGEREF _Toc351889983 \h </w:instrText>
        </w:r>
        <w:r>
          <w:rPr>
            <w:noProof/>
            <w:webHidden/>
          </w:rPr>
        </w:r>
        <w:r>
          <w:rPr>
            <w:noProof/>
            <w:webHidden/>
          </w:rPr>
          <w:fldChar w:fldCharType="separate"/>
        </w:r>
        <w:r>
          <w:rPr>
            <w:noProof/>
            <w:webHidden/>
          </w:rPr>
          <w:t>1</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4" w:history="1">
        <w:r w:rsidRPr="005A1788">
          <w:rPr>
            <w:rStyle w:val="Hyperlink"/>
            <w:noProof/>
          </w:rPr>
          <w:t>Radiotracers</w:t>
        </w:r>
        <w:r>
          <w:rPr>
            <w:noProof/>
            <w:webHidden/>
          </w:rPr>
          <w:tab/>
        </w:r>
        <w:r>
          <w:rPr>
            <w:noProof/>
            <w:webHidden/>
          </w:rPr>
          <w:fldChar w:fldCharType="begin"/>
        </w:r>
        <w:r>
          <w:rPr>
            <w:noProof/>
            <w:webHidden/>
          </w:rPr>
          <w:instrText xml:space="preserve"> PAGEREF _Toc351889984 \h </w:instrText>
        </w:r>
        <w:r>
          <w:rPr>
            <w:noProof/>
            <w:webHidden/>
          </w:rPr>
        </w:r>
        <w:r>
          <w:rPr>
            <w:noProof/>
            <w:webHidden/>
          </w:rPr>
          <w:fldChar w:fldCharType="separate"/>
        </w:r>
        <w:r>
          <w:rPr>
            <w:noProof/>
            <w:webHidden/>
          </w:rPr>
          <w:t>3</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5" w:history="1">
        <w:r w:rsidRPr="005A1788">
          <w:rPr>
            <w:rStyle w:val="Hyperlink"/>
            <w:noProof/>
          </w:rPr>
          <w:t>PET Scanners</w:t>
        </w:r>
        <w:r>
          <w:rPr>
            <w:noProof/>
            <w:webHidden/>
          </w:rPr>
          <w:tab/>
        </w:r>
        <w:r>
          <w:rPr>
            <w:noProof/>
            <w:webHidden/>
          </w:rPr>
          <w:fldChar w:fldCharType="begin"/>
        </w:r>
        <w:r>
          <w:rPr>
            <w:noProof/>
            <w:webHidden/>
          </w:rPr>
          <w:instrText xml:space="preserve"> PAGEREF _Toc351889985 \h </w:instrText>
        </w:r>
        <w:r>
          <w:rPr>
            <w:noProof/>
            <w:webHidden/>
          </w:rPr>
        </w:r>
        <w:r>
          <w:rPr>
            <w:noProof/>
            <w:webHidden/>
          </w:rPr>
          <w:fldChar w:fldCharType="separate"/>
        </w:r>
        <w:r>
          <w:rPr>
            <w:noProof/>
            <w:webHidden/>
          </w:rPr>
          <w:t>5</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6" w:history="1">
        <w:r w:rsidRPr="005A1788">
          <w:rPr>
            <w:rStyle w:val="Hyperlink"/>
            <w:noProof/>
          </w:rPr>
          <w:t>PET as a Clinical Tool</w:t>
        </w:r>
        <w:r>
          <w:rPr>
            <w:noProof/>
            <w:webHidden/>
          </w:rPr>
          <w:tab/>
        </w:r>
        <w:r>
          <w:rPr>
            <w:noProof/>
            <w:webHidden/>
          </w:rPr>
          <w:fldChar w:fldCharType="begin"/>
        </w:r>
        <w:r>
          <w:rPr>
            <w:noProof/>
            <w:webHidden/>
          </w:rPr>
          <w:instrText xml:space="preserve"> PAGEREF _Toc351889986 \h </w:instrText>
        </w:r>
        <w:r>
          <w:rPr>
            <w:noProof/>
            <w:webHidden/>
          </w:rPr>
        </w:r>
        <w:r>
          <w:rPr>
            <w:noProof/>
            <w:webHidden/>
          </w:rPr>
          <w:fldChar w:fldCharType="separate"/>
        </w:r>
        <w:r>
          <w:rPr>
            <w:noProof/>
            <w:webHidden/>
          </w:rPr>
          <w:t>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7" w:history="1">
        <w:r w:rsidRPr="005A1788">
          <w:rPr>
            <w:rStyle w:val="Hyperlink"/>
            <w:noProof/>
          </w:rPr>
          <w:t>This Dissertation</w:t>
        </w:r>
        <w:r>
          <w:rPr>
            <w:noProof/>
            <w:webHidden/>
          </w:rPr>
          <w:tab/>
        </w:r>
        <w:r>
          <w:rPr>
            <w:noProof/>
            <w:webHidden/>
          </w:rPr>
          <w:fldChar w:fldCharType="begin"/>
        </w:r>
        <w:r>
          <w:rPr>
            <w:noProof/>
            <w:webHidden/>
          </w:rPr>
          <w:instrText xml:space="preserve"> PAGEREF _Toc351889987 \h </w:instrText>
        </w:r>
        <w:r>
          <w:rPr>
            <w:noProof/>
            <w:webHidden/>
          </w:rPr>
        </w:r>
        <w:r>
          <w:rPr>
            <w:noProof/>
            <w:webHidden/>
          </w:rPr>
          <w:fldChar w:fldCharType="separate"/>
        </w:r>
        <w:r>
          <w:rPr>
            <w:noProof/>
            <w:webHidden/>
          </w:rPr>
          <w:t>12</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89988" w:history="1">
        <w:r w:rsidRPr="005A1788">
          <w:rPr>
            <w:rStyle w:val="Hyperlink"/>
            <w:noProof/>
          </w:rPr>
          <w:t>Chapter 2  PET Physics</w:t>
        </w:r>
        <w:r>
          <w:rPr>
            <w:noProof/>
            <w:webHidden/>
          </w:rPr>
          <w:tab/>
        </w:r>
        <w:r>
          <w:rPr>
            <w:noProof/>
            <w:webHidden/>
          </w:rPr>
          <w:fldChar w:fldCharType="begin"/>
        </w:r>
        <w:r>
          <w:rPr>
            <w:noProof/>
            <w:webHidden/>
          </w:rPr>
          <w:instrText xml:space="preserve"> PAGEREF _Toc351889988 \h </w:instrText>
        </w:r>
        <w:r>
          <w:rPr>
            <w:noProof/>
            <w:webHidden/>
          </w:rPr>
        </w:r>
        <w:r>
          <w:rPr>
            <w:noProof/>
            <w:webHidden/>
          </w:rPr>
          <w:fldChar w:fldCharType="separate"/>
        </w:r>
        <w:r>
          <w:rPr>
            <w:noProof/>
            <w:webHidden/>
          </w:rPr>
          <w:t>14</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89" w:history="1">
        <w:r w:rsidRPr="005A1788">
          <w:rPr>
            <w:rStyle w:val="Hyperlink"/>
            <w:noProof/>
          </w:rPr>
          <w:t>Fundamental Physics</w:t>
        </w:r>
        <w:r>
          <w:rPr>
            <w:noProof/>
            <w:webHidden/>
          </w:rPr>
          <w:tab/>
        </w:r>
        <w:r>
          <w:rPr>
            <w:noProof/>
            <w:webHidden/>
          </w:rPr>
          <w:fldChar w:fldCharType="begin"/>
        </w:r>
        <w:r>
          <w:rPr>
            <w:noProof/>
            <w:webHidden/>
          </w:rPr>
          <w:instrText xml:space="preserve"> PAGEREF _Toc351889989 \h </w:instrText>
        </w:r>
        <w:r>
          <w:rPr>
            <w:noProof/>
            <w:webHidden/>
          </w:rPr>
        </w:r>
        <w:r>
          <w:rPr>
            <w:noProof/>
            <w:webHidden/>
          </w:rPr>
          <w:fldChar w:fldCharType="separate"/>
        </w:r>
        <w:r>
          <w:rPr>
            <w:noProof/>
            <w:webHidden/>
          </w:rPr>
          <w:t>14</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90" w:history="1">
        <w:r w:rsidRPr="005A1788">
          <w:rPr>
            <w:rStyle w:val="Hyperlink"/>
            <w:noProof/>
          </w:rPr>
          <w:t>Event Detection</w:t>
        </w:r>
        <w:r>
          <w:rPr>
            <w:noProof/>
            <w:webHidden/>
          </w:rPr>
          <w:tab/>
        </w:r>
        <w:r>
          <w:rPr>
            <w:noProof/>
            <w:webHidden/>
          </w:rPr>
          <w:fldChar w:fldCharType="begin"/>
        </w:r>
        <w:r>
          <w:rPr>
            <w:noProof/>
            <w:webHidden/>
          </w:rPr>
          <w:instrText xml:space="preserve"> PAGEREF _Toc351889990 \h </w:instrText>
        </w:r>
        <w:r>
          <w:rPr>
            <w:noProof/>
            <w:webHidden/>
          </w:rPr>
        </w:r>
        <w:r>
          <w:rPr>
            <w:noProof/>
            <w:webHidden/>
          </w:rPr>
          <w:fldChar w:fldCharType="separate"/>
        </w:r>
        <w:r>
          <w:rPr>
            <w:noProof/>
            <w:webHidden/>
          </w:rPr>
          <w:t>15</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91" w:history="1">
        <w:r w:rsidRPr="005A1788">
          <w:rPr>
            <w:rStyle w:val="Hyperlink"/>
            <w:noProof/>
          </w:rPr>
          <w:t>Acquisition Data</w:t>
        </w:r>
        <w:r>
          <w:rPr>
            <w:noProof/>
            <w:webHidden/>
          </w:rPr>
          <w:tab/>
        </w:r>
        <w:r>
          <w:rPr>
            <w:noProof/>
            <w:webHidden/>
          </w:rPr>
          <w:fldChar w:fldCharType="begin"/>
        </w:r>
        <w:r>
          <w:rPr>
            <w:noProof/>
            <w:webHidden/>
          </w:rPr>
          <w:instrText xml:space="preserve"> PAGEREF _Toc351889991 \h </w:instrText>
        </w:r>
        <w:r>
          <w:rPr>
            <w:noProof/>
            <w:webHidden/>
          </w:rPr>
        </w:r>
        <w:r>
          <w:rPr>
            <w:noProof/>
            <w:webHidden/>
          </w:rPr>
          <w:fldChar w:fldCharType="separate"/>
        </w:r>
        <w:r>
          <w:rPr>
            <w:noProof/>
            <w:webHidden/>
          </w:rPr>
          <w:t>17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92" w:history="1">
        <w:r w:rsidRPr="005A1788">
          <w:rPr>
            <w:rStyle w:val="Hyperlink"/>
            <w:noProof/>
          </w:rPr>
          <w:t>Data Corrections</w:t>
        </w:r>
        <w:r>
          <w:rPr>
            <w:noProof/>
            <w:webHidden/>
          </w:rPr>
          <w:tab/>
        </w:r>
        <w:r>
          <w:rPr>
            <w:noProof/>
            <w:webHidden/>
          </w:rPr>
          <w:fldChar w:fldCharType="begin"/>
        </w:r>
        <w:r>
          <w:rPr>
            <w:noProof/>
            <w:webHidden/>
          </w:rPr>
          <w:instrText xml:space="preserve"> PAGEREF _Toc351889992 \h </w:instrText>
        </w:r>
        <w:r>
          <w:rPr>
            <w:noProof/>
            <w:webHidden/>
          </w:rPr>
        </w:r>
        <w:r>
          <w:rPr>
            <w:noProof/>
            <w:webHidden/>
          </w:rPr>
          <w:fldChar w:fldCharType="separate"/>
        </w:r>
        <w:r>
          <w:rPr>
            <w:noProof/>
            <w:webHidden/>
          </w:rPr>
          <w:t>20</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3" w:history="1">
        <w:r w:rsidRPr="005A1788">
          <w:rPr>
            <w:rStyle w:val="Hyperlink"/>
            <w:noProof/>
          </w:rPr>
          <w:t>Randoms</w:t>
        </w:r>
        <w:r>
          <w:rPr>
            <w:noProof/>
            <w:webHidden/>
          </w:rPr>
          <w:tab/>
        </w:r>
        <w:r>
          <w:rPr>
            <w:noProof/>
            <w:webHidden/>
          </w:rPr>
          <w:fldChar w:fldCharType="begin"/>
        </w:r>
        <w:r>
          <w:rPr>
            <w:noProof/>
            <w:webHidden/>
          </w:rPr>
          <w:instrText xml:space="preserve"> PAGEREF _Toc351889993 \h </w:instrText>
        </w:r>
        <w:r>
          <w:rPr>
            <w:noProof/>
            <w:webHidden/>
          </w:rPr>
        </w:r>
        <w:r>
          <w:rPr>
            <w:noProof/>
            <w:webHidden/>
          </w:rPr>
          <w:fldChar w:fldCharType="separate"/>
        </w:r>
        <w:r>
          <w:rPr>
            <w:noProof/>
            <w:webHidden/>
          </w:rPr>
          <w:t>21</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4" w:history="1">
        <w:r w:rsidRPr="005A1788">
          <w:rPr>
            <w:rStyle w:val="Hyperlink"/>
            <w:noProof/>
          </w:rPr>
          <w:t>Scatter</w:t>
        </w:r>
        <w:r>
          <w:rPr>
            <w:noProof/>
            <w:webHidden/>
          </w:rPr>
          <w:tab/>
        </w:r>
        <w:r>
          <w:rPr>
            <w:noProof/>
            <w:webHidden/>
          </w:rPr>
          <w:fldChar w:fldCharType="begin"/>
        </w:r>
        <w:r>
          <w:rPr>
            <w:noProof/>
            <w:webHidden/>
          </w:rPr>
          <w:instrText xml:space="preserve"> PAGEREF _Toc351889994 \h </w:instrText>
        </w:r>
        <w:r>
          <w:rPr>
            <w:noProof/>
            <w:webHidden/>
          </w:rPr>
        </w:r>
        <w:r>
          <w:rPr>
            <w:noProof/>
            <w:webHidden/>
          </w:rPr>
          <w:fldChar w:fldCharType="separate"/>
        </w:r>
        <w:r>
          <w:rPr>
            <w:noProof/>
            <w:webHidden/>
          </w:rPr>
          <w:t>21</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5" w:history="1">
        <w:r w:rsidRPr="005A1788">
          <w:rPr>
            <w:rStyle w:val="Hyperlink"/>
            <w:noProof/>
          </w:rPr>
          <w:t>Attenuation</w:t>
        </w:r>
        <w:r>
          <w:rPr>
            <w:noProof/>
            <w:webHidden/>
          </w:rPr>
          <w:tab/>
        </w:r>
        <w:r>
          <w:rPr>
            <w:noProof/>
            <w:webHidden/>
          </w:rPr>
          <w:fldChar w:fldCharType="begin"/>
        </w:r>
        <w:r>
          <w:rPr>
            <w:noProof/>
            <w:webHidden/>
          </w:rPr>
          <w:instrText xml:space="preserve"> PAGEREF _Toc351889995 \h </w:instrText>
        </w:r>
        <w:r>
          <w:rPr>
            <w:noProof/>
            <w:webHidden/>
          </w:rPr>
        </w:r>
        <w:r>
          <w:rPr>
            <w:noProof/>
            <w:webHidden/>
          </w:rPr>
          <w:fldChar w:fldCharType="separate"/>
        </w:r>
        <w:r>
          <w:rPr>
            <w:noProof/>
            <w:webHidden/>
          </w:rPr>
          <w:t>25</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6" w:history="1">
        <w:r w:rsidRPr="005A1788">
          <w:rPr>
            <w:rStyle w:val="Hyperlink"/>
            <w:noProof/>
          </w:rPr>
          <w:t>Normalization</w:t>
        </w:r>
        <w:r>
          <w:rPr>
            <w:noProof/>
            <w:webHidden/>
          </w:rPr>
          <w:tab/>
        </w:r>
        <w:r>
          <w:rPr>
            <w:noProof/>
            <w:webHidden/>
          </w:rPr>
          <w:fldChar w:fldCharType="begin"/>
        </w:r>
        <w:r>
          <w:rPr>
            <w:noProof/>
            <w:webHidden/>
          </w:rPr>
          <w:instrText xml:space="preserve"> PAGEREF _Toc351889996 \h </w:instrText>
        </w:r>
        <w:r>
          <w:rPr>
            <w:noProof/>
            <w:webHidden/>
          </w:rPr>
        </w:r>
        <w:r>
          <w:rPr>
            <w:noProof/>
            <w:webHidden/>
          </w:rPr>
          <w:fldChar w:fldCharType="separate"/>
        </w:r>
        <w:r>
          <w:rPr>
            <w:noProof/>
            <w:webHidden/>
          </w:rPr>
          <w:t>29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89997" w:history="1">
        <w:r w:rsidRPr="005A1788">
          <w:rPr>
            <w:rStyle w:val="Hyperlink"/>
            <w:noProof/>
          </w:rPr>
          <w:t>Reconstruction</w:t>
        </w:r>
        <w:r>
          <w:rPr>
            <w:noProof/>
            <w:webHidden/>
          </w:rPr>
          <w:tab/>
        </w:r>
        <w:r>
          <w:rPr>
            <w:noProof/>
            <w:webHidden/>
          </w:rPr>
          <w:fldChar w:fldCharType="begin"/>
        </w:r>
        <w:r>
          <w:rPr>
            <w:noProof/>
            <w:webHidden/>
          </w:rPr>
          <w:instrText xml:space="preserve"> PAGEREF _Toc351889997 \h </w:instrText>
        </w:r>
        <w:r>
          <w:rPr>
            <w:noProof/>
            <w:webHidden/>
          </w:rPr>
        </w:r>
        <w:r>
          <w:rPr>
            <w:noProof/>
            <w:webHidden/>
          </w:rPr>
          <w:fldChar w:fldCharType="separate"/>
        </w:r>
        <w:r>
          <w:rPr>
            <w:noProof/>
            <w:webHidden/>
          </w:rPr>
          <w:t>30</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8" w:history="1">
        <w:r w:rsidRPr="005A1788">
          <w:rPr>
            <w:rStyle w:val="Hyperlink"/>
            <w:noProof/>
          </w:rPr>
          <w:t>Direct Reconstruction</w:t>
        </w:r>
        <w:r>
          <w:rPr>
            <w:noProof/>
            <w:webHidden/>
          </w:rPr>
          <w:tab/>
        </w:r>
        <w:r>
          <w:rPr>
            <w:noProof/>
            <w:webHidden/>
          </w:rPr>
          <w:fldChar w:fldCharType="begin"/>
        </w:r>
        <w:r>
          <w:rPr>
            <w:noProof/>
            <w:webHidden/>
          </w:rPr>
          <w:instrText xml:space="preserve"> PAGEREF _Toc351889998 \h </w:instrText>
        </w:r>
        <w:r>
          <w:rPr>
            <w:noProof/>
            <w:webHidden/>
          </w:rPr>
        </w:r>
        <w:r>
          <w:rPr>
            <w:noProof/>
            <w:webHidden/>
          </w:rPr>
          <w:fldChar w:fldCharType="separate"/>
        </w:r>
        <w:r>
          <w:rPr>
            <w:noProof/>
            <w:webHidden/>
          </w:rPr>
          <w:t>30</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89999" w:history="1">
        <w:r w:rsidRPr="005A1788">
          <w:rPr>
            <w:rStyle w:val="Hyperlink"/>
            <w:noProof/>
          </w:rPr>
          <w:t>Iterative Reconstruction</w:t>
        </w:r>
        <w:r>
          <w:rPr>
            <w:noProof/>
            <w:webHidden/>
          </w:rPr>
          <w:tab/>
        </w:r>
        <w:r>
          <w:rPr>
            <w:noProof/>
            <w:webHidden/>
          </w:rPr>
          <w:fldChar w:fldCharType="begin"/>
        </w:r>
        <w:r>
          <w:rPr>
            <w:noProof/>
            <w:webHidden/>
          </w:rPr>
          <w:instrText xml:space="preserve"> PAGEREF _Toc351889999 \h </w:instrText>
        </w:r>
        <w:r>
          <w:rPr>
            <w:noProof/>
            <w:webHidden/>
          </w:rPr>
        </w:r>
        <w:r>
          <w:rPr>
            <w:noProof/>
            <w:webHidden/>
          </w:rPr>
          <w:fldChar w:fldCharType="separate"/>
        </w:r>
        <w:r>
          <w:rPr>
            <w:noProof/>
            <w:webHidden/>
          </w:rPr>
          <w:t>32</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0" w:history="1">
        <w:r w:rsidRPr="005A1788">
          <w:rPr>
            <w:rStyle w:val="Hyperlink"/>
            <w:noProof/>
          </w:rPr>
          <w:t>Scanner Performance</w:t>
        </w:r>
        <w:r>
          <w:rPr>
            <w:noProof/>
            <w:webHidden/>
          </w:rPr>
          <w:tab/>
        </w:r>
        <w:r>
          <w:rPr>
            <w:noProof/>
            <w:webHidden/>
          </w:rPr>
          <w:fldChar w:fldCharType="begin"/>
        </w:r>
        <w:r>
          <w:rPr>
            <w:noProof/>
            <w:webHidden/>
          </w:rPr>
          <w:instrText xml:space="preserve"> PAGEREF _Toc351890000 \h </w:instrText>
        </w:r>
        <w:r>
          <w:rPr>
            <w:noProof/>
            <w:webHidden/>
          </w:rPr>
        </w:r>
        <w:r>
          <w:rPr>
            <w:noProof/>
            <w:webHidden/>
          </w:rPr>
          <w:fldChar w:fldCharType="separate"/>
        </w:r>
        <w:r>
          <w:rPr>
            <w:noProof/>
            <w:webHidden/>
          </w:rPr>
          <w:t>34</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1" w:history="1">
        <w:r w:rsidRPr="005A1788">
          <w:rPr>
            <w:rStyle w:val="Hyperlink"/>
            <w:noProof/>
          </w:rPr>
          <w:t>Recent Developments</w:t>
        </w:r>
        <w:r>
          <w:rPr>
            <w:noProof/>
            <w:webHidden/>
          </w:rPr>
          <w:tab/>
        </w:r>
        <w:r>
          <w:rPr>
            <w:noProof/>
            <w:webHidden/>
          </w:rPr>
          <w:fldChar w:fldCharType="begin"/>
        </w:r>
        <w:r>
          <w:rPr>
            <w:noProof/>
            <w:webHidden/>
          </w:rPr>
          <w:instrText xml:space="preserve"> PAGEREF _Toc351890001 \h </w:instrText>
        </w:r>
        <w:r>
          <w:rPr>
            <w:noProof/>
            <w:webHidden/>
          </w:rPr>
        </w:r>
        <w:r>
          <w:rPr>
            <w:noProof/>
            <w:webHidden/>
          </w:rPr>
          <w:fldChar w:fldCharType="separate"/>
        </w:r>
        <w:r>
          <w:rPr>
            <w:noProof/>
            <w:webHidden/>
          </w:rPr>
          <w:t>35</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02" w:history="1">
        <w:r w:rsidRPr="005A1788">
          <w:rPr>
            <w:rStyle w:val="Hyperlink"/>
            <w:noProof/>
          </w:rPr>
          <w:t>Time-of-Flight</w:t>
        </w:r>
        <w:r>
          <w:rPr>
            <w:noProof/>
            <w:webHidden/>
          </w:rPr>
          <w:tab/>
        </w:r>
        <w:r>
          <w:rPr>
            <w:noProof/>
            <w:webHidden/>
          </w:rPr>
          <w:fldChar w:fldCharType="begin"/>
        </w:r>
        <w:r>
          <w:rPr>
            <w:noProof/>
            <w:webHidden/>
          </w:rPr>
          <w:instrText xml:space="preserve"> PAGEREF _Toc351890002 \h </w:instrText>
        </w:r>
        <w:r>
          <w:rPr>
            <w:noProof/>
            <w:webHidden/>
          </w:rPr>
        </w:r>
        <w:r>
          <w:rPr>
            <w:noProof/>
            <w:webHidden/>
          </w:rPr>
          <w:fldChar w:fldCharType="separate"/>
        </w:r>
        <w:r>
          <w:rPr>
            <w:noProof/>
            <w:webHidden/>
          </w:rPr>
          <w:t>35</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03" w:history="1">
        <w:r w:rsidRPr="005A1788">
          <w:rPr>
            <w:rStyle w:val="Hyperlink"/>
            <w:noProof/>
          </w:rPr>
          <w:t>Point Spread Function</w:t>
        </w:r>
        <w:r>
          <w:rPr>
            <w:noProof/>
            <w:webHidden/>
          </w:rPr>
          <w:tab/>
        </w:r>
        <w:r>
          <w:rPr>
            <w:noProof/>
            <w:webHidden/>
          </w:rPr>
          <w:fldChar w:fldCharType="begin"/>
        </w:r>
        <w:r>
          <w:rPr>
            <w:noProof/>
            <w:webHidden/>
          </w:rPr>
          <w:instrText xml:space="preserve"> PAGEREF _Toc351890003 \h </w:instrText>
        </w:r>
        <w:r>
          <w:rPr>
            <w:noProof/>
            <w:webHidden/>
          </w:rPr>
        </w:r>
        <w:r>
          <w:rPr>
            <w:noProof/>
            <w:webHidden/>
          </w:rPr>
          <w:fldChar w:fldCharType="separate"/>
        </w:r>
        <w:r>
          <w:rPr>
            <w:noProof/>
            <w:webHidden/>
          </w:rPr>
          <w:t>38</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4" w:history="1">
        <w:r w:rsidRPr="005A1788">
          <w:rPr>
            <w:rStyle w:val="Hyperlink"/>
            <w:noProof/>
          </w:rPr>
          <w:t>Research Goals</w:t>
        </w:r>
        <w:r>
          <w:rPr>
            <w:noProof/>
            <w:webHidden/>
          </w:rPr>
          <w:tab/>
        </w:r>
        <w:r>
          <w:rPr>
            <w:noProof/>
            <w:webHidden/>
          </w:rPr>
          <w:fldChar w:fldCharType="begin"/>
        </w:r>
        <w:r>
          <w:rPr>
            <w:noProof/>
            <w:webHidden/>
          </w:rPr>
          <w:instrText xml:space="preserve"> PAGEREF _Toc351890004 \h </w:instrText>
        </w:r>
        <w:r>
          <w:rPr>
            <w:noProof/>
            <w:webHidden/>
          </w:rPr>
        </w:r>
        <w:r>
          <w:rPr>
            <w:noProof/>
            <w:webHidden/>
          </w:rPr>
          <w:fldChar w:fldCharType="separate"/>
        </w:r>
        <w:r>
          <w:rPr>
            <w:noProof/>
            <w:webHidden/>
          </w:rPr>
          <w:t>39</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05" w:history="1">
        <w:r w:rsidRPr="005A1788">
          <w:rPr>
            <w:rStyle w:val="Hyperlink"/>
            <w:noProof/>
          </w:rPr>
          <w:t>Chapter 3  Signal Detection Theory</w:t>
        </w:r>
        <w:r>
          <w:rPr>
            <w:noProof/>
            <w:webHidden/>
          </w:rPr>
          <w:tab/>
        </w:r>
        <w:r>
          <w:rPr>
            <w:noProof/>
            <w:webHidden/>
          </w:rPr>
          <w:fldChar w:fldCharType="begin"/>
        </w:r>
        <w:r>
          <w:rPr>
            <w:noProof/>
            <w:webHidden/>
          </w:rPr>
          <w:instrText xml:space="preserve"> PAGEREF _Toc351890005 \h </w:instrText>
        </w:r>
        <w:r>
          <w:rPr>
            <w:noProof/>
            <w:webHidden/>
          </w:rPr>
        </w:r>
        <w:r>
          <w:rPr>
            <w:noProof/>
            <w:webHidden/>
          </w:rPr>
          <w:fldChar w:fldCharType="separate"/>
        </w:r>
        <w:r>
          <w:rPr>
            <w:noProof/>
            <w:webHidden/>
          </w:rPr>
          <w:t>41</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6" w:history="1">
        <w:r w:rsidRPr="005A1788">
          <w:rPr>
            <w:rStyle w:val="Hyperlink"/>
            <w:noProof/>
          </w:rPr>
          <w:t>Receiver Operating Characteristics</w:t>
        </w:r>
        <w:r>
          <w:rPr>
            <w:noProof/>
            <w:webHidden/>
          </w:rPr>
          <w:tab/>
        </w:r>
        <w:r>
          <w:rPr>
            <w:noProof/>
            <w:webHidden/>
          </w:rPr>
          <w:fldChar w:fldCharType="begin"/>
        </w:r>
        <w:r>
          <w:rPr>
            <w:noProof/>
            <w:webHidden/>
          </w:rPr>
          <w:instrText xml:space="preserve"> PAGEREF _Toc351890006 \h </w:instrText>
        </w:r>
        <w:r>
          <w:rPr>
            <w:noProof/>
            <w:webHidden/>
          </w:rPr>
        </w:r>
        <w:r>
          <w:rPr>
            <w:noProof/>
            <w:webHidden/>
          </w:rPr>
          <w:fldChar w:fldCharType="separate"/>
        </w:r>
        <w:r>
          <w:rPr>
            <w:noProof/>
            <w:webHidden/>
          </w:rPr>
          <w:t>41</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7" w:history="1">
        <w:r w:rsidRPr="005A1788">
          <w:rPr>
            <w:rStyle w:val="Hyperlink"/>
            <w:noProof/>
          </w:rPr>
          <w:t>Location Receiver Operating Characteristics</w:t>
        </w:r>
        <w:r>
          <w:rPr>
            <w:noProof/>
            <w:webHidden/>
          </w:rPr>
          <w:tab/>
        </w:r>
        <w:r>
          <w:rPr>
            <w:noProof/>
            <w:webHidden/>
          </w:rPr>
          <w:fldChar w:fldCharType="begin"/>
        </w:r>
        <w:r>
          <w:rPr>
            <w:noProof/>
            <w:webHidden/>
          </w:rPr>
          <w:instrText xml:space="preserve"> PAGEREF _Toc351890007 \h </w:instrText>
        </w:r>
        <w:r>
          <w:rPr>
            <w:noProof/>
            <w:webHidden/>
          </w:rPr>
        </w:r>
        <w:r>
          <w:rPr>
            <w:noProof/>
            <w:webHidden/>
          </w:rPr>
          <w:fldChar w:fldCharType="separate"/>
        </w:r>
        <w:r>
          <w:rPr>
            <w:noProof/>
            <w:webHidden/>
          </w:rPr>
          <w:t>45</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8" w:history="1">
        <w:r w:rsidRPr="005A1788">
          <w:rPr>
            <w:rStyle w:val="Hyperlink"/>
            <w:noProof/>
          </w:rPr>
          <w:t>Confidence Rating</w:t>
        </w:r>
        <w:r>
          <w:rPr>
            <w:noProof/>
            <w:webHidden/>
          </w:rPr>
          <w:tab/>
        </w:r>
        <w:r>
          <w:rPr>
            <w:noProof/>
            <w:webHidden/>
          </w:rPr>
          <w:fldChar w:fldCharType="begin"/>
        </w:r>
        <w:r>
          <w:rPr>
            <w:noProof/>
            <w:webHidden/>
          </w:rPr>
          <w:instrText xml:space="preserve"> PAGEREF _Toc351890008 \h </w:instrText>
        </w:r>
        <w:r>
          <w:rPr>
            <w:noProof/>
            <w:webHidden/>
          </w:rPr>
        </w:r>
        <w:r>
          <w:rPr>
            <w:noProof/>
            <w:webHidden/>
          </w:rPr>
          <w:fldChar w:fldCharType="separate"/>
        </w:r>
        <w:r>
          <w:rPr>
            <w:noProof/>
            <w:webHidden/>
          </w:rPr>
          <w:t>47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09" w:history="1">
        <w:r w:rsidRPr="005A1788">
          <w:rPr>
            <w:rStyle w:val="Hyperlink"/>
            <w:noProof/>
          </w:rPr>
          <w:t>Parametric Fitting</w:t>
        </w:r>
        <w:r>
          <w:rPr>
            <w:noProof/>
            <w:webHidden/>
          </w:rPr>
          <w:tab/>
        </w:r>
        <w:r>
          <w:rPr>
            <w:noProof/>
            <w:webHidden/>
          </w:rPr>
          <w:fldChar w:fldCharType="begin"/>
        </w:r>
        <w:r>
          <w:rPr>
            <w:noProof/>
            <w:webHidden/>
          </w:rPr>
          <w:instrText xml:space="preserve"> PAGEREF _Toc351890009 \h </w:instrText>
        </w:r>
        <w:r>
          <w:rPr>
            <w:noProof/>
            <w:webHidden/>
          </w:rPr>
        </w:r>
        <w:r>
          <w:rPr>
            <w:noProof/>
            <w:webHidden/>
          </w:rPr>
          <w:fldChar w:fldCharType="separate"/>
        </w:r>
        <w:r>
          <w:rPr>
            <w:noProof/>
            <w:webHidden/>
          </w:rPr>
          <w:t>50</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10" w:history="1">
        <w:r w:rsidRPr="005A1788">
          <w:rPr>
            <w:rStyle w:val="Hyperlink"/>
            <w:noProof/>
          </w:rPr>
          <w:t>Chapter 4  Mathematical Observers</w:t>
        </w:r>
        <w:r>
          <w:rPr>
            <w:noProof/>
            <w:webHidden/>
          </w:rPr>
          <w:tab/>
        </w:r>
        <w:r>
          <w:rPr>
            <w:noProof/>
            <w:webHidden/>
          </w:rPr>
          <w:fldChar w:fldCharType="begin"/>
        </w:r>
        <w:r>
          <w:rPr>
            <w:noProof/>
            <w:webHidden/>
          </w:rPr>
          <w:instrText xml:space="preserve"> PAGEREF _Toc351890010 \h </w:instrText>
        </w:r>
        <w:r>
          <w:rPr>
            <w:noProof/>
            <w:webHidden/>
          </w:rPr>
        </w:r>
        <w:r>
          <w:rPr>
            <w:noProof/>
            <w:webHidden/>
          </w:rPr>
          <w:fldChar w:fldCharType="separate"/>
        </w:r>
        <w:r>
          <w:rPr>
            <w:noProof/>
            <w:webHidden/>
          </w:rPr>
          <w:t>53</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1" w:history="1">
        <w:r w:rsidRPr="005A1788">
          <w:rPr>
            <w:rStyle w:val="Hyperlink"/>
            <w:noProof/>
          </w:rPr>
          <w:t>Introduction</w:t>
        </w:r>
        <w:r>
          <w:rPr>
            <w:noProof/>
            <w:webHidden/>
          </w:rPr>
          <w:tab/>
        </w:r>
        <w:r>
          <w:rPr>
            <w:noProof/>
            <w:webHidden/>
          </w:rPr>
          <w:fldChar w:fldCharType="begin"/>
        </w:r>
        <w:r>
          <w:rPr>
            <w:noProof/>
            <w:webHidden/>
          </w:rPr>
          <w:instrText xml:space="preserve"> PAGEREF _Toc351890011 \h </w:instrText>
        </w:r>
        <w:r>
          <w:rPr>
            <w:noProof/>
            <w:webHidden/>
          </w:rPr>
        </w:r>
        <w:r>
          <w:rPr>
            <w:noProof/>
            <w:webHidden/>
          </w:rPr>
          <w:fldChar w:fldCharType="separate"/>
        </w:r>
        <w:r>
          <w:rPr>
            <w:noProof/>
            <w:webHidden/>
          </w:rPr>
          <w:t>53</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2" w:history="1">
        <w:r w:rsidRPr="005A1788">
          <w:rPr>
            <w:rStyle w:val="Hyperlink"/>
            <w:noProof/>
          </w:rPr>
          <w:t>Ideal Observer</w:t>
        </w:r>
        <w:r>
          <w:rPr>
            <w:noProof/>
            <w:webHidden/>
          </w:rPr>
          <w:tab/>
        </w:r>
        <w:r>
          <w:rPr>
            <w:noProof/>
            <w:webHidden/>
          </w:rPr>
          <w:fldChar w:fldCharType="begin"/>
        </w:r>
        <w:r>
          <w:rPr>
            <w:noProof/>
            <w:webHidden/>
          </w:rPr>
          <w:instrText xml:space="preserve"> PAGEREF _Toc351890012 \h </w:instrText>
        </w:r>
        <w:r>
          <w:rPr>
            <w:noProof/>
            <w:webHidden/>
          </w:rPr>
        </w:r>
        <w:r>
          <w:rPr>
            <w:noProof/>
            <w:webHidden/>
          </w:rPr>
          <w:fldChar w:fldCharType="separate"/>
        </w:r>
        <w:r>
          <w:rPr>
            <w:noProof/>
            <w:webHidden/>
          </w:rPr>
          <w:t>53</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3" w:history="1">
        <w:r w:rsidRPr="005A1788">
          <w:rPr>
            <w:rStyle w:val="Hyperlink"/>
            <w:noProof/>
          </w:rPr>
          <w:t>Matched Filter</w:t>
        </w:r>
        <w:r>
          <w:rPr>
            <w:noProof/>
            <w:webHidden/>
          </w:rPr>
          <w:tab/>
        </w:r>
        <w:r>
          <w:rPr>
            <w:noProof/>
            <w:webHidden/>
          </w:rPr>
          <w:fldChar w:fldCharType="begin"/>
        </w:r>
        <w:r>
          <w:rPr>
            <w:noProof/>
            <w:webHidden/>
          </w:rPr>
          <w:instrText xml:space="preserve"> PAGEREF _Toc351890013 \h </w:instrText>
        </w:r>
        <w:r>
          <w:rPr>
            <w:noProof/>
            <w:webHidden/>
          </w:rPr>
        </w:r>
        <w:r>
          <w:rPr>
            <w:noProof/>
            <w:webHidden/>
          </w:rPr>
          <w:fldChar w:fldCharType="separate"/>
        </w:r>
        <w:r>
          <w:rPr>
            <w:noProof/>
            <w:webHidden/>
          </w:rPr>
          <w:t>55</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4" w:history="1">
        <w:r w:rsidRPr="005A1788">
          <w:rPr>
            <w:rStyle w:val="Hyperlink"/>
            <w:noProof/>
          </w:rPr>
          <w:t>Correlated Noise</w:t>
        </w:r>
        <w:r>
          <w:rPr>
            <w:noProof/>
            <w:webHidden/>
          </w:rPr>
          <w:tab/>
        </w:r>
        <w:r>
          <w:rPr>
            <w:noProof/>
            <w:webHidden/>
          </w:rPr>
          <w:fldChar w:fldCharType="begin"/>
        </w:r>
        <w:r>
          <w:rPr>
            <w:noProof/>
            <w:webHidden/>
          </w:rPr>
          <w:instrText xml:space="preserve"> PAGEREF _Toc351890014 \h </w:instrText>
        </w:r>
        <w:r>
          <w:rPr>
            <w:noProof/>
            <w:webHidden/>
          </w:rPr>
        </w:r>
        <w:r>
          <w:rPr>
            <w:noProof/>
            <w:webHidden/>
          </w:rPr>
          <w:fldChar w:fldCharType="separate"/>
        </w:r>
        <w:r>
          <w:rPr>
            <w:noProof/>
            <w:webHidden/>
          </w:rPr>
          <w:t>57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5" w:history="1">
        <w:r w:rsidRPr="005A1788">
          <w:rPr>
            <w:rStyle w:val="Hyperlink"/>
            <w:noProof/>
          </w:rPr>
          <w:t>Linear Discriminants</w:t>
        </w:r>
        <w:r>
          <w:rPr>
            <w:noProof/>
            <w:webHidden/>
          </w:rPr>
          <w:tab/>
        </w:r>
        <w:r>
          <w:rPr>
            <w:noProof/>
            <w:webHidden/>
          </w:rPr>
          <w:fldChar w:fldCharType="begin"/>
        </w:r>
        <w:r>
          <w:rPr>
            <w:noProof/>
            <w:webHidden/>
          </w:rPr>
          <w:instrText xml:space="preserve"> PAGEREF _Toc351890015 \h </w:instrText>
        </w:r>
        <w:r>
          <w:rPr>
            <w:noProof/>
            <w:webHidden/>
          </w:rPr>
        </w:r>
        <w:r>
          <w:rPr>
            <w:noProof/>
            <w:webHidden/>
          </w:rPr>
          <w:fldChar w:fldCharType="separate"/>
        </w:r>
        <w:r>
          <w:rPr>
            <w:noProof/>
            <w:webHidden/>
          </w:rPr>
          <w:t>59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6" w:history="1">
        <w:r w:rsidRPr="005A1788">
          <w:rPr>
            <w:rStyle w:val="Hyperlink"/>
            <w:noProof/>
          </w:rPr>
          <w:t>Human Response</w:t>
        </w:r>
        <w:r>
          <w:rPr>
            <w:noProof/>
            <w:webHidden/>
          </w:rPr>
          <w:tab/>
        </w:r>
        <w:r>
          <w:rPr>
            <w:noProof/>
            <w:webHidden/>
          </w:rPr>
          <w:fldChar w:fldCharType="begin"/>
        </w:r>
        <w:r>
          <w:rPr>
            <w:noProof/>
            <w:webHidden/>
          </w:rPr>
          <w:instrText xml:space="preserve"> PAGEREF _Toc351890016 \h </w:instrText>
        </w:r>
        <w:r>
          <w:rPr>
            <w:noProof/>
            <w:webHidden/>
          </w:rPr>
        </w:r>
        <w:r>
          <w:rPr>
            <w:noProof/>
            <w:webHidden/>
          </w:rPr>
          <w:fldChar w:fldCharType="separate"/>
        </w:r>
        <w:r>
          <w:rPr>
            <w:noProof/>
            <w:webHidden/>
          </w:rPr>
          <w:t>62</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7" w:history="1">
        <w:r w:rsidRPr="005A1788">
          <w:rPr>
            <w:rStyle w:val="Hyperlink"/>
            <w:noProof/>
          </w:rPr>
          <w:t>Response Channels</w:t>
        </w:r>
        <w:r>
          <w:rPr>
            <w:noProof/>
            <w:webHidden/>
          </w:rPr>
          <w:tab/>
        </w:r>
        <w:r>
          <w:rPr>
            <w:noProof/>
            <w:webHidden/>
          </w:rPr>
          <w:fldChar w:fldCharType="begin"/>
        </w:r>
        <w:r>
          <w:rPr>
            <w:noProof/>
            <w:webHidden/>
          </w:rPr>
          <w:instrText xml:space="preserve"> PAGEREF _Toc351890017 \h </w:instrText>
        </w:r>
        <w:r>
          <w:rPr>
            <w:noProof/>
            <w:webHidden/>
          </w:rPr>
        </w:r>
        <w:r>
          <w:rPr>
            <w:noProof/>
            <w:webHidden/>
          </w:rPr>
          <w:fldChar w:fldCharType="separate"/>
        </w:r>
        <w:r>
          <w:rPr>
            <w:noProof/>
            <w:webHidden/>
          </w:rPr>
          <w:t>63</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18" w:history="1">
        <w:r w:rsidRPr="005A1788">
          <w:rPr>
            <w:rStyle w:val="Hyperlink"/>
            <w:noProof/>
          </w:rPr>
          <w:t>Chapter 5  Lesion Detection</w:t>
        </w:r>
        <w:r>
          <w:rPr>
            <w:noProof/>
            <w:webHidden/>
          </w:rPr>
          <w:tab/>
        </w:r>
        <w:r>
          <w:rPr>
            <w:noProof/>
            <w:webHidden/>
          </w:rPr>
          <w:fldChar w:fldCharType="begin"/>
        </w:r>
        <w:r>
          <w:rPr>
            <w:noProof/>
            <w:webHidden/>
          </w:rPr>
          <w:instrText xml:space="preserve"> PAGEREF _Toc351890018 \h </w:instrText>
        </w:r>
        <w:r>
          <w:rPr>
            <w:noProof/>
            <w:webHidden/>
          </w:rPr>
        </w:r>
        <w:r>
          <w:rPr>
            <w:noProof/>
            <w:webHidden/>
          </w:rPr>
          <w:fldChar w:fldCharType="separate"/>
        </w:r>
        <w:r>
          <w:rPr>
            <w:noProof/>
            <w:webHidden/>
          </w:rPr>
          <w:t>66</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19" w:history="1">
        <w:r w:rsidRPr="005A1788">
          <w:rPr>
            <w:rStyle w:val="Hyperlink"/>
            <w:noProof/>
          </w:rPr>
          <w:t>Introduction</w:t>
        </w:r>
        <w:r>
          <w:rPr>
            <w:noProof/>
            <w:webHidden/>
          </w:rPr>
          <w:tab/>
        </w:r>
        <w:r>
          <w:rPr>
            <w:noProof/>
            <w:webHidden/>
          </w:rPr>
          <w:fldChar w:fldCharType="begin"/>
        </w:r>
        <w:r>
          <w:rPr>
            <w:noProof/>
            <w:webHidden/>
          </w:rPr>
          <w:instrText xml:space="preserve"> PAGEREF _Toc351890019 \h </w:instrText>
        </w:r>
        <w:r>
          <w:rPr>
            <w:noProof/>
            <w:webHidden/>
          </w:rPr>
        </w:r>
        <w:r>
          <w:rPr>
            <w:noProof/>
            <w:webHidden/>
          </w:rPr>
          <w:fldChar w:fldCharType="separate"/>
        </w:r>
        <w:r>
          <w:rPr>
            <w:noProof/>
            <w:webHidden/>
          </w:rPr>
          <w:t>66</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20" w:history="1">
        <w:r w:rsidRPr="005A1788">
          <w:rPr>
            <w:rStyle w:val="Hyperlink"/>
            <w:noProof/>
          </w:rPr>
          <w:t>Background</w:t>
        </w:r>
        <w:r>
          <w:rPr>
            <w:noProof/>
            <w:webHidden/>
          </w:rPr>
          <w:tab/>
        </w:r>
        <w:r>
          <w:rPr>
            <w:noProof/>
            <w:webHidden/>
          </w:rPr>
          <w:fldChar w:fldCharType="begin"/>
        </w:r>
        <w:r>
          <w:rPr>
            <w:noProof/>
            <w:webHidden/>
          </w:rPr>
          <w:instrText xml:space="preserve"> PAGEREF _Toc351890020 \h </w:instrText>
        </w:r>
        <w:r>
          <w:rPr>
            <w:noProof/>
            <w:webHidden/>
          </w:rPr>
        </w:r>
        <w:r>
          <w:rPr>
            <w:noProof/>
            <w:webHidden/>
          </w:rPr>
          <w:fldChar w:fldCharType="separate"/>
        </w:r>
        <w:r>
          <w:rPr>
            <w:noProof/>
            <w:webHidden/>
          </w:rPr>
          <w:t>67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21" w:history="1">
        <w:r w:rsidRPr="005A1788">
          <w:rPr>
            <w:rStyle w:val="Hyperlink"/>
            <w:noProof/>
          </w:rPr>
          <w:t>Previous Work</w:t>
        </w:r>
        <w:r>
          <w:rPr>
            <w:noProof/>
            <w:webHidden/>
          </w:rPr>
          <w:tab/>
        </w:r>
        <w:r>
          <w:rPr>
            <w:noProof/>
            <w:webHidden/>
          </w:rPr>
          <w:fldChar w:fldCharType="begin"/>
        </w:r>
        <w:r>
          <w:rPr>
            <w:noProof/>
            <w:webHidden/>
          </w:rPr>
          <w:instrText xml:space="preserve"> PAGEREF _Toc351890021 \h </w:instrText>
        </w:r>
        <w:r>
          <w:rPr>
            <w:noProof/>
            <w:webHidden/>
          </w:rPr>
        </w:r>
        <w:r>
          <w:rPr>
            <w:noProof/>
            <w:webHidden/>
          </w:rPr>
          <w:fldChar w:fldCharType="separate"/>
        </w:r>
        <w:r>
          <w:rPr>
            <w:noProof/>
            <w:webHidden/>
          </w:rPr>
          <w:t>69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22" w:history="1">
        <w:r w:rsidRPr="005A1788">
          <w:rPr>
            <w:rStyle w:val="Hyperlink"/>
            <w:noProof/>
          </w:rPr>
          <w:t>Materials and Methods</w:t>
        </w:r>
        <w:r>
          <w:rPr>
            <w:noProof/>
            <w:webHidden/>
          </w:rPr>
          <w:tab/>
        </w:r>
        <w:r>
          <w:rPr>
            <w:noProof/>
            <w:webHidden/>
          </w:rPr>
          <w:fldChar w:fldCharType="begin"/>
        </w:r>
        <w:r>
          <w:rPr>
            <w:noProof/>
            <w:webHidden/>
          </w:rPr>
          <w:instrText xml:space="preserve"> PAGEREF _Toc351890022 \h </w:instrText>
        </w:r>
        <w:r>
          <w:rPr>
            <w:noProof/>
            <w:webHidden/>
          </w:rPr>
        </w:r>
        <w:r>
          <w:rPr>
            <w:noProof/>
            <w:webHidden/>
          </w:rPr>
          <w:fldChar w:fldCharType="separate"/>
        </w:r>
        <w:r>
          <w:rPr>
            <w:noProof/>
            <w:webHidden/>
          </w:rPr>
          <w:t>72</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3" w:history="1">
        <w:r w:rsidRPr="005A1788">
          <w:rPr>
            <w:rStyle w:val="Hyperlink"/>
            <w:noProof/>
          </w:rPr>
          <w:t>Patient Population</w:t>
        </w:r>
        <w:r>
          <w:rPr>
            <w:noProof/>
            <w:webHidden/>
          </w:rPr>
          <w:tab/>
        </w:r>
        <w:r>
          <w:rPr>
            <w:noProof/>
            <w:webHidden/>
          </w:rPr>
          <w:fldChar w:fldCharType="begin"/>
        </w:r>
        <w:r>
          <w:rPr>
            <w:noProof/>
            <w:webHidden/>
          </w:rPr>
          <w:instrText xml:space="preserve"> PAGEREF _Toc351890023 \h </w:instrText>
        </w:r>
        <w:r>
          <w:rPr>
            <w:noProof/>
            <w:webHidden/>
          </w:rPr>
        </w:r>
        <w:r>
          <w:rPr>
            <w:noProof/>
            <w:webHidden/>
          </w:rPr>
          <w:fldChar w:fldCharType="separate"/>
        </w:r>
        <w:r>
          <w:rPr>
            <w:noProof/>
            <w:webHidden/>
          </w:rPr>
          <w:t>72</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4" w:history="1">
        <w:r w:rsidRPr="005A1788">
          <w:rPr>
            <w:rStyle w:val="Hyperlink"/>
            <w:noProof/>
          </w:rPr>
          <w:t>PET Acquisition</w:t>
        </w:r>
        <w:r>
          <w:rPr>
            <w:noProof/>
            <w:webHidden/>
          </w:rPr>
          <w:tab/>
        </w:r>
        <w:r>
          <w:rPr>
            <w:noProof/>
            <w:webHidden/>
          </w:rPr>
          <w:fldChar w:fldCharType="begin"/>
        </w:r>
        <w:r>
          <w:rPr>
            <w:noProof/>
            <w:webHidden/>
          </w:rPr>
          <w:instrText xml:space="preserve"> PAGEREF _Toc351890024 \h </w:instrText>
        </w:r>
        <w:r>
          <w:rPr>
            <w:noProof/>
            <w:webHidden/>
          </w:rPr>
        </w:r>
        <w:r>
          <w:rPr>
            <w:noProof/>
            <w:webHidden/>
          </w:rPr>
          <w:fldChar w:fldCharType="separate"/>
        </w:r>
        <w:r>
          <w:rPr>
            <w:noProof/>
            <w:webHidden/>
          </w:rPr>
          <w:t>72</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5" w:history="1">
        <w:r w:rsidRPr="005A1788">
          <w:rPr>
            <w:rStyle w:val="Hyperlink"/>
            <w:noProof/>
          </w:rPr>
          <w:t>Lesion Addition</w:t>
        </w:r>
        <w:r>
          <w:rPr>
            <w:noProof/>
            <w:webHidden/>
          </w:rPr>
          <w:tab/>
        </w:r>
        <w:r>
          <w:rPr>
            <w:noProof/>
            <w:webHidden/>
          </w:rPr>
          <w:fldChar w:fldCharType="begin"/>
        </w:r>
        <w:r>
          <w:rPr>
            <w:noProof/>
            <w:webHidden/>
          </w:rPr>
          <w:instrText xml:space="preserve"> PAGEREF _Toc351890025 \h </w:instrText>
        </w:r>
        <w:r>
          <w:rPr>
            <w:noProof/>
            <w:webHidden/>
          </w:rPr>
        </w:r>
        <w:r>
          <w:rPr>
            <w:noProof/>
            <w:webHidden/>
          </w:rPr>
          <w:fldChar w:fldCharType="separate"/>
        </w:r>
        <w:r>
          <w:rPr>
            <w:noProof/>
            <w:webHidden/>
          </w:rPr>
          <w:t>74</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6" w:history="1">
        <w:r w:rsidRPr="005A1788">
          <w:rPr>
            <w:rStyle w:val="Hyperlink"/>
            <w:noProof/>
          </w:rPr>
          <w:t>Mathematical Observer Models</w:t>
        </w:r>
        <w:r>
          <w:rPr>
            <w:noProof/>
            <w:webHidden/>
          </w:rPr>
          <w:tab/>
        </w:r>
        <w:r>
          <w:rPr>
            <w:noProof/>
            <w:webHidden/>
          </w:rPr>
          <w:fldChar w:fldCharType="begin"/>
        </w:r>
        <w:r>
          <w:rPr>
            <w:noProof/>
            <w:webHidden/>
          </w:rPr>
          <w:instrText xml:space="preserve"> PAGEREF _Toc351890026 \h </w:instrText>
        </w:r>
        <w:r>
          <w:rPr>
            <w:noProof/>
            <w:webHidden/>
          </w:rPr>
        </w:r>
        <w:r>
          <w:rPr>
            <w:noProof/>
            <w:webHidden/>
          </w:rPr>
          <w:fldChar w:fldCharType="separate"/>
        </w:r>
        <w:r>
          <w:rPr>
            <w:noProof/>
            <w:webHidden/>
          </w:rPr>
          <w:t>78</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7" w:history="1">
        <w:r w:rsidRPr="005A1788">
          <w:rPr>
            <w:rStyle w:val="Hyperlink"/>
            <w:noProof/>
          </w:rPr>
          <w:t>Imaging Conditions</w:t>
        </w:r>
        <w:r>
          <w:rPr>
            <w:noProof/>
            <w:webHidden/>
          </w:rPr>
          <w:tab/>
        </w:r>
        <w:r>
          <w:rPr>
            <w:noProof/>
            <w:webHidden/>
          </w:rPr>
          <w:fldChar w:fldCharType="begin"/>
        </w:r>
        <w:r>
          <w:rPr>
            <w:noProof/>
            <w:webHidden/>
          </w:rPr>
          <w:instrText xml:space="preserve"> PAGEREF _Toc351890027 \h </w:instrText>
        </w:r>
        <w:r>
          <w:rPr>
            <w:noProof/>
            <w:webHidden/>
          </w:rPr>
        </w:r>
        <w:r>
          <w:rPr>
            <w:noProof/>
            <w:webHidden/>
          </w:rPr>
          <w:fldChar w:fldCharType="separate"/>
        </w:r>
        <w:r>
          <w:rPr>
            <w:noProof/>
            <w:webHidden/>
          </w:rPr>
          <w:t>85</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8" w:history="1">
        <w:r w:rsidRPr="005A1788">
          <w:rPr>
            <w:rStyle w:val="Hyperlink"/>
            <w:noProof/>
          </w:rPr>
          <w:t>Reconstructions</w:t>
        </w:r>
        <w:r>
          <w:rPr>
            <w:noProof/>
            <w:webHidden/>
          </w:rPr>
          <w:tab/>
        </w:r>
        <w:r>
          <w:rPr>
            <w:noProof/>
            <w:webHidden/>
          </w:rPr>
          <w:fldChar w:fldCharType="begin"/>
        </w:r>
        <w:r>
          <w:rPr>
            <w:noProof/>
            <w:webHidden/>
          </w:rPr>
          <w:instrText xml:space="preserve"> PAGEREF _Toc351890028 \h </w:instrText>
        </w:r>
        <w:r>
          <w:rPr>
            <w:noProof/>
            <w:webHidden/>
          </w:rPr>
        </w:r>
        <w:r>
          <w:rPr>
            <w:noProof/>
            <w:webHidden/>
          </w:rPr>
          <w:fldChar w:fldCharType="separate"/>
        </w:r>
        <w:r>
          <w:rPr>
            <w:noProof/>
            <w:webHidden/>
          </w:rPr>
          <w:t>86</w:t>
        </w:r>
        <w:r>
          <w:rPr>
            <w:noProof/>
            <w:webHidden/>
          </w:rPr>
          <w:fldChar w:fldCharType="end"/>
        </w:r>
      </w:hyperlink>
    </w:p>
    <w:p w:rsidR="005B6C27" w:rsidRDefault="005B6C27">
      <w:pPr>
        <w:pStyle w:val="TOC3"/>
        <w:tabs>
          <w:tab w:val="right" w:leader="dot" w:pos="8630"/>
        </w:tabs>
        <w:rPr>
          <w:rFonts w:asciiTheme="minorHAnsi" w:eastAsiaTheme="minorEastAsia" w:hAnsiTheme="minorHAnsi" w:cstheme="minorBidi"/>
          <w:noProof/>
          <w:sz w:val="22"/>
          <w:szCs w:val="22"/>
        </w:rPr>
      </w:pPr>
      <w:hyperlink w:anchor="_Toc351890029" w:history="1">
        <w:r w:rsidRPr="005A1788">
          <w:rPr>
            <w:rStyle w:val="Hyperlink"/>
            <w:noProof/>
          </w:rPr>
          <w:t>Observer Studies</w:t>
        </w:r>
        <w:r>
          <w:rPr>
            <w:noProof/>
            <w:webHidden/>
          </w:rPr>
          <w:tab/>
        </w:r>
        <w:r>
          <w:rPr>
            <w:noProof/>
            <w:webHidden/>
          </w:rPr>
          <w:fldChar w:fldCharType="begin"/>
        </w:r>
        <w:r>
          <w:rPr>
            <w:noProof/>
            <w:webHidden/>
          </w:rPr>
          <w:instrText xml:space="preserve"> PAGEREF _Toc351890029 \h </w:instrText>
        </w:r>
        <w:r>
          <w:rPr>
            <w:noProof/>
            <w:webHidden/>
          </w:rPr>
        </w:r>
        <w:r>
          <w:rPr>
            <w:noProof/>
            <w:webHidden/>
          </w:rPr>
          <w:fldChar w:fldCharType="separate"/>
        </w:r>
        <w:r>
          <w:rPr>
            <w:noProof/>
            <w:webHidden/>
          </w:rPr>
          <w:t>89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30" w:history="1">
        <w:r w:rsidRPr="005A1788">
          <w:rPr>
            <w:rStyle w:val="Hyperlink"/>
            <w:noProof/>
          </w:rPr>
          <w:t>Results</w:t>
        </w:r>
        <w:r>
          <w:rPr>
            <w:noProof/>
            <w:webHidden/>
          </w:rPr>
          <w:tab/>
        </w:r>
        <w:r>
          <w:rPr>
            <w:noProof/>
            <w:webHidden/>
          </w:rPr>
          <w:fldChar w:fldCharType="begin"/>
        </w:r>
        <w:r>
          <w:rPr>
            <w:noProof/>
            <w:webHidden/>
          </w:rPr>
          <w:instrText xml:space="preserve"> PAGEREF _Toc351890030 \h </w:instrText>
        </w:r>
        <w:r>
          <w:rPr>
            <w:noProof/>
            <w:webHidden/>
          </w:rPr>
        </w:r>
        <w:r>
          <w:rPr>
            <w:noProof/>
            <w:webHidden/>
          </w:rPr>
          <w:fldChar w:fldCharType="separate"/>
        </w:r>
        <w:r>
          <w:rPr>
            <w:noProof/>
            <w:webHidden/>
          </w:rPr>
          <w:t>94</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31" w:history="1">
        <w:r w:rsidRPr="005A1788">
          <w:rPr>
            <w:rStyle w:val="Hyperlink"/>
            <w:noProof/>
          </w:rPr>
          <w:t>Discussion</w:t>
        </w:r>
        <w:r>
          <w:rPr>
            <w:noProof/>
            <w:webHidden/>
          </w:rPr>
          <w:tab/>
        </w:r>
        <w:r>
          <w:rPr>
            <w:noProof/>
            <w:webHidden/>
          </w:rPr>
          <w:fldChar w:fldCharType="begin"/>
        </w:r>
        <w:r>
          <w:rPr>
            <w:noProof/>
            <w:webHidden/>
          </w:rPr>
          <w:instrText xml:space="preserve"> PAGEREF _Toc351890031 \h </w:instrText>
        </w:r>
        <w:r>
          <w:rPr>
            <w:noProof/>
            <w:webHidden/>
          </w:rPr>
        </w:r>
        <w:r>
          <w:rPr>
            <w:noProof/>
            <w:webHidden/>
          </w:rPr>
          <w:fldChar w:fldCharType="separate"/>
        </w:r>
        <w:r>
          <w:rPr>
            <w:noProof/>
            <w:webHidden/>
          </w:rPr>
          <w:t>103</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32" w:history="1">
        <w:r w:rsidRPr="005A1788">
          <w:rPr>
            <w:rStyle w:val="Hyperlink"/>
            <w:noProof/>
          </w:rPr>
          <w:t>Chapter 6  Conclusions and Future Prospects</w:t>
        </w:r>
        <w:r>
          <w:rPr>
            <w:noProof/>
            <w:webHidden/>
          </w:rPr>
          <w:tab/>
        </w:r>
        <w:r>
          <w:rPr>
            <w:noProof/>
            <w:webHidden/>
          </w:rPr>
          <w:fldChar w:fldCharType="begin"/>
        </w:r>
        <w:r>
          <w:rPr>
            <w:noProof/>
            <w:webHidden/>
          </w:rPr>
          <w:instrText xml:space="preserve"> PAGEREF _Toc351890032 \h </w:instrText>
        </w:r>
        <w:r>
          <w:rPr>
            <w:noProof/>
            <w:webHidden/>
          </w:rPr>
        </w:r>
        <w:r>
          <w:rPr>
            <w:noProof/>
            <w:webHidden/>
          </w:rPr>
          <w:fldChar w:fldCharType="separate"/>
        </w:r>
        <w:r>
          <w:rPr>
            <w:noProof/>
            <w:webHidden/>
          </w:rPr>
          <w:t>107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33" w:history="1">
        <w:r w:rsidRPr="005A1788">
          <w:rPr>
            <w:rStyle w:val="Hyperlink"/>
            <w:noProof/>
          </w:rPr>
          <w:t>Summary of Dissertation</w:t>
        </w:r>
        <w:r>
          <w:rPr>
            <w:noProof/>
            <w:webHidden/>
          </w:rPr>
          <w:tab/>
        </w:r>
        <w:r>
          <w:rPr>
            <w:noProof/>
            <w:webHidden/>
          </w:rPr>
          <w:fldChar w:fldCharType="begin"/>
        </w:r>
        <w:r>
          <w:rPr>
            <w:noProof/>
            <w:webHidden/>
          </w:rPr>
          <w:instrText xml:space="preserve"> PAGEREF _Toc351890033 \h </w:instrText>
        </w:r>
        <w:r>
          <w:rPr>
            <w:noProof/>
            <w:webHidden/>
          </w:rPr>
        </w:r>
        <w:r>
          <w:rPr>
            <w:noProof/>
            <w:webHidden/>
          </w:rPr>
          <w:fldChar w:fldCharType="separate"/>
        </w:r>
        <w:r>
          <w:rPr>
            <w:noProof/>
            <w:webHidden/>
          </w:rPr>
          <w:t>107</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34" w:history="1">
        <w:r w:rsidRPr="005A1788">
          <w:rPr>
            <w:rStyle w:val="Hyperlink"/>
            <w:noProof/>
          </w:rPr>
          <w:t>Research Contributions</w:t>
        </w:r>
        <w:r>
          <w:rPr>
            <w:noProof/>
            <w:webHidden/>
          </w:rPr>
          <w:tab/>
        </w:r>
        <w:r>
          <w:rPr>
            <w:noProof/>
            <w:webHidden/>
          </w:rPr>
          <w:fldChar w:fldCharType="begin"/>
        </w:r>
        <w:r>
          <w:rPr>
            <w:noProof/>
            <w:webHidden/>
          </w:rPr>
          <w:instrText xml:space="preserve"> PAGEREF _Toc351890034 \h </w:instrText>
        </w:r>
        <w:r>
          <w:rPr>
            <w:noProof/>
            <w:webHidden/>
          </w:rPr>
        </w:r>
        <w:r>
          <w:rPr>
            <w:noProof/>
            <w:webHidden/>
          </w:rPr>
          <w:fldChar w:fldCharType="separate"/>
        </w:r>
        <w:r>
          <w:rPr>
            <w:noProof/>
            <w:webHidden/>
          </w:rPr>
          <w:t>109</w:t>
        </w:r>
        <w:r>
          <w:rPr>
            <w:noProof/>
            <w:webHidden/>
          </w:rPr>
          <w:fldChar w:fldCharType="end"/>
        </w:r>
      </w:hyperlink>
    </w:p>
    <w:p w:rsidR="005B6C27" w:rsidRDefault="005B6C27">
      <w:pPr>
        <w:pStyle w:val="TOC2"/>
        <w:tabs>
          <w:tab w:val="right" w:leader="dot" w:pos="8630"/>
        </w:tabs>
        <w:rPr>
          <w:rFonts w:asciiTheme="minorHAnsi" w:eastAsiaTheme="minorEastAsia" w:hAnsiTheme="minorHAnsi" w:cstheme="minorBidi"/>
          <w:noProof/>
          <w:sz w:val="22"/>
          <w:szCs w:val="22"/>
        </w:rPr>
      </w:pPr>
      <w:hyperlink w:anchor="_Toc351890035" w:history="1">
        <w:r w:rsidRPr="005A1788">
          <w:rPr>
            <w:rStyle w:val="Hyperlink"/>
            <w:noProof/>
          </w:rPr>
          <w:t>PET in the Future</w:t>
        </w:r>
        <w:r>
          <w:rPr>
            <w:noProof/>
            <w:webHidden/>
          </w:rPr>
          <w:tab/>
        </w:r>
        <w:r>
          <w:rPr>
            <w:noProof/>
            <w:webHidden/>
          </w:rPr>
          <w:fldChar w:fldCharType="begin"/>
        </w:r>
        <w:r>
          <w:rPr>
            <w:noProof/>
            <w:webHidden/>
          </w:rPr>
          <w:instrText xml:space="preserve"> PAGEREF _Toc351890035 \h </w:instrText>
        </w:r>
        <w:r>
          <w:rPr>
            <w:noProof/>
            <w:webHidden/>
          </w:rPr>
        </w:r>
        <w:r>
          <w:rPr>
            <w:noProof/>
            <w:webHidden/>
          </w:rPr>
          <w:fldChar w:fldCharType="separate"/>
        </w:r>
        <w:r>
          <w:rPr>
            <w:noProof/>
            <w:webHidden/>
          </w:rPr>
          <w:t>111</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36" w:history="1">
        <w:r w:rsidRPr="005A1788">
          <w:rPr>
            <w:rStyle w:val="Hyperlink"/>
            <w:noProof/>
          </w:rPr>
          <w:t>List of References</w:t>
        </w:r>
        <w:r>
          <w:rPr>
            <w:noProof/>
            <w:webHidden/>
          </w:rPr>
          <w:tab/>
        </w:r>
        <w:r>
          <w:rPr>
            <w:noProof/>
            <w:webHidden/>
          </w:rPr>
          <w:fldChar w:fldCharType="begin"/>
        </w:r>
        <w:r>
          <w:rPr>
            <w:noProof/>
            <w:webHidden/>
          </w:rPr>
          <w:instrText xml:space="preserve"> PAGEREF _Toc351890036 \h </w:instrText>
        </w:r>
        <w:r>
          <w:rPr>
            <w:noProof/>
            <w:webHidden/>
          </w:rPr>
        </w:r>
        <w:r>
          <w:rPr>
            <w:noProof/>
            <w:webHidden/>
          </w:rPr>
          <w:fldChar w:fldCharType="separate"/>
        </w:r>
        <w:r>
          <w:rPr>
            <w:noProof/>
            <w:webHidden/>
          </w:rPr>
          <w:t>114</w:t>
        </w:r>
        <w:r>
          <w:rPr>
            <w:noProof/>
            <w:webHidden/>
          </w:rPr>
          <w:fldChar w:fldCharType="end"/>
        </w:r>
      </w:hyperlink>
    </w:p>
    <w:p w:rsidR="005B6C27" w:rsidRDefault="005B6C27">
      <w:pPr>
        <w:pStyle w:val="TOC1"/>
        <w:tabs>
          <w:tab w:val="right" w:leader="dot" w:pos="8630"/>
        </w:tabs>
        <w:rPr>
          <w:rFonts w:asciiTheme="minorHAnsi" w:eastAsiaTheme="minorEastAsia" w:hAnsiTheme="minorHAnsi" w:cstheme="minorBidi"/>
          <w:noProof/>
          <w:sz w:val="22"/>
          <w:szCs w:val="22"/>
        </w:rPr>
      </w:pPr>
      <w:hyperlink w:anchor="_Toc351890037" w:history="1">
        <w:r w:rsidRPr="005A1788">
          <w:rPr>
            <w:rStyle w:val="Hyperlink"/>
            <w:noProof/>
          </w:rPr>
          <w:t>Vita</w:t>
        </w:r>
        <w:r>
          <w:rPr>
            <w:noProof/>
            <w:webHidden/>
          </w:rPr>
          <w:tab/>
        </w:r>
        <w:r>
          <w:rPr>
            <w:noProof/>
            <w:webHidden/>
          </w:rPr>
          <w:fldChar w:fldCharType="begin"/>
        </w:r>
        <w:r>
          <w:rPr>
            <w:noProof/>
            <w:webHidden/>
          </w:rPr>
          <w:instrText xml:space="preserve"> PAGEREF _Toc351890037 \h </w:instrText>
        </w:r>
        <w:r>
          <w:rPr>
            <w:noProof/>
            <w:webHidden/>
          </w:rPr>
        </w:r>
        <w:r>
          <w:rPr>
            <w:noProof/>
            <w:webHidden/>
          </w:rPr>
          <w:fldChar w:fldCharType="separate"/>
        </w:r>
        <w:r>
          <w:rPr>
            <w:noProof/>
            <w:webHidden/>
          </w:rPr>
          <w:t>122</w:t>
        </w:r>
        <w:r>
          <w:rPr>
            <w:noProof/>
            <w:webHidden/>
          </w:rPr>
          <w:fldChar w:fldCharType="end"/>
        </w:r>
      </w:hyperlink>
    </w:p>
    <w:p w:rsidR="00236E6D" w:rsidRPr="00F920F6" w:rsidRDefault="009B6816">
      <w:pPr>
        <w:numPr>
          <w:ilvl w:val="12"/>
          <w:numId w:val="0"/>
        </w:numPr>
        <w:jc w:val="center"/>
        <w:rPr>
          <w:b/>
          <w:bCs/>
          <w:sz w:val="28"/>
          <w:szCs w:val="28"/>
        </w:rPr>
      </w:pPr>
      <w:r w:rsidRPr="00F920F6">
        <w:fldChar w:fldCharType="end"/>
      </w:r>
    </w:p>
    <w:p w:rsidR="00236E6D" w:rsidRPr="00612F41" w:rsidRDefault="009C755C">
      <w:pPr>
        <w:numPr>
          <w:ilvl w:val="12"/>
          <w:numId w:val="0"/>
        </w:numPr>
        <w:jc w:val="center"/>
        <w:rPr>
          <w:b/>
        </w:rPr>
      </w:pPr>
      <w:r w:rsidRPr="00F920F6">
        <w:rPr>
          <w:b/>
          <w:bCs/>
          <w:sz w:val="28"/>
          <w:szCs w:val="28"/>
        </w:rPr>
        <w:br w:type="page"/>
      </w:r>
      <w:r w:rsidR="00D067C3" w:rsidRPr="00612F41">
        <w:rPr>
          <w:b/>
          <w:bCs/>
        </w:rPr>
        <w:lastRenderedPageBreak/>
        <w:t>List of Tables</w:t>
      </w:r>
    </w:p>
    <w:p w:rsidR="00236E6D" w:rsidRPr="00F920F6" w:rsidRDefault="00236E6D">
      <w:pPr>
        <w:numPr>
          <w:ilvl w:val="12"/>
          <w:numId w:val="0"/>
        </w:numPr>
        <w:jc w:val="center"/>
      </w:pPr>
    </w:p>
    <w:p w:rsidR="004F1054" w:rsidRDefault="009B6816">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00236E6D" w:rsidRPr="00F920F6">
        <w:instrText xml:space="preserve"> TOC \h \z \c "Table" </w:instrText>
      </w:r>
      <w:r w:rsidRPr="00F920F6">
        <w:fldChar w:fldCharType="separate"/>
      </w:r>
      <w:hyperlink w:anchor="_Toc351890038" w:history="1">
        <w:r w:rsidR="004F1054" w:rsidRPr="006C16CA">
          <w:rPr>
            <w:rStyle w:val="Hyperlink"/>
            <w:noProof/>
          </w:rPr>
          <w:t>Table 1. Examples of commonly used isotopes used for PET</w:t>
        </w:r>
        <w:r w:rsidR="004F1054">
          <w:rPr>
            <w:noProof/>
            <w:webHidden/>
          </w:rPr>
          <w:tab/>
        </w:r>
        <w:r w:rsidR="004F1054">
          <w:rPr>
            <w:noProof/>
            <w:webHidden/>
          </w:rPr>
          <w:fldChar w:fldCharType="begin"/>
        </w:r>
        <w:r w:rsidR="004F1054">
          <w:rPr>
            <w:noProof/>
            <w:webHidden/>
          </w:rPr>
          <w:instrText xml:space="preserve"> PAGEREF _Toc351890038 \h </w:instrText>
        </w:r>
        <w:r w:rsidR="004F1054">
          <w:rPr>
            <w:noProof/>
            <w:webHidden/>
          </w:rPr>
        </w:r>
        <w:r w:rsidR="004F1054">
          <w:rPr>
            <w:noProof/>
            <w:webHidden/>
          </w:rPr>
          <w:fldChar w:fldCharType="separate"/>
        </w:r>
        <w:r w:rsidR="004F1054">
          <w:rPr>
            <w:noProof/>
            <w:webHidden/>
          </w:rPr>
          <w:t>3</w:t>
        </w:r>
        <w:r w:rsidR="004F1054">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39" w:history="1">
        <w:r w:rsidRPr="006C16CA">
          <w:rPr>
            <w:rStyle w:val="Hyperlink"/>
            <w:noProof/>
          </w:rPr>
          <w:t>Table 2. Comparison of different PET scintillators and their properties</w:t>
        </w:r>
        <w:r>
          <w:rPr>
            <w:noProof/>
            <w:webHidden/>
          </w:rPr>
          <w:tab/>
        </w:r>
        <w:r>
          <w:rPr>
            <w:noProof/>
            <w:webHidden/>
          </w:rPr>
          <w:fldChar w:fldCharType="begin"/>
        </w:r>
        <w:r>
          <w:rPr>
            <w:noProof/>
            <w:webHidden/>
          </w:rPr>
          <w:instrText xml:space="preserve"> PAGEREF _Toc351890039 \h </w:instrText>
        </w:r>
        <w:r>
          <w:rPr>
            <w:noProof/>
            <w:webHidden/>
          </w:rPr>
        </w:r>
        <w:r>
          <w:rPr>
            <w:noProof/>
            <w:webHidden/>
          </w:rPr>
          <w:fldChar w:fldCharType="separate"/>
        </w:r>
        <w:r>
          <w:rPr>
            <w:noProof/>
            <w:webHidden/>
          </w:rPr>
          <w:t>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0" w:history="1">
        <w:r w:rsidRPr="006C16CA">
          <w:rPr>
            <w:rStyle w:val="Hyperlink"/>
            <w:noProof/>
          </w:rPr>
          <w:t>Table 3. Sample of confidence-rated decision choices for a binary task</w:t>
        </w:r>
        <w:r>
          <w:rPr>
            <w:noProof/>
            <w:webHidden/>
          </w:rPr>
          <w:tab/>
        </w:r>
        <w:r>
          <w:rPr>
            <w:noProof/>
            <w:webHidden/>
          </w:rPr>
          <w:fldChar w:fldCharType="begin"/>
        </w:r>
        <w:r>
          <w:rPr>
            <w:noProof/>
            <w:webHidden/>
          </w:rPr>
          <w:instrText xml:space="preserve"> PAGEREF _Toc351890040 \h </w:instrText>
        </w:r>
        <w:r>
          <w:rPr>
            <w:noProof/>
            <w:webHidden/>
          </w:rPr>
        </w:r>
        <w:r>
          <w:rPr>
            <w:noProof/>
            <w:webHidden/>
          </w:rPr>
          <w:fldChar w:fldCharType="separate"/>
        </w:r>
        <w:r>
          <w:rPr>
            <w:noProof/>
            <w:webHidden/>
          </w:rPr>
          <w:t>48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1" w:history="1">
        <w:r w:rsidRPr="006C16CA">
          <w:rPr>
            <w:rStyle w:val="Hyperlink"/>
            <w:noProof/>
          </w:rPr>
          <w:t>Table 4. Distributions of mean lesion contrasts, grouped by reconstruction method</w:t>
        </w:r>
        <w:r>
          <w:rPr>
            <w:noProof/>
            <w:webHidden/>
          </w:rPr>
          <w:tab/>
        </w:r>
        <w:r>
          <w:rPr>
            <w:noProof/>
            <w:webHidden/>
          </w:rPr>
          <w:fldChar w:fldCharType="begin"/>
        </w:r>
        <w:r>
          <w:rPr>
            <w:noProof/>
            <w:webHidden/>
          </w:rPr>
          <w:instrText xml:space="preserve"> PAGEREF _Toc351890041 \h </w:instrText>
        </w:r>
        <w:r>
          <w:rPr>
            <w:noProof/>
            <w:webHidden/>
          </w:rPr>
        </w:r>
        <w:r>
          <w:rPr>
            <w:noProof/>
            <w:webHidden/>
          </w:rPr>
          <w:fldChar w:fldCharType="separate"/>
        </w:r>
        <w:r>
          <w:rPr>
            <w:noProof/>
            <w:webHidden/>
          </w:rPr>
          <w:t>77</w:t>
        </w:r>
        <w:r>
          <w:rPr>
            <w:noProof/>
            <w:webHidden/>
          </w:rPr>
          <w:fldChar w:fldCharType="end"/>
        </w:r>
      </w:hyperlink>
    </w:p>
    <w:p w:rsidR="00236E6D" w:rsidRPr="00F920F6" w:rsidRDefault="009B68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8973DB" w:rsidRPr="00612F41" w:rsidRDefault="008973DB" w:rsidP="008973DB">
      <w:pPr>
        <w:numPr>
          <w:ilvl w:val="12"/>
          <w:numId w:val="0"/>
        </w:numPr>
        <w:jc w:val="center"/>
        <w:rPr>
          <w:b/>
        </w:rPr>
      </w:pPr>
      <w:r w:rsidRPr="00F920F6">
        <w:rPr>
          <w:sz w:val="28"/>
          <w:szCs w:val="28"/>
        </w:rPr>
        <w:br w:type="page"/>
      </w:r>
      <w:r w:rsidRPr="00612F41">
        <w:rPr>
          <w:b/>
          <w:bCs/>
        </w:rPr>
        <w:lastRenderedPageBreak/>
        <w:t>List of Figures</w:t>
      </w:r>
    </w:p>
    <w:p w:rsidR="008973DB" w:rsidRPr="00F920F6" w:rsidRDefault="008973DB" w:rsidP="008973DB">
      <w:pPr>
        <w:numPr>
          <w:ilvl w:val="12"/>
          <w:numId w:val="0"/>
        </w:numPr>
      </w:pPr>
    </w:p>
    <w:p w:rsidR="004F1054" w:rsidRDefault="009B6816">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008973DB" w:rsidRPr="00F920F6">
        <w:instrText xml:space="preserve"> TOC \h \z \c "Figure" </w:instrText>
      </w:r>
      <w:r w:rsidRPr="00F920F6">
        <w:fldChar w:fldCharType="separate"/>
      </w:r>
      <w:hyperlink w:anchor="_Toc351890042" w:history="1">
        <w:r w:rsidR="004F1054" w:rsidRPr="00934E54">
          <w:rPr>
            <w:rStyle w:val="Hyperlink"/>
            <w:noProof/>
          </w:rPr>
          <w:t xml:space="preserve">Figure 1. </w:t>
        </w:r>
        <w:r w:rsidR="004F1054" w:rsidRPr="00934E54">
          <w:rPr>
            <w:rStyle w:val="Hyperlink"/>
            <w:noProof/>
            <w:lang w:val="en-GB"/>
          </w:rPr>
          <w:t>Schematic diagram of early PET/CT concept</w:t>
        </w:r>
        <w:r w:rsidR="004F1054" w:rsidRPr="00934E54">
          <w:rPr>
            <w:rStyle w:val="Hyperlink"/>
            <w:noProof/>
          </w:rPr>
          <w:t xml:space="preserve"> (Beyer, Townsend et al. 2000)</w:t>
        </w:r>
        <w:r w:rsidR="004F1054">
          <w:rPr>
            <w:noProof/>
            <w:webHidden/>
          </w:rPr>
          <w:tab/>
        </w:r>
        <w:r w:rsidR="004F1054">
          <w:rPr>
            <w:noProof/>
            <w:webHidden/>
          </w:rPr>
          <w:fldChar w:fldCharType="begin"/>
        </w:r>
        <w:r w:rsidR="004F1054">
          <w:rPr>
            <w:noProof/>
            <w:webHidden/>
          </w:rPr>
          <w:instrText xml:space="preserve"> PAGEREF _Toc351890042 \h </w:instrText>
        </w:r>
        <w:r w:rsidR="004F1054">
          <w:rPr>
            <w:noProof/>
            <w:webHidden/>
          </w:rPr>
        </w:r>
        <w:r w:rsidR="004F1054">
          <w:rPr>
            <w:noProof/>
            <w:webHidden/>
          </w:rPr>
          <w:fldChar w:fldCharType="separate"/>
        </w:r>
        <w:r w:rsidR="004F1054">
          <w:rPr>
            <w:noProof/>
            <w:webHidden/>
          </w:rPr>
          <w:t>9</w:t>
        </w:r>
        <w:r w:rsidR="004F1054">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3" w:history="1">
        <w:r w:rsidRPr="00934E54">
          <w:rPr>
            <w:rStyle w:val="Hyperlink"/>
            <w:noProof/>
          </w:rPr>
          <w:t xml:space="preserve">Figure 2. </w:t>
        </w:r>
        <w:r w:rsidRPr="00934E54">
          <w:rPr>
            <w:rStyle w:val="Hyperlink"/>
            <w:noProof/>
            <w:lang w:val="en-GB"/>
          </w:rPr>
          <w:t>Shipments of PET and PET/CT scanners for the US markets as recorded by the Nuclear Equipment Manufacturers Association</w:t>
        </w:r>
        <w:r>
          <w:rPr>
            <w:noProof/>
            <w:webHidden/>
          </w:rPr>
          <w:tab/>
        </w:r>
        <w:r>
          <w:rPr>
            <w:noProof/>
            <w:webHidden/>
          </w:rPr>
          <w:fldChar w:fldCharType="begin"/>
        </w:r>
        <w:r>
          <w:rPr>
            <w:noProof/>
            <w:webHidden/>
          </w:rPr>
          <w:instrText xml:space="preserve"> PAGEREF _Toc351890043 \h </w:instrText>
        </w:r>
        <w:r>
          <w:rPr>
            <w:noProof/>
            <w:webHidden/>
          </w:rPr>
        </w:r>
        <w:r>
          <w:rPr>
            <w:noProof/>
            <w:webHidden/>
          </w:rPr>
          <w:fldChar w:fldCharType="separate"/>
        </w:r>
        <w:r>
          <w:rPr>
            <w:noProof/>
            <w:webHidden/>
          </w:rPr>
          <w:t>10</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4" w:history="1">
        <w:r w:rsidRPr="00934E54">
          <w:rPr>
            <w:rStyle w:val="Hyperlink"/>
            <w:noProof/>
          </w:rPr>
          <w:t>Figure 3. Transaxial PET, CT, and fused images taken from a 68 year-old male diagnosed with cholangiocarcinoma. The combined modality provides physiological information as well as anatomical location. The disease is not obvious in the CT image alone but the PET scan shows an intense focus of metabolic activity medial to the hepatic caudate lobe likely compatible with recurrent malignancy.</w:t>
        </w:r>
        <w:r>
          <w:rPr>
            <w:noProof/>
            <w:webHidden/>
          </w:rPr>
          <w:tab/>
        </w:r>
        <w:r>
          <w:rPr>
            <w:noProof/>
            <w:webHidden/>
          </w:rPr>
          <w:fldChar w:fldCharType="begin"/>
        </w:r>
        <w:r>
          <w:rPr>
            <w:noProof/>
            <w:webHidden/>
          </w:rPr>
          <w:instrText xml:space="preserve"> PAGEREF _Toc351890044 \h </w:instrText>
        </w:r>
        <w:r>
          <w:rPr>
            <w:noProof/>
            <w:webHidden/>
          </w:rPr>
        </w:r>
        <w:r>
          <w:rPr>
            <w:noProof/>
            <w:webHidden/>
          </w:rPr>
          <w:fldChar w:fldCharType="separate"/>
        </w:r>
        <w:r>
          <w:rPr>
            <w:noProof/>
            <w:webHidden/>
          </w:rPr>
          <w:t>11</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5" w:history="1">
        <w:r w:rsidRPr="00934E54">
          <w:rPr>
            <w:rStyle w:val="Hyperlink"/>
            <w:noProof/>
          </w:rPr>
          <w:t>Figure 4. Transaxial PET, CT, and fused images of a 40 year-old female with a history of heavy smoking. The intense metabolic uptake illustrated by the PET scan is accompanied by a 2.2 x 2.8 cm upper lobe mass on the CT image, which was later diagnosed as non-small cell carcinoma.</w:t>
        </w:r>
        <w:r>
          <w:rPr>
            <w:noProof/>
            <w:webHidden/>
          </w:rPr>
          <w:tab/>
        </w:r>
        <w:r>
          <w:rPr>
            <w:noProof/>
            <w:webHidden/>
          </w:rPr>
          <w:fldChar w:fldCharType="begin"/>
        </w:r>
        <w:r>
          <w:rPr>
            <w:noProof/>
            <w:webHidden/>
          </w:rPr>
          <w:instrText xml:space="preserve"> PAGEREF _Toc351890045 \h </w:instrText>
        </w:r>
        <w:r>
          <w:rPr>
            <w:noProof/>
            <w:webHidden/>
          </w:rPr>
        </w:r>
        <w:r>
          <w:rPr>
            <w:noProof/>
            <w:webHidden/>
          </w:rPr>
          <w:fldChar w:fldCharType="separate"/>
        </w:r>
        <w:r>
          <w:rPr>
            <w:noProof/>
            <w:webHidden/>
          </w:rPr>
          <w:t>12</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6" w:history="1">
        <w:r w:rsidRPr="00934E54">
          <w:rPr>
            <w:rStyle w:val="Hyperlink"/>
            <w:noProof/>
          </w:rPr>
          <w:t>Figure 5. Positron emission and annihilation. Within the atomic nucleus, a proton (blue circles) transmutes into a neutron (red circles).  This event releases a neutrino and a positron which then encounters a nearby electron, and the pair self-annihilate, releasing two 511keV photons in approximately opposite directions.</w:t>
        </w:r>
        <w:r>
          <w:rPr>
            <w:noProof/>
            <w:webHidden/>
          </w:rPr>
          <w:tab/>
        </w:r>
        <w:r>
          <w:rPr>
            <w:noProof/>
            <w:webHidden/>
          </w:rPr>
          <w:fldChar w:fldCharType="begin"/>
        </w:r>
        <w:r>
          <w:rPr>
            <w:noProof/>
            <w:webHidden/>
          </w:rPr>
          <w:instrText xml:space="preserve"> PAGEREF _Toc351890046 \h </w:instrText>
        </w:r>
        <w:r>
          <w:rPr>
            <w:noProof/>
            <w:webHidden/>
          </w:rPr>
        </w:r>
        <w:r>
          <w:rPr>
            <w:noProof/>
            <w:webHidden/>
          </w:rPr>
          <w:fldChar w:fldCharType="separate"/>
        </w:r>
        <w:r>
          <w:rPr>
            <w:noProof/>
            <w:webHidden/>
          </w:rPr>
          <w:t>14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7" w:history="1">
        <w:r w:rsidRPr="00934E54">
          <w:rPr>
            <w:rStyle w:val="Hyperlink"/>
            <w:noProof/>
          </w:rPr>
          <w:t>Figure 6. Diagram showing the 3 types of prompt detections: scatter, random, and true.</w:t>
        </w:r>
        <w:r>
          <w:rPr>
            <w:noProof/>
            <w:webHidden/>
          </w:rPr>
          <w:tab/>
        </w:r>
        <w:r>
          <w:rPr>
            <w:noProof/>
            <w:webHidden/>
          </w:rPr>
          <w:fldChar w:fldCharType="begin"/>
        </w:r>
        <w:r>
          <w:rPr>
            <w:noProof/>
            <w:webHidden/>
          </w:rPr>
          <w:instrText xml:space="preserve"> PAGEREF _Toc351890047 \h </w:instrText>
        </w:r>
        <w:r>
          <w:rPr>
            <w:noProof/>
            <w:webHidden/>
          </w:rPr>
        </w:r>
        <w:r>
          <w:rPr>
            <w:noProof/>
            <w:webHidden/>
          </w:rPr>
          <w:fldChar w:fldCharType="separate"/>
        </w:r>
        <w:r>
          <w:rPr>
            <w:noProof/>
            <w:webHidden/>
          </w:rPr>
          <w:t>17</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8" w:history="1">
        <w:r w:rsidRPr="00934E54">
          <w:rPr>
            <w:rStyle w:val="Hyperlink"/>
            <w:noProof/>
          </w:rPr>
          <w:t>Figure 7. The detector elements in a system with span 7 only accept coincident data from those elements with locations ranging +/- 3 axially.</w:t>
        </w:r>
        <w:r>
          <w:rPr>
            <w:noProof/>
            <w:webHidden/>
          </w:rPr>
          <w:tab/>
        </w:r>
        <w:r>
          <w:rPr>
            <w:noProof/>
            <w:webHidden/>
          </w:rPr>
          <w:fldChar w:fldCharType="begin"/>
        </w:r>
        <w:r>
          <w:rPr>
            <w:noProof/>
            <w:webHidden/>
          </w:rPr>
          <w:instrText xml:space="preserve"> PAGEREF _Toc351890048 \h </w:instrText>
        </w:r>
        <w:r>
          <w:rPr>
            <w:noProof/>
            <w:webHidden/>
          </w:rPr>
        </w:r>
        <w:r>
          <w:rPr>
            <w:noProof/>
            <w:webHidden/>
          </w:rPr>
          <w:fldChar w:fldCharType="separate"/>
        </w:r>
        <w:r>
          <w:rPr>
            <w:noProof/>
            <w:webHidden/>
          </w:rPr>
          <w:t>19</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49" w:history="1">
        <w:r w:rsidRPr="00934E54">
          <w:rPr>
            <w:rStyle w:val="Hyperlink"/>
            <w:noProof/>
          </w:rPr>
          <w:t>Figure 8. Representation of the different segments acquired in 3D acquisition.</w:t>
        </w:r>
        <w:r>
          <w:rPr>
            <w:noProof/>
            <w:webHidden/>
          </w:rPr>
          <w:tab/>
        </w:r>
        <w:r>
          <w:rPr>
            <w:noProof/>
            <w:webHidden/>
          </w:rPr>
          <w:fldChar w:fldCharType="begin"/>
        </w:r>
        <w:r>
          <w:rPr>
            <w:noProof/>
            <w:webHidden/>
          </w:rPr>
          <w:instrText xml:space="preserve"> PAGEREF _Toc351890049 \h </w:instrText>
        </w:r>
        <w:r>
          <w:rPr>
            <w:noProof/>
            <w:webHidden/>
          </w:rPr>
        </w:r>
        <w:r>
          <w:rPr>
            <w:noProof/>
            <w:webHidden/>
          </w:rPr>
          <w:fldChar w:fldCharType="separate"/>
        </w:r>
        <w:r>
          <w:rPr>
            <w:noProof/>
            <w:webHidden/>
          </w:rPr>
          <w:t>20</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0" w:history="1">
        <w:r w:rsidRPr="00934E54">
          <w:rPr>
            <w:rStyle w:val="Hyperlink"/>
            <w:noProof/>
          </w:rPr>
          <w:t>Figure 9. Typical energy distribution of scintillation detected energies.</w:t>
        </w:r>
        <w:r>
          <w:rPr>
            <w:noProof/>
            <w:webHidden/>
          </w:rPr>
          <w:tab/>
        </w:r>
        <w:r>
          <w:rPr>
            <w:noProof/>
            <w:webHidden/>
          </w:rPr>
          <w:fldChar w:fldCharType="begin"/>
        </w:r>
        <w:r>
          <w:rPr>
            <w:noProof/>
            <w:webHidden/>
          </w:rPr>
          <w:instrText xml:space="preserve"> PAGEREF _Toc351890050 \h </w:instrText>
        </w:r>
        <w:r>
          <w:rPr>
            <w:noProof/>
            <w:webHidden/>
          </w:rPr>
        </w:r>
        <w:r>
          <w:rPr>
            <w:noProof/>
            <w:webHidden/>
          </w:rPr>
          <w:fldChar w:fldCharType="separate"/>
        </w:r>
        <w:r>
          <w:rPr>
            <w:noProof/>
            <w:webHidden/>
          </w:rPr>
          <w:t>22</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1" w:history="1">
        <w:r w:rsidRPr="00934E54">
          <w:rPr>
            <w:rStyle w:val="Hyperlink"/>
            <w:noProof/>
          </w:rPr>
          <w:t>Figure 10. Attenuation reduces information about internal structure; the image reconstructed with corrected data is shown on the right</w:t>
        </w:r>
        <w:r>
          <w:rPr>
            <w:noProof/>
            <w:webHidden/>
          </w:rPr>
          <w:tab/>
        </w:r>
        <w:r>
          <w:rPr>
            <w:noProof/>
            <w:webHidden/>
          </w:rPr>
          <w:fldChar w:fldCharType="begin"/>
        </w:r>
        <w:r>
          <w:rPr>
            <w:noProof/>
            <w:webHidden/>
          </w:rPr>
          <w:instrText xml:space="preserve"> PAGEREF _Toc351890051 \h </w:instrText>
        </w:r>
        <w:r>
          <w:rPr>
            <w:noProof/>
            <w:webHidden/>
          </w:rPr>
        </w:r>
        <w:r>
          <w:rPr>
            <w:noProof/>
            <w:webHidden/>
          </w:rPr>
          <w:fldChar w:fldCharType="separate"/>
        </w:r>
        <w:r>
          <w:rPr>
            <w:noProof/>
            <w:webHidden/>
          </w:rPr>
          <w:t>26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2" w:history="1">
        <w:r w:rsidRPr="00934E54">
          <w:rPr>
            <w:rStyle w:val="Hyperlink"/>
            <w:noProof/>
          </w:rPr>
          <w:t>Figure 11. Bilinear scaling function used to convert CT numbers (HUs) to linear attenuation values at 511 keV.  The ACFs are generated by reprojecting the scaled map.</w:t>
        </w:r>
        <w:r>
          <w:rPr>
            <w:noProof/>
            <w:webHidden/>
          </w:rPr>
          <w:tab/>
        </w:r>
        <w:r>
          <w:rPr>
            <w:noProof/>
            <w:webHidden/>
          </w:rPr>
          <w:fldChar w:fldCharType="begin"/>
        </w:r>
        <w:r>
          <w:rPr>
            <w:noProof/>
            <w:webHidden/>
          </w:rPr>
          <w:instrText xml:space="preserve"> PAGEREF _Toc351890052 \h </w:instrText>
        </w:r>
        <w:r>
          <w:rPr>
            <w:noProof/>
            <w:webHidden/>
          </w:rPr>
        </w:r>
        <w:r>
          <w:rPr>
            <w:noProof/>
            <w:webHidden/>
          </w:rPr>
          <w:fldChar w:fldCharType="separate"/>
        </w:r>
        <w:r>
          <w:rPr>
            <w:noProof/>
            <w:webHidden/>
          </w:rPr>
          <w:t>28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3" w:history="1">
        <w:r w:rsidRPr="00934E54">
          <w:rPr>
            <w:rStyle w:val="Hyperlink"/>
            <w:noProof/>
          </w:rPr>
          <w:t>Figure 12. Raw sinogram (left) and the same sinogram corrected for attenuation, randoms, scatter, and normalization.</w:t>
        </w:r>
        <w:r>
          <w:rPr>
            <w:noProof/>
            <w:webHidden/>
          </w:rPr>
          <w:tab/>
        </w:r>
        <w:r>
          <w:rPr>
            <w:noProof/>
            <w:webHidden/>
          </w:rPr>
          <w:fldChar w:fldCharType="begin"/>
        </w:r>
        <w:r>
          <w:rPr>
            <w:noProof/>
            <w:webHidden/>
          </w:rPr>
          <w:instrText xml:space="preserve"> PAGEREF _Toc351890053 \h </w:instrText>
        </w:r>
        <w:r>
          <w:rPr>
            <w:noProof/>
            <w:webHidden/>
          </w:rPr>
        </w:r>
        <w:r>
          <w:rPr>
            <w:noProof/>
            <w:webHidden/>
          </w:rPr>
          <w:fldChar w:fldCharType="separate"/>
        </w:r>
        <w:r>
          <w:rPr>
            <w:noProof/>
            <w:webHidden/>
          </w:rPr>
          <w:t>30</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4" w:history="1">
        <w:r w:rsidRPr="00934E54">
          <w:rPr>
            <w:rStyle w:val="Hyperlink"/>
            <w:noProof/>
          </w:rPr>
          <w:t>Figure 13. Blurring effect of backprojection</w:t>
        </w:r>
        <w:r>
          <w:rPr>
            <w:noProof/>
            <w:webHidden/>
          </w:rPr>
          <w:tab/>
        </w:r>
        <w:r>
          <w:rPr>
            <w:noProof/>
            <w:webHidden/>
          </w:rPr>
          <w:fldChar w:fldCharType="begin"/>
        </w:r>
        <w:r>
          <w:rPr>
            <w:noProof/>
            <w:webHidden/>
          </w:rPr>
          <w:instrText xml:space="preserve"> PAGEREF _Toc351890054 \h </w:instrText>
        </w:r>
        <w:r>
          <w:rPr>
            <w:noProof/>
            <w:webHidden/>
          </w:rPr>
        </w:r>
        <w:r>
          <w:rPr>
            <w:noProof/>
            <w:webHidden/>
          </w:rPr>
          <w:fldChar w:fldCharType="separate"/>
        </w:r>
        <w:r>
          <w:rPr>
            <w:noProof/>
            <w:webHidden/>
          </w:rPr>
          <w:t>31</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5" w:history="1">
        <w:r w:rsidRPr="00934E54">
          <w:rPr>
            <w:rStyle w:val="Hyperlink"/>
            <w:noProof/>
          </w:rPr>
          <w:t>Figure 14. Filtered backprojection process</w:t>
        </w:r>
        <w:r>
          <w:rPr>
            <w:noProof/>
            <w:webHidden/>
          </w:rPr>
          <w:tab/>
        </w:r>
        <w:r>
          <w:rPr>
            <w:noProof/>
            <w:webHidden/>
          </w:rPr>
          <w:fldChar w:fldCharType="begin"/>
        </w:r>
        <w:r>
          <w:rPr>
            <w:noProof/>
            <w:webHidden/>
          </w:rPr>
          <w:instrText xml:space="preserve"> PAGEREF _Toc351890055 \h </w:instrText>
        </w:r>
        <w:r>
          <w:rPr>
            <w:noProof/>
            <w:webHidden/>
          </w:rPr>
        </w:r>
        <w:r>
          <w:rPr>
            <w:noProof/>
            <w:webHidden/>
          </w:rPr>
          <w:fldChar w:fldCharType="separate"/>
        </w:r>
        <w:r>
          <w:rPr>
            <w:noProof/>
            <w:webHidden/>
          </w:rPr>
          <w:t>32</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6" w:history="1">
        <w:r w:rsidRPr="00934E54">
          <w:rPr>
            <w:rStyle w:val="Hyperlink"/>
            <w:noProof/>
          </w:rPr>
          <w:t>Figure 15. Expectation maximization (right) is less sensitive to noise relative to filtered backprojection (left) and produces better image quality in low-count conditions.</w:t>
        </w:r>
        <w:r>
          <w:rPr>
            <w:noProof/>
            <w:webHidden/>
          </w:rPr>
          <w:tab/>
        </w:r>
        <w:r>
          <w:rPr>
            <w:noProof/>
            <w:webHidden/>
          </w:rPr>
          <w:fldChar w:fldCharType="begin"/>
        </w:r>
        <w:r>
          <w:rPr>
            <w:noProof/>
            <w:webHidden/>
          </w:rPr>
          <w:instrText xml:space="preserve"> PAGEREF _Toc351890056 \h </w:instrText>
        </w:r>
        <w:r>
          <w:rPr>
            <w:noProof/>
            <w:webHidden/>
          </w:rPr>
        </w:r>
        <w:r>
          <w:rPr>
            <w:noProof/>
            <w:webHidden/>
          </w:rPr>
          <w:fldChar w:fldCharType="separate"/>
        </w:r>
        <w:r>
          <w:rPr>
            <w:noProof/>
            <w:webHidden/>
          </w:rPr>
          <w:t>34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7" w:history="1">
        <w:r w:rsidRPr="00934E54">
          <w:rPr>
            <w:rStyle w:val="Hyperlink"/>
            <w:noProof/>
          </w:rPr>
          <w:t>Figure 16. Time of flight information reduces the noise in the reconstruction and improves image quality.</w:t>
        </w:r>
        <w:r>
          <w:rPr>
            <w:noProof/>
            <w:webHidden/>
          </w:rPr>
          <w:tab/>
        </w:r>
        <w:r>
          <w:rPr>
            <w:noProof/>
            <w:webHidden/>
          </w:rPr>
          <w:fldChar w:fldCharType="begin"/>
        </w:r>
        <w:r>
          <w:rPr>
            <w:noProof/>
            <w:webHidden/>
          </w:rPr>
          <w:instrText xml:space="preserve"> PAGEREF _Toc351890057 \h </w:instrText>
        </w:r>
        <w:r>
          <w:rPr>
            <w:noProof/>
            <w:webHidden/>
          </w:rPr>
        </w:r>
        <w:r>
          <w:rPr>
            <w:noProof/>
            <w:webHidden/>
          </w:rPr>
          <w:fldChar w:fldCharType="separate"/>
        </w:r>
        <w:r>
          <w:rPr>
            <w:noProof/>
            <w:webHidden/>
          </w:rPr>
          <w:t>36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8" w:history="1">
        <w:r w:rsidRPr="00934E54">
          <w:rPr>
            <w:rStyle w:val="Hyperlink"/>
            <w:noProof/>
          </w:rPr>
          <w:t>Figure 17. The circular geometry of PET scanners introduces registration errors for photons striking the detectors at highly oblique angles, blurring the system point response, especially for LORs at large radial distances.</w:t>
        </w:r>
        <w:r>
          <w:rPr>
            <w:noProof/>
            <w:webHidden/>
          </w:rPr>
          <w:tab/>
        </w:r>
        <w:r>
          <w:rPr>
            <w:noProof/>
            <w:webHidden/>
          </w:rPr>
          <w:fldChar w:fldCharType="begin"/>
        </w:r>
        <w:r>
          <w:rPr>
            <w:noProof/>
            <w:webHidden/>
          </w:rPr>
          <w:instrText xml:space="preserve"> PAGEREF _Toc351890058 \h </w:instrText>
        </w:r>
        <w:r>
          <w:rPr>
            <w:noProof/>
            <w:webHidden/>
          </w:rPr>
        </w:r>
        <w:r>
          <w:rPr>
            <w:noProof/>
            <w:webHidden/>
          </w:rPr>
          <w:fldChar w:fldCharType="separate"/>
        </w:r>
        <w:r>
          <w:rPr>
            <w:noProof/>
            <w:webHidden/>
          </w:rPr>
          <w:t>38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59" w:history="1">
        <w:r w:rsidRPr="00934E54">
          <w:rPr>
            <w:rStyle w:val="Hyperlink"/>
            <w:noProof/>
          </w:rPr>
          <w:t>Figure 18. Probability distributions for the perceptual variables assumed to determine the ROC curve</w:t>
        </w:r>
        <w:r>
          <w:rPr>
            <w:noProof/>
            <w:webHidden/>
          </w:rPr>
          <w:tab/>
        </w:r>
        <w:r>
          <w:rPr>
            <w:noProof/>
            <w:webHidden/>
          </w:rPr>
          <w:fldChar w:fldCharType="begin"/>
        </w:r>
        <w:r>
          <w:rPr>
            <w:noProof/>
            <w:webHidden/>
          </w:rPr>
          <w:instrText xml:space="preserve"> PAGEREF _Toc351890059 \h </w:instrText>
        </w:r>
        <w:r>
          <w:rPr>
            <w:noProof/>
            <w:webHidden/>
          </w:rPr>
        </w:r>
        <w:r>
          <w:rPr>
            <w:noProof/>
            <w:webHidden/>
          </w:rPr>
          <w:fldChar w:fldCharType="separate"/>
        </w:r>
        <w:r>
          <w:rPr>
            <w:noProof/>
            <w:webHidden/>
          </w:rPr>
          <w:t>44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0" w:history="1">
        <w:r w:rsidRPr="00934E54">
          <w:rPr>
            <w:rStyle w:val="Hyperlink"/>
            <w:noProof/>
          </w:rPr>
          <w:t>Figure 19. ROC curve generated from the distributions in Figure 18</w:t>
        </w:r>
        <w:r>
          <w:rPr>
            <w:noProof/>
            <w:webHidden/>
          </w:rPr>
          <w:tab/>
        </w:r>
        <w:r>
          <w:rPr>
            <w:noProof/>
            <w:webHidden/>
          </w:rPr>
          <w:fldChar w:fldCharType="begin"/>
        </w:r>
        <w:r>
          <w:rPr>
            <w:noProof/>
            <w:webHidden/>
          </w:rPr>
          <w:instrText xml:space="preserve"> PAGEREF _Toc351890060 \h </w:instrText>
        </w:r>
        <w:r>
          <w:rPr>
            <w:noProof/>
            <w:webHidden/>
          </w:rPr>
        </w:r>
        <w:r>
          <w:rPr>
            <w:noProof/>
            <w:webHidden/>
          </w:rPr>
          <w:fldChar w:fldCharType="separate"/>
        </w:r>
        <w:r>
          <w:rPr>
            <w:noProof/>
            <w:webHidden/>
          </w:rPr>
          <w:t>44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1" w:history="1">
        <w:r w:rsidRPr="00934E54">
          <w:rPr>
            <w:rStyle w:val="Hyperlink"/>
            <w:noProof/>
          </w:rPr>
          <w:t>Figure 20. Probability distributions for the LROC model</w:t>
        </w:r>
        <w:r>
          <w:rPr>
            <w:noProof/>
            <w:webHidden/>
          </w:rPr>
          <w:tab/>
        </w:r>
        <w:r>
          <w:rPr>
            <w:noProof/>
            <w:webHidden/>
          </w:rPr>
          <w:fldChar w:fldCharType="begin"/>
        </w:r>
        <w:r>
          <w:rPr>
            <w:noProof/>
            <w:webHidden/>
          </w:rPr>
          <w:instrText xml:space="preserve"> PAGEREF _Toc351890061 \h </w:instrText>
        </w:r>
        <w:r>
          <w:rPr>
            <w:noProof/>
            <w:webHidden/>
          </w:rPr>
        </w:r>
        <w:r>
          <w:rPr>
            <w:noProof/>
            <w:webHidden/>
          </w:rPr>
          <w:fldChar w:fldCharType="separate"/>
        </w:r>
        <w:r>
          <w:rPr>
            <w:noProof/>
            <w:webHidden/>
          </w:rPr>
          <w:t>46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2" w:history="1">
        <w:r w:rsidRPr="00934E54">
          <w:rPr>
            <w:rStyle w:val="Hyperlink"/>
            <w:noProof/>
          </w:rPr>
          <w:t>Figure 21. LROC curve from the distributions in Figure 20</w:t>
        </w:r>
        <w:r>
          <w:rPr>
            <w:noProof/>
            <w:webHidden/>
          </w:rPr>
          <w:tab/>
        </w:r>
        <w:r>
          <w:rPr>
            <w:noProof/>
            <w:webHidden/>
          </w:rPr>
          <w:fldChar w:fldCharType="begin"/>
        </w:r>
        <w:r>
          <w:rPr>
            <w:noProof/>
            <w:webHidden/>
          </w:rPr>
          <w:instrText xml:space="preserve"> PAGEREF _Toc351890062 \h </w:instrText>
        </w:r>
        <w:r>
          <w:rPr>
            <w:noProof/>
            <w:webHidden/>
          </w:rPr>
        </w:r>
        <w:r>
          <w:rPr>
            <w:noProof/>
            <w:webHidden/>
          </w:rPr>
          <w:fldChar w:fldCharType="separate"/>
        </w:r>
        <w:r>
          <w:rPr>
            <w:noProof/>
            <w:webHidden/>
          </w:rPr>
          <w:t>46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3" w:history="1">
        <w:r w:rsidRPr="00934E54">
          <w:rPr>
            <w:rStyle w:val="Hyperlink"/>
            <w:noProof/>
          </w:rPr>
          <w:t>Figure 22. Cumulative and probability density functions, along with the resulting ROC curve fit from the sample confidence-rated data in Table 3</w:t>
        </w:r>
        <w:r>
          <w:rPr>
            <w:noProof/>
            <w:webHidden/>
          </w:rPr>
          <w:tab/>
        </w:r>
        <w:r>
          <w:rPr>
            <w:noProof/>
            <w:webHidden/>
          </w:rPr>
          <w:fldChar w:fldCharType="begin"/>
        </w:r>
        <w:r>
          <w:rPr>
            <w:noProof/>
            <w:webHidden/>
          </w:rPr>
          <w:instrText xml:space="preserve"> PAGEREF _Toc351890063 \h </w:instrText>
        </w:r>
        <w:r>
          <w:rPr>
            <w:noProof/>
            <w:webHidden/>
          </w:rPr>
        </w:r>
        <w:r>
          <w:rPr>
            <w:noProof/>
            <w:webHidden/>
          </w:rPr>
          <w:fldChar w:fldCharType="separate"/>
        </w:r>
        <w:r>
          <w:rPr>
            <w:noProof/>
            <w:webHidden/>
          </w:rPr>
          <w:t>49</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4" w:history="1">
        <w:r w:rsidRPr="00934E54">
          <w:rPr>
            <w:rStyle w:val="Hyperlink"/>
            <w:noProof/>
          </w:rPr>
          <w:t>Figure 23. A random Gaussian process and the respective histogrammed density functions.  The blue group represents the observer measurements made within samples from the signal-absent class and the red represents those from the signal-present class.  The ideal observer template is defined by the difference in class means.</w:t>
        </w:r>
        <w:r>
          <w:rPr>
            <w:noProof/>
            <w:webHidden/>
          </w:rPr>
          <w:tab/>
        </w:r>
        <w:r>
          <w:rPr>
            <w:noProof/>
            <w:webHidden/>
          </w:rPr>
          <w:fldChar w:fldCharType="begin"/>
        </w:r>
        <w:r>
          <w:rPr>
            <w:noProof/>
            <w:webHidden/>
          </w:rPr>
          <w:instrText xml:space="preserve"> PAGEREF _Toc351890064 \h </w:instrText>
        </w:r>
        <w:r>
          <w:rPr>
            <w:noProof/>
            <w:webHidden/>
          </w:rPr>
        </w:r>
        <w:r>
          <w:rPr>
            <w:noProof/>
            <w:webHidden/>
          </w:rPr>
          <w:fldChar w:fldCharType="separate"/>
        </w:r>
        <w:r>
          <w:rPr>
            <w:noProof/>
            <w:webHidden/>
          </w:rPr>
          <w:t>56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5" w:history="1">
        <w:r w:rsidRPr="00934E54">
          <w:rPr>
            <w:rStyle w:val="Hyperlink"/>
            <w:noProof/>
          </w:rPr>
          <w:t>Figure 24. The discriminant defined by the difference in class means is no longer optimal when the data are correlated.</w:t>
        </w:r>
        <w:r>
          <w:rPr>
            <w:noProof/>
            <w:webHidden/>
          </w:rPr>
          <w:tab/>
        </w:r>
        <w:r>
          <w:rPr>
            <w:noProof/>
            <w:webHidden/>
          </w:rPr>
          <w:fldChar w:fldCharType="begin"/>
        </w:r>
        <w:r>
          <w:rPr>
            <w:noProof/>
            <w:webHidden/>
          </w:rPr>
          <w:instrText xml:space="preserve"> PAGEREF _Toc351890065 \h </w:instrText>
        </w:r>
        <w:r>
          <w:rPr>
            <w:noProof/>
            <w:webHidden/>
          </w:rPr>
        </w:r>
        <w:r>
          <w:rPr>
            <w:noProof/>
            <w:webHidden/>
          </w:rPr>
          <w:fldChar w:fldCharType="separate"/>
        </w:r>
        <w:r>
          <w:rPr>
            <w:noProof/>
            <w:webHidden/>
          </w:rPr>
          <w:t>58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6" w:history="1">
        <w:r w:rsidRPr="00934E54">
          <w:rPr>
            <w:rStyle w:val="Hyperlink"/>
            <w:noProof/>
          </w:rPr>
          <w:t>Figure 25. The distribution covariance is used with the mean difference to define the optimal discriminant function in correlated noise.</w:t>
        </w:r>
        <w:r>
          <w:rPr>
            <w:noProof/>
            <w:webHidden/>
          </w:rPr>
          <w:tab/>
        </w:r>
        <w:r>
          <w:rPr>
            <w:noProof/>
            <w:webHidden/>
          </w:rPr>
          <w:fldChar w:fldCharType="begin"/>
        </w:r>
        <w:r>
          <w:rPr>
            <w:noProof/>
            <w:webHidden/>
          </w:rPr>
          <w:instrText xml:space="preserve"> PAGEREF _Toc351890066 \h </w:instrText>
        </w:r>
        <w:r>
          <w:rPr>
            <w:noProof/>
            <w:webHidden/>
          </w:rPr>
        </w:r>
        <w:r>
          <w:rPr>
            <w:noProof/>
            <w:webHidden/>
          </w:rPr>
          <w:fldChar w:fldCharType="separate"/>
        </w:r>
        <w:r>
          <w:rPr>
            <w:noProof/>
            <w:webHidden/>
          </w:rPr>
          <w:t>58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7" w:history="1">
        <w:r w:rsidRPr="00934E54">
          <w:rPr>
            <w:rStyle w:val="Hyperlink"/>
            <w:noProof/>
          </w:rPr>
          <w:t>Figure 26. Grid used to mount artificial “lesions” in the PET field of view</w:t>
        </w:r>
        <w:r>
          <w:rPr>
            <w:noProof/>
            <w:webHidden/>
          </w:rPr>
          <w:tab/>
        </w:r>
        <w:r>
          <w:rPr>
            <w:noProof/>
            <w:webHidden/>
          </w:rPr>
          <w:fldChar w:fldCharType="begin"/>
        </w:r>
        <w:r>
          <w:rPr>
            <w:noProof/>
            <w:webHidden/>
          </w:rPr>
          <w:instrText xml:space="preserve"> PAGEREF _Toc351890067 \h </w:instrText>
        </w:r>
        <w:r>
          <w:rPr>
            <w:noProof/>
            <w:webHidden/>
          </w:rPr>
        </w:r>
        <w:r>
          <w:rPr>
            <w:noProof/>
            <w:webHidden/>
          </w:rPr>
          <w:fldChar w:fldCharType="separate"/>
        </w:r>
        <w:r>
          <w:rPr>
            <w:noProof/>
            <w:webHidden/>
          </w:rPr>
          <w:t>74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8" w:history="1">
        <w:r w:rsidRPr="00934E54">
          <w:rPr>
            <w:rStyle w:val="Hyperlink"/>
            <w:noProof/>
          </w:rPr>
          <w:t>Figure 27. The process of simulating realistic lesions in patient scans.</w:t>
        </w:r>
        <w:r>
          <w:rPr>
            <w:noProof/>
            <w:webHidden/>
          </w:rPr>
          <w:tab/>
        </w:r>
        <w:r>
          <w:rPr>
            <w:noProof/>
            <w:webHidden/>
          </w:rPr>
          <w:fldChar w:fldCharType="begin"/>
        </w:r>
        <w:r>
          <w:rPr>
            <w:noProof/>
            <w:webHidden/>
          </w:rPr>
          <w:instrText xml:space="preserve"> PAGEREF _Toc351890068 \h </w:instrText>
        </w:r>
        <w:r>
          <w:rPr>
            <w:noProof/>
            <w:webHidden/>
          </w:rPr>
        </w:r>
        <w:r>
          <w:rPr>
            <w:noProof/>
            <w:webHidden/>
          </w:rPr>
          <w:fldChar w:fldCharType="separate"/>
        </w:r>
        <w:r>
          <w:rPr>
            <w:noProof/>
            <w:webHidden/>
          </w:rPr>
          <w:t>75</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69" w:history="1">
        <w:r w:rsidRPr="00934E54">
          <w:rPr>
            <w:rStyle w:val="Hyperlink"/>
            <w:noProof/>
          </w:rPr>
          <w:t>Figure 28. Distributions of lesion contrasts used in observer study</w:t>
        </w:r>
        <w:r>
          <w:rPr>
            <w:noProof/>
            <w:webHidden/>
          </w:rPr>
          <w:tab/>
        </w:r>
        <w:r>
          <w:rPr>
            <w:noProof/>
            <w:webHidden/>
          </w:rPr>
          <w:fldChar w:fldCharType="begin"/>
        </w:r>
        <w:r>
          <w:rPr>
            <w:noProof/>
            <w:webHidden/>
          </w:rPr>
          <w:instrText xml:space="preserve"> PAGEREF _Toc351890069 \h </w:instrText>
        </w:r>
        <w:r>
          <w:rPr>
            <w:noProof/>
            <w:webHidden/>
          </w:rPr>
        </w:r>
        <w:r>
          <w:rPr>
            <w:noProof/>
            <w:webHidden/>
          </w:rPr>
          <w:fldChar w:fldCharType="separate"/>
        </w:r>
        <w:r>
          <w:rPr>
            <w:noProof/>
            <w:webHidden/>
          </w:rPr>
          <w:t>78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0" w:history="1">
        <w:r w:rsidRPr="00934E54">
          <w:rPr>
            <w:rStyle w:val="Hyperlink"/>
            <w:noProof/>
          </w:rPr>
          <w:t>Figure 29. Channel profiles for the S-DOG configuration</w:t>
        </w:r>
        <w:r>
          <w:rPr>
            <w:noProof/>
            <w:webHidden/>
          </w:rPr>
          <w:tab/>
        </w:r>
        <w:r>
          <w:rPr>
            <w:noProof/>
            <w:webHidden/>
          </w:rPr>
          <w:fldChar w:fldCharType="begin"/>
        </w:r>
        <w:r>
          <w:rPr>
            <w:noProof/>
            <w:webHidden/>
          </w:rPr>
          <w:instrText xml:space="preserve"> PAGEREF _Toc351890070 \h </w:instrText>
        </w:r>
        <w:r>
          <w:rPr>
            <w:noProof/>
            <w:webHidden/>
          </w:rPr>
        </w:r>
        <w:r>
          <w:rPr>
            <w:noProof/>
            <w:webHidden/>
          </w:rPr>
          <w:fldChar w:fldCharType="separate"/>
        </w:r>
        <w:r>
          <w:rPr>
            <w:noProof/>
            <w:webHidden/>
          </w:rPr>
          <w:t>79</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1" w:history="1">
        <w:r w:rsidRPr="00934E54">
          <w:rPr>
            <w:rStyle w:val="Hyperlink"/>
            <w:noProof/>
          </w:rPr>
          <w:t>Figure 30. S-DOG channel profiles, transformed from frequency to spatial domain</w:t>
        </w:r>
        <w:r>
          <w:rPr>
            <w:noProof/>
            <w:webHidden/>
          </w:rPr>
          <w:tab/>
        </w:r>
        <w:r>
          <w:rPr>
            <w:noProof/>
            <w:webHidden/>
          </w:rPr>
          <w:fldChar w:fldCharType="begin"/>
        </w:r>
        <w:r>
          <w:rPr>
            <w:noProof/>
            <w:webHidden/>
          </w:rPr>
          <w:instrText xml:space="preserve"> PAGEREF _Toc351890071 \h </w:instrText>
        </w:r>
        <w:r>
          <w:rPr>
            <w:noProof/>
            <w:webHidden/>
          </w:rPr>
        </w:r>
        <w:r>
          <w:rPr>
            <w:noProof/>
            <w:webHidden/>
          </w:rPr>
          <w:fldChar w:fldCharType="separate"/>
        </w:r>
        <w:r>
          <w:rPr>
            <w:noProof/>
            <w:webHidden/>
          </w:rPr>
          <w:t>81</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2" w:history="1">
        <w:r w:rsidRPr="00934E54">
          <w:rPr>
            <w:rStyle w:val="Hyperlink"/>
            <w:noProof/>
          </w:rPr>
          <w:t>Figure 31. S-DOG spatial channel profiles shown in 2 dimensions</w:t>
        </w:r>
        <w:r>
          <w:rPr>
            <w:noProof/>
            <w:webHidden/>
          </w:rPr>
          <w:tab/>
        </w:r>
        <w:r>
          <w:rPr>
            <w:noProof/>
            <w:webHidden/>
          </w:rPr>
          <w:fldChar w:fldCharType="begin"/>
        </w:r>
        <w:r>
          <w:rPr>
            <w:noProof/>
            <w:webHidden/>
          </w:rPr>
          <w:instrText xml:space="preserve"> PAGEREF _Toc351890072 \h </w:instrText>
        </w:r>
        <w:r>
          <w:rPr>
            <w:noProof/>
            <w:webHidden/>
          </w:rPr>
        </w:r>
        <w:r>
          <w:rPr>
            <w:noProof/>
            <w:webHidden/>
          </w:rPr>
          <w:fldChar w:fldCharType="separate"/>
        </w:r>
        <w:r>
          <w:rPr>
            <w:noProof/>
            <w:webHidden/>
          </w:rPr>
          <w:t>81</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3" w:history="1">
        <w:r w:rsidRPr="00934E54">
          <w:rPr>
            <w:rStyle w:val="Hyperlink"/>
            <w:noProof/>
          </w:rPr>
          <w:t>Figure 32. The sample images represented as filtered data.  The responses to the channels are correlated.</w:t>
        </w:r>
        <w:r>
          <w:rPr>
            <w:noProof/>
            <w:webHidden/>
          </w:rPr>
          <w:tab/>
        </w:r>
        <w:r>
          <w:rPr>
            <w:noProof/>
            <w:webHidden/>
          </w:rPr>
          <w:fldChar w:fldCharType="begin"/>
        </w:r>
        <w:r>
          <w:rPr>
            <w:noProof/>
            <w:webHidden/>
          </w:rPr>
          <w:instrText xml:space="preserve"> PAGEREF _Toc351890073 \h </w:instrText>
        </w:r>
        <w:r>
          <w:rPr>
            <w:noProof/>
            <w:webHidden/>
          </w:rPr>
        </w:r>
        <w:r>
          <w:rPr>
            <w:noProof/>
            <w:webHidden/>
          </w:rPr>
          <w:fldChar w:fldCharType="separate"/>
        </w:r>
        <w:r>
          <w:rPr>
            <w:noProof/>
            <w:webHidden/>
          </w:rPr>
          <w:t>82</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4" w:history="1">
        <w:r w:rsidRPr="00934E54">
          <w:rPr>
            <w:rStyle w:val="Hyperlink"/>
            <w:noProof/>
          </w:rPr>
          <w:t>Figure 33. In the CNPW model, the class means define the discriminant function.</w:t>
        </w:r>
        <w:r>
          <w:rPr>
            <w:noProof/>
            <w:webHidden/>
          </w:rPr>
          <w:tab/>
        </w:r>
        <w:r>
          <w:rPr>
            <w:noProof/>
            <w:webHidden/>
          </w:rPr>
          <w:fldChar w:fldCharType="begin"/>
        </w:r>
        <w:r>
          <w:rPr>
            <w:noProof/>
            <w:webHidden/>
          </w:rPr>
          <w:instrText xml:space="preserve"> PAGEREF _Toc351890074 \h </w:instrText>
        </w:r>
        <w:r>
          <w:rPr>
            <w:noProof/>
            <w:webHidden/>
          </w:rPr>
        </w:r>
        <w:r>
          <w:rPr>
            <w:noProof/>
            <w:webHidden/>
          </w:rPr>
          <w:fldChar w:fldCharType="separate"/>
        </w:r>
        <w:r>
          <w:rPr>
            <w:noProof/>
            <w:webHidden/>
          </w:rPr>
          <w:t>83</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5" w:history="1">
        <w:r w:rsidRPr="00934E54">
          <w:rPr>
            <w:rStyle w:val="Hyperlink"/>
            <w:noProof/>
          </w:rPr>
          <w:t>Figure 34. In the CHO model, the class means and intraclass scatter matrices define the discriminant function</w:t>
        </w:r>
        <w:r>
          <w:rPr>
            <w:noProof/>
            <w:webHidden/>
          </w:rPr>
          <w:tab/>
        </w:r>
        <w:r>
          <w:rPr>
            <w:noProof/>
            <w:webHidden/>
          </w:rPr>
          <w:fldChar w:fldCharType="begin"/>
        </w:r>
        <w:r>
          <w:rPr>
            <w:noProof/>
            <w:webHidden/>
          </w:rPr>
          <w:instrText xml:space="preserve"> PAGEREF _Toc351890075 \h </w:instrText>
        </w:r>
        <w:r>
          <w:rPr>
            <w:noProof/>
            <w:webHidden/>
          </w:rPr>
        </w:r>
        <w:r>
          <w:rPr>
            <w:noProof/>
            <w:webHidden/>
          </w:rPr>
          <w:fldChar w:fldCharType="separate"/>
        </w:r>
        <w:r>
          <w:rPr>
            <w:noProof/>
            <w:webHidden/>
          </w:rPr>
          <w:t>84</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6" w:history="1">
        <w:r w:rsidRPr="00934E54">
          <w:rPr>
            <w:rStyle w:val="Hyperlink"/>
            <w:noProof/>
          </w:rPr>
          <w:t>Figure 35. The new CHO discriminant function resulting from observer noise added to the intraclass scatter matrix.</w:t>
        </w:r>
        <w:r>
          <w:rPr>
            <w:noProof/>
            <w:webHidden/>
          </w:rPr>
          <w:tab/>
        </w:r>
        <w:r>
          <w:rPr>
            <w:noProof/>
            <w:webHidden/>
          </w:rPr>
          <w:fldChar w:fldCharType="begin"/>
        </w:r>
        <w:r>
          <w:rPr>
            <w:noProof/>
            <w:webHidden/>
          </w:rPr>
          <w:instrText xml:space="preserve"> PAGEREF _Toc351890076 \h </w:instrText>
        </w:r>
        <w:r>
          <w:rPr>
            <w:noProof/>
            <w:webHidden/>
          </w:rPr>
        </w:r>
        <w:r>
          <w:rPr>
            <w:noProof/>
            <w:webHidden/>
          </w:rPr>
          <w:fldChar w:fldCharType="separate"/>
        </w:r>
        <w:r>
          <w:rPr>
            <w:noProof/>
            <w:webHidden/>
          </w:rPr>
          <w:t>85</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7" w:history="1">
        <w:r w:rsidRPr="00934E54">
          <w:rPr>
            <w:rStyle w:val="Hyperlink"/>
            <w:noProof/>
          </w:rPr>
          <w:t>Figure 36. Plots of observer SNR; maximum SNR defined the optimal processing parameters</w:t>
        </w:r>
        <w:r>
          <w:rPr>
            <w:noProof/>
            <w:webHidden/>
          </w:rPr>
          <w:tab/>
        </w:r>
        <w:r>
          <w:rPr>
            <w:noProof/>
            <w:webHidden/>
          </w:rPr>
          <w:fldChar w:fldCharType="begin"/>
        </w:r>
        <w:r>
          <w:rPr>
            <w:noProof/>
            <w:webHidden/>
          </w:rPr>
          <w:instrText xml:space="preserve"> PAGEREF _Toc351890077 \h </w:instrText>
        </w:r>
        <w:r>
          <w:rPr>
            <w:noProof/>
            <w:webHidden/>
          </w:rPr>
        </w:r>
        <w:r>
          <w:rPr>
            <w:noProof/>
            <w:webHidden/>
          </w:rPr>
          <w:fldChar w:fldCharType="separate"/>
        </w:r>
        <w:r>
          <w:rPr>
            <w:noProof/>
            <w:webHidden/>
          </w:rPr>
          <w:t>88</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8" w:history="1">
        <w:r w:rsidRPr="00934E54">
          <w:rPr>
            <w:rStyle w:val="Hyperlink"/>
            <w:noProof/>
          </w:rPr>
          <w:t>Figure 37. A coronal view comparison of the four reconstructions.</w:t>
        </w:r>
        <w:r>
          <w:rPr>
            <w:noProof/>
            <w:webHidden/>
          </w:rPr>
          <w:tab/>
        </w:r>
        <w:r>
          <w:rPr>
            <w:noProof/>
            <w:webHidden/>
          </w:rPr>
          <w:fldChar w:fldCharType="begin"/>
        </w:r>
        <w:r>
          <w:rPr>
            <w:noProof/>
            <w:webHidden/>
          </w:rPr>
          <w:instrText xml:space="preserve"> PAGEREF _Toc351890078 \h </w:instrText>
        </w:r>
        <w:r>
          <w:rPr>
            <w:noProof/>
            <w:webHidden/>
          </w:rPr>
        </w:r>
        <w:r>
          <w:rPr>
            <w:noProof/>
            <w:webHidden/>
          </w:rPr>
          <w:fldChar w:fldCharType="separate"/>
        </w:r>
        <w:r>
          <w:rPr>
            <w:noProof/>
            <w:webHidden/>
          </w:rPr>
          <w:t>89</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79" w:history="1">
        <w:r w:rsidRPr="00934E54">
          <w:rPr>
            <w:rStyle w:val="Hyperlink"/>
            <w:noProof/>
          </w:rPr>
          <w:t>Figure 38. The viewer program developed to present the images and record decision data</w:t>
        </w:r>
        <w:r>
          <w:rPr>
            <w:noProof/>
            <w:webHidden/>
          </w:rPr>
          <w:tab/>
        </w:r>
        <w:r>
          <w:rPr>
            <w:noProof/>
            <w:webHidden/>
          </w:rPr>
          <w:fldChar w:fldCharType="begin"/>
        </w:r>
        <w:r>
          <w:rPr>
            <w:noProof/>
            <w:webHidden/>
          </w:rPr>
          <w:instrText xml:space="preserve"> PAGEREF _Toc351890079 \h </w:instrText>
        </w:r>
        <w:r>
          <w:rPr>
            <w:noProof/>
            <w:webHidden/>
          </w:rPr>
        </w:r>
        <w:r>
          <w:rPr>
            <w:noProof/>
            <w:webHidden/>
          </w:rPr>
          <w:fldChar w:fldCharType="separate"/>
        </w:r>
        <w:r>
          <w:rPr>
            <w:noProof/>
            <w:webHidden/>
          </w:rPr>
          <w:t>90</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0" w:history="1">
        <w:r w:rsidRPr="00934E54">
          <w:rPr>
            <w:rStyle w:val="Hyperlink"/>
            <w:noProof/>
          </w:rPr>
          <w:t>Figure 39. Templates of the 8 numerical observers evaluated in this study (blue) and the mean lesion profile (red)</w:t>
        </w:r>
        <w:r>
          <w:rPr>
            <w:noProof/>
            <w:webHidden/>
          </w:rPr>
          <w:tab/>
        </w:r>
        <w:r>
          <w:rPr>
            <w:noProof/>
            <w:webHidden/>
          </w:rPr>
          <w:fldChar w:fldCharType="begin"/>
        </w:r>
        <w:r>
          <w:rPr>
            <w:noProof/>
            <w:webHidden/>
          </w:rPr>
          <w:instrText xml:space="preserve"> PAGEREF _Toc351890080 \h </w:instrText>
        </w:r>
        <w:r>
          <w:rPr>
            <w:noProof/>
            <w:webHidden/>
          </w:rPr>
        </w:r>
        <w:r>
          <w:rPr>
            <w:noProof/>
            <w:webHidden/>
          </w:rPr>
          <w:fldChar w:fldCharType="separate"/>
        </w:r>
        <w:r>
          <w:rPr>
            <w:noProof/>
            <w:webHidden/>
          </w:rPr>
          <w:t>93</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1" w:history="1">
        <w:r w:rsidRPr="00934E54">
          <w:rPr>
            <w:rStyle w:val="Hyperlink"/>
            <w:noProof/>
          </w:rPr>
          <w:t>Figure 40. Performances of 3 physician observers in the detection and localization task of all lesions in all anatomical locations</w:t>
        </w:r>
        <w:r>
          <w:rPr>
            <w:noProof/>
            <w:webHidden/>
          </w:rPr>
          <w:tab/>
        </w:r>
        <w:r>
          <w:rPr>
            <w:noProof/>
            <w:webHidden/>
          </w:rPr>
          <w:fldChar w:fldCharType="begin"/>
        </w:r>
        <w:r>
          <w:rPr>
            <w:noProof/>
            <w:webHidden/>
          </w:rPr>
          <w:instrText xml:space="preserve"> PAGEREF _Toc351890081 \h </w:instrText>
        </w:r>
        <w:r>
          <w:rPr>
            <w:noProof/>
            <w:webHidden/>
          </w:rPr>
        </w:r>
        <w:r>
          <w:rPr>
            <w:noProof/>
            <w:webHidden/>
          </w:rPr>
          <w:fldChar w:fldCharType="separate"/>
        </w:r>
        <w:r>
          <w:rPr>
            <w:noProof/>
            <w:webHidden/>
          </w:rPr>
          <w:t>95</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2" w:history="1">
        <w:r w:rsidRPr="00934E54">
          <w:rPr>
            <w:rStyle w:val="Hyperlink"/>
            <w:noProof/>
          </w:rPr>
          <w:t>Figure 41. Mean performances of the physicians in the detection and localization task</w:t>
        </w:r>
        <w:r>
          <w:rPr>
            <w:noProof/>
            <w:webHidden/>
          </w:rPr>
          <w:tab/>
        </w:r>
        <w:r>
          <w:rPr>
            <w:noProof/>
            <w:webHidden/>
          </w:rPr>
          <w:fldChar w:fldCharType="begin"/>
        </w:r>
        <w:r>
          <w:rPr>
            <w:noProof/>
            <w:webHidden/>
          </w:rPr>
          <w:instrText xml:space="preserve"> PAGEREF _Toc351890082 \h </w:instrText>
        </w:r>
        <w:r>
          <w:rPr>
            <w:noProof/>
            <w:webHidden/>
          </w:rPr>
        </w:r>
        <w:r>
          <w:rPr>
            <w:noProof/>
            <w:webHidden/>
          </w:rPr>
          <w:fldChar w:fldCharType="separate"/>
        </w:r>
        <w:r>
          <w:rPr>
            <w:noProof/>
            <w:webHidden/>
          </w:rPr>
          <w:t>96</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3" w:history="1">
        <w:r w:rsidRPr="00934E54">
          <w:rPr>
            <w:rStyle w:val="Hyperlink"/>
            <w:noProof/>
          </w:rPr>
          <w:t>Figure 42. Comparison of physician performance in localization of liver and lung lesions</w:t>
        </w:r>
        <w:r>
          <w:rPr>
            <w:noProof/>
            <w:webHidden/>
          </w:rPr>
          <w:tab/>
        </w:r>
        <w:r>
          <w:rPr>
            <w:noProof/>
            <w:webHidden/>
          </w:rPr>
          <w:fldChar w:fldCharType="begin"/>
        </w:r>
        <w:r>
          <w:rPr>
            <w:noProof/>
            <w:webHidden/>
          </w:rPr>
          <w:instrText xml:space="preserve"> PAGEREF _Toc351890083 \h </w:instrText>
        </w:r>
        <w:r>
          <w:rPr>
            <w:noProof/>
            <w:webHidden/>
          </w:rPr>
        </w:r>
        <w:r>
          <w:rPr>
            <w:noProof/>
            <w:webHidden/>
          </w:rPr>
          <w:fldChar w:fldCharType="separate"/>
        </w:r>
        <w:r>
          <w:rPr>
            <w:noProof/>
            <w:webHidden/>
          </w:rPr>
          <w:t>97</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4" w:history="1">
        <w:r w:rsidRPr="00934E54">
          <w:rPr>
            <w:rStyle w:val="Hyperlink"/>
            <w:noProof/>
          </w:rPr>
          <w:t>Figure 43. Human observer performance of the detection and localization task of lesions located in the liver, grouped by patient BMI</w:t>
        </w:r>
        <w:r>
          <w:rPr>
            <w:noProof/>
            <w:webHidden/>
          </w:rPr>
          <w:tab/>
        </w:r>
        <w:r>
          <w:rPr>
            <w:noProof/>
            <w:webHidden/>
          </w:rPr>
          <w:fldChar w:fldCharType="begin"/>
        </w:r>
        <w:r>
          <w:rPr>
            <w:noProof/>
            <w:webHidden/>
          </w:rPr>
          <w:instrText xml:space="preserve"> PAGEREF _Toc351890084 \h </w:instrText>
        </w:r>
        <w:r>
          <w:rPr>
            <w:noProof/>
            <w:webHidden/>
          </w:rPr>
        </w:r>
        <w:r>
          <w:rPr>
            <w:noProof/>
            <w:webHidden/>
          </w:rPr>
          <w:fldChar w:fldCharType="separate"/>
        </w:r>
        <w:r>
          <w:rPr>
            <w:noProof/>
            <w:webHidden/>
          </w:rPr>
          <w:t>99</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5" w:history="1">
        <w:r w:rsidRPr="00934E54">
          <w:rPr>
            <w:rStyle w:val="Hyperlink"/>
            <w:noProof/>
          </w:rPr>
          <w:t>Figure 44. Comparison of the numerical observer models in localization of liver lesions</w:t>
        </w:r>
        <w:r>
          <w:rPr>
            <w:noProof/>
            <w:webHidden/>
          </w:rPr>
          <w:tab/>
        </w:r>
        <w:r>
          <w:rPr>
            <w:noProof/>
            <w:webHidden/>
          </w:rPr>
          <w:fldChar w:fldCharType="begin"/>
        </w:r>
        <w:r>
          <w:rPr>
            <w:noProof/>
            <w:webHidden/>
          </w:rPr>
          <w:instrText xml:space="preserve"> PAGEREF _Toc351890085 \h </w:instrText>
        </w:r>
        <w:r>
          <w:rPr>
            <w:noProof/>
            <w:webHidden/>
          </w:rPr>
        </w:r>
        <w:r>
          <w:rPr>
            <w:noProof/>
            <w:webHidden/>
          </w:rPr>
          <w:fldChar w:fldCharType="separate"/>
        </w:r>
        <w:r>
          <w:rPr>
            <w:noProof/>
            <w:webHidden/>
          </w:rPr>
          <w:t>100</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6" w:history="1">
        <w:r w:rsidRPr="00934E54">
          <w:rPr>
            <w:rStyle w:val="Hyperlink"/>
            <w:noProof/>
          </w:rPr>
          <w:t>Figure 45. LROC curves showing mean localization performance of liver lesions for 3 human observers (left) and 8 numerical models (right)</w:t>
        </w:r>
        <w:r>
          <w:rPr>
            <w:noProof/>
            <w:webHidden/>
          </w:rPr>
          <w:tab/>
        </w:r>
        <w:r>
          <w:rPr>
            <w:noProof/>
            <w:webHidden/>
          </w:rPr>
          <w:fldChar w:fldCharType="begin"/>
        </w:r>
        <w:r>
          <w:rPr>
            <w:noProof/>
            <w:webHidden/>
          </w:rPr>
          <w:instrText xml:space="preserve"> PAGEREF _Toc351890086 \h </w:instrText>
        </w:r>
        <w:r>
          <w:rPr>
            <w:noProof/>
            <w:webHidden/>
          </w:rPr>
        </w:r>
        <w:r>
          <w:rPr>
            <w:noProof/>
            <w:webHidden/>
          </w:rPr>
          <w:fldChar w:fldCharType="separate"/>
        </w:r>
        <w:r>
          <w:rPr>
            <w:noProof/>
            <w:webHidden/>
          </w:rPr>
          <w:t>101</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7" w:history="1">
        <w:r w:rsidRPr="00934E54">
          <w:rPr>
            <w:rStyle w:val="Hyperlink"/>
            <w:noProof/>
          </w:rPr>
          <w:t>Figure 46. Plots showing mean improvement in observer SNR of PSF, TOF, and TOF+PSF compared to OP, for various lesion contrasts and acquisition times.</w:t>
        </w:r>
        <w:r>
          <w:rPr>
            <w:noProof/>
            <w:webHidden/>
          </w:rPr>
          <w:tab/>
        </w:r>
        <w:r>
          <w:rPr>
            <w:noProof/>
            <w:webHidden/>
          </w:rPr>
          <w:fldChar w:fldCharType="begin"/>
        </w:r>
        <w:r>
          <w:rPr>
            <w:noProof/>
            <w:webHidden/>
          </w:rPr>
          <w:instrText xml:space="preserve"> PAGEREF _Toc351890087 \h </w:instrText>
        </w:r>
        <w:r>
          <w:rPr>
            <w:noProof/>
            <w:webHidden/>
          </w:rPr>
        </w:r>
        <w:r>
          <w:rPr>
            <w:noProof/>
            <w:webHidden/>
          </w:rPr>
          <w:fldChar w:fldCharType="separate"/>
        </w:r>
        <w:r>
          <w:rPr>
            <w:noProof/>
            <w:webHidden/>
          </w:rPr>
          <w:t>102</w:t>
        </w:r>
        <w:r>
          <w:rPr>
            <w:noProof/>
            <w:webHidden/>
          </w:rPr>
          <w:fldChar w:fldCharType="end"/>
        </w:r>
      </w:hyperlink>
    </w:p>
    <w:p w:rsidR="004F1054" w:rsidRDefault="004F1054">
      <w:pPr>
        <w:pStyle w:val="TableofFigures"/>
        <w:tabs>
          <w:tab w:val="right" w:leader="dot" w:pos="8630"/>
        </w:tabs>
        <w:rPr>
          <w:rFonts w:asciiTheme="minorHAnsi" w:eastAsiaTheme="minorEastAsia" w:hAnsiTheme="minorHAnsi" w:cstheme="minorBidi"/>
          <w:noProof/>
          <w:sz w:val="22"/>
          <w:szCs w:val="22"/>
        </w:rPr>
      </w:pPr>
      <w:hyperlink w:anchor="_Toc351890088" w:history="1">
        <w:r w:rsidRPr="00934E54">
          <w:rPr>
            <w:rStyle w:val="Hyperlink"/>
            <w:noProof/>
          </w:rPr>
          <w:t>Figure 47. Mean observer SNR improvement for different patient sizes.</w:t>
        </w:r>
        <w:r>
          <w:rPr>
            <w:noProof/>
            <w:webHidden/>
          </w:rPr>
          <w:tab/>
        </w:r>
        <w:r>
          <w:rPr>
            <w:noProof/>
            <w:webHidden/>
          </w:rPr>
          <w:fldChar w:fldCharType="begin"/>
        </w:r>
        <w:r>
          <w:rPr>
            <w:noProof/>
            <w:webHidden/>
          </w:rPr>
          <w:instrText xml:space="preserve"> PAGEREF _Toc351890088 \h </w:instrText>
        </w:r>
        <w:r>
          <w:rPr>
            <w:noProof/>
            <w:webHidden/>
          </w:rPr>
        </w:r>
        <w:r>
          <w:rPr>
            <w:noProof/>
            <w:webHidden/>
          </w:rPr>
          <w:fldChar w:fldCharType="separate"/>
        </w:r>
        <w:r>
          <w:rPr>
            <w:noProof/>
            <w:webHidden/>
          </w:rPr>
          <w:t>103</w:t>
        </w:r>
        <w:r>
          <w:rPr>
            <w:noProof/>
            <w:webHidden/>
          </w:rPr>
          <w:fldChar w:fldCharType="end"/>
        </w:r>
      </w:hyperlink>
    </w:p>
    <w:p w:rsidR="008973DB" w:rsidRDefault="009B6816" w:rsidP="008973DB">
      <w:pPr>
        <w:numPr>
          <w:ilvl w:val="12"/>
          <w:numId w:val="0"/>
        </w:numPr>
        <w:jc w:val="center"/>
        <w:rPr>
          <w:rFonts w:ascii="Helvetica" w:hAnsi="Helvetica"/>
          <w:b/>
          <w:bCs/>
          <w:lang w:val="en-GB" w:eastAsia="ar-SA"/>
        </w:rPr>
      </w:pPr>
      <w:r w:rsidRPr="00F920F6">
        <w:fldChar w:fldCharType="end"/>
      </w:r>
      <w:r w:rsidR="008973DB" w:rsidRPr="00F920F6">
        <w:rPr>
          <w:sz w:val="28"/>
          <w:szCs w:val="28"/>
        </w:rPr>
        <w:br w:type="page"/>
      </w:r>
      <w:r w:rsidR="008973DB" w:rsidRPr="00612F41">
        <w:rPr>
          <w:b/>
          <w:bCs/>
        </w:rPr>
        <w:lastRenderedPageBreak/>
        <w:t xml:space="preserve">List of </w:t>
      </w:r>
      <w:r w:rsidR="008973DB">
        <w:rPr>
          <w:b/>
          <w:bCs/>
        </w:rPr>
        <w:t>Abbreviations</w:t>
      </w:r>
    </w:p>
    <w:p w:rsidR="008973DB" w:rsidRPr="00C92578" w:rsidRDefault="008973DB" w:rsidP="008973DB">
      <w:pPr>
        <w:rPr>
          <w:b/>
          <w:sz w:val="28"/>
          <w:szCs w:val="28"/>
        </w:rPr>
      </w:pPr>
    </w:p>
    <w:tbl>
      <w:tblPr>
        <w:tblStyle w:val="LightShading1"/>
        <w:tblW w:w="3913" w:type="pct"/>
        <w:tblInd w:w="1368" w:type="dxa"/>
        <w:tblLook w:val="0660"/>
      </w:tblPr>
      <w:tblGrid>
        <w:gridCol w:w="1605"/>
        <w:gridCol w:w="5326"/>
      </w:tblGrid>
      <w:tr w:rsidR="008973DB" w:rsidTr="00E81CFB">
        <w:trPr>
          <w:cnfStyle w:val="100000000000"/>
          <w:trHeight w:val="288"/>
        </w:trPr>
        <w:tc>
          <w:tcPr>
            <w:tcW w:w="1158" w:type="pct"/>
            <w:noWrap/>
          </w:tcPr>
          <w:p w:rsidR="008973DB" w:rsidRPr="00FC1444" w:rsidRDefault="008973DB" w:rsidP="00E81CFB">
            <w:pPr>
              <w:rPr>
                <w:rFonts w:ascii="Times New Roman" w:hAnsi="Times New Roman" w:cs="Times New Roman"/>
              </w:rPr>
            </w:pPr>
            <w:r w:rsidRPr="00FC1444">
              <w:rPr>
                <w:rFonts w:ascii="Times New Roman" w:hAnsi="Times New Roman" w:cs="Times New Roman"/>
              </w:rPr>
              <w:t>Abbreviation</w:t>
            </w:r>
          </w:p>
        </w:tc>
        <w:tc>
          <w:tcPr>
            <w:tcW w:w="3842" w:type="pct"/>
          </w:tcPr>
          <w:p w:rsidR="008973DB" w:rsidRPr="00FC1444" w:rsidRDefault="008973DB" w:rsidP="001701F7">
            <w:pPr>
              <w:rPr>
                <w:rFonts w:ascii="Times New Roman" w:hAnsi="Times New Roman" w:cs="Times New Roman"/>
              </w:rPr>
            </w:pPr>
            <w:r w:rsidRPr="00FC1444">
              <w:rPr>
                <w:rFonts w:ascii="Times New Roman" w:hAnsi="Times New Roman" w:cs="Times New Roman"/>
              </w:rPr>
              <w:t>Definition</w:t>
            </w:r>
          </w:p>
        </w:tc>
      </w:tr>
      <w:tr w:rsidR="00C8461F" w:rsidTr="00E81CFB">
        <w:trPr>
          <w:trHeight w:val="288"/>
        </w:trPr>
        <w:tc>
          <w:tcPr>
            <w:tcW w:w="1158" w:type="pct"/>
            <w:tcBorders>
              <w:top w:val="nil"/>
              <w:bottom w:val="nil"/>
            </w:tcBorders>
            <w:noWrap/>
          </w:tcPr>
          <w:p w:rsidR="00C8461F" w:rsidRPr="00C8461F" w:rsidRDefault="00C8461F" w:rsidP="00E81CFB">
            <w:pPr>
              <w:spacing w:before="40" w:after="40"/>
              <w:ind w:right="-73"/>
              <w:rPr>
                <w:rFonts w:ascii="Times New Roman" w:hAnsi="Times New Roman" w:cs="Times New Roman"/>
              </w:rPr>
            </w:pPr>
            <w:r>
              <w:rPr>
                <w:rFonts w:ascii="Times New Roman" w:hAnsi="Times New Roman" w:cs="Times New Roman"/>
              </w:rPr>
              <w:t>AFROC</w:t>
            </w:r>
          </w:p>
        </w:tc>
        <w:tc>
          <w:tcPr>
            <w:tcW w:w="3842" w:type="pct"/>
            <w:tcBorders>
              <w:top w:val="nil"/>
              <w:bottom w:val="nil"/>
            </w:tcBorders>
          </w:tcPr>
          <w:p w:rsidR="00C8461F" w:rsidRPr="00FC1444" w:rsidRDefault="00C8461F" w:rsidP="00E81CFB">
            <w:pPr>
              <w:pStyle w:val="DecimalAligned"/>
              <w:tabs>
                <w:tab w:val="left" w:pos="0"/>
              </w:tabs>
              <w:spacing w:before="40" w:after="40" w:line="240" w:lineRule="auto"/>
              <w:ind w:right="-73"/>
              <w:rPr>
                <w:rFonts w:ascii="Times New Roman" w:hAnsi="Times New Roman" w:cs="Times New Roman"/>
              </w:rPr>
            </w:pPr>
            <w:r>
              <w:rPr>
                <w:rFonts w:ascii="Times New Roman" w:hAnsi="Times New Roman" w:cs="Times New Roman"/>
              </w:rPr>
              <w:t xml:space="preserve">Alternative </w:t>
            </w:r>
            <w:r w:rsidRPr="00C8461F">
              <w:rPr>
                <w:rFonts w:ascii="Times New Roman" w:hAnsi="Times New Roman" w:cs="Times New Roman"/>
              </w:rPr>
              <w:t>free-response receiver operating characteristic</w:t>
            </w:r>
          </w:p>
        </w:tc>
      </w:tr>
      <w:tr w:rsidR="0074081B" w:rsidTr="00C8461F">
        <w:trPr>
          <w:trHeight w:val="316"/>
        </w:trPr>
        <w:tc>
          <w:tcPr>
            <w:tcW w:w="1158" w:type="pct"/>
            <w:tcBorders>
              <w:top w:val="nil"/>
              <w:bottom w:val="nil"/>
            </w:tcBorders>
            <w:noWrap/>
          </w:tcPr>
          <w:p w:rsidR="0074081B" w:rsidRPr="00FC1444" w:rsidRDefault="0074081B" w:rsidP="008973DB">
            <w:pPr>
              <w:ind w:right="-73"/>
              <w:rPr>
                <w:rFonts w:ascii="Times New Roman" w:hAnsi="Times New Roman" w:cs="Times New Roman"/>
              </w:rPr>
            </w:pPr>
            <w:r w:rsidRPr="00FC1444">
              <w:rPr>
                <w:rFonts w:ascii="Times New Roman" w:hAnsi="Times New Roman" w:cs="Times New Roman"/>
              </w:rPr>
              <w:t>AUC</w:t>
            </w:r>
          </w:p>
        </w:tc>
        <w:tc>
          <w:tcPr>
            <w:tcW w:w="3842" w:type="pct"/>
            <w:tcBorders>
              <w:top w:val="nil"/>
              <w:bottom w:val="nil"/>
            </w:tcBorders>
          </w:tcPr>
          <w:p w:rsidR="0074081B" w:rsidRPr="00FC1444" w:rsidRDefault="0074081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Area under the ROC curve</w:t>
            </w:r>
          </w:p>
        </w:tc>
      </w:tr>
      <w:tr w:rsidR="008973DB" w:rsidTr="00C8461F">
        <w:trPr>
          <w:trHeight w:val="316"/>
        </w:trPr>
        <w:tc>
          <w:tcPr>
            <w:tcW w:w="1158" w:type="pct"/>
            <w:tcBorders>
              <w:top w:val="nil"/>
              <w:bottom w:val="nil"/>
            </w:tcBorders>
            <w:noWrap/>
          </w:tcPr>
          <w:p w:rsidR="008973DB" w:rsidRPr="007B6F95" w:rsidRDefault="008973DB" w:rsidP="008973DB">
            <w:pPr>
              <w:ind w:right="-73"/>
              <w:rPr>
                <w:rFonts w:ascii="Times New Roman" w:hAnsi="Times New Roman" w:cs="Times New Roman"/>
              </w:rPr>
            </w:pPr>
            <w:r w:rsidRPr="007B6F95">
              <w:rPr>
                <w:rFonts w:ascii="Times New Roman" w:hAnsi="Times New Roman" w:cs="Times New Roman"/>
              </w:rPr>
              <w:t>BGO</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Bismuth germanate</w:t>
            </w:r>
          </w:p>
        </w:tc>
      </w:tr>
      <w:tr w:rsidR="007B6F95" w:rsidTr="00C8461F">
        <w:trPr>
          <w:trHeight w:val="316"/>
        </w:trPr>
        <w:tc>
          <w:tcPr>
            <w:tcW w:w="1158" w:type="pct"/>
            <w:tcBorders>
              <w:top w:val="nil"/>
              <w:bottom w:val="nil"/>
            </w:tcBorders>
            <w:noWrap/>
          </w:tcPr>
          <w:p w:rsidR="007B6F95" w:rsidRPr="007B6F95" w:rsidRDefault="007B6F95" w:rsidP="008973DB">
            <w:pPr>
              <w:ind w:right="-73"/>
              <w:rPr>
                <w:rFonts w:ascii="Times New Roman" w:hAnsi="Times New Roman" w:cs="Times New Roman"/>
              </w:rPr>
            </w:pPr>
            <w:r w:rsidRPr="007B6F95">
              <w:rPr>
                <w:rFonts w:ascii="Times New Roman" w:hAnsi="Times New Roman" w:cs="Times New Roman"/>
              </w:rPr>
              <w:t>BMI</w:t>
            </w:r>
          </w:p>
        </w:tc>
        <w:tc>
          <w:tcPr>
            <w:tcW w:w="3842" w:type="pct"/>
            <w:tcBorders>
              <w:top w:val="nil"/>
              <w:bottom w:val="nil"/>
            </w:tcBorders>
          </w:tcPr>
          <w:p w:rsidR="007B6F95" w:rsidRPr="00FC1444" w:rsidRDefault="007B6F95"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Body mass index</w:t>
            </w:r>
          </w:p>
        </w:tc>
      </w:tr>
      <w:tr w:rsidR="008973DB" w:rsidTr="00C8461F">
        <w:trPr>
          <w:trHeight w:val="316"/>
        </w:trPr>
        <w:tc>
          <w:tcPr>
            <w:tcW w:w="1158" w:type="pct"/>
            <w:tcBorders>
              <w:top w:val="nil"/>
              <w:bottom w:val="nil"/>
            </w:tcBorders>
            <w:noWrap/>
          </w:tcPr>
          <w:p w:rsidR="008973DB" w:rsidRPr="007B6F95" w:rsidRDefault="008973DB" w:rsidP="008973DB">
            <w:pPr>
              <w:ind w:right="-73"/>
              <w:rPr>
                <w:rFonts w:ascii="Times New Roman" w:hAnsi="Times New Roman" w:cs="Times New Roman"/>
              </w:rPr>
            </w:pPr>
            <w:r w:rsidRPr="007B6F95">
              <w:rPr>
                <w:rFonts w:ascii="Times New Roman" w:hAnsi="Times New Roman" w:cs="Times New Roman"/>
              </w:rPr>
              <w:t>BKE</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Background known exactly</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CHO</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Channelized Hotelling observer</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CT</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Computed tomography</w:t>
            </w:r>
          </w:p>
        </w:tc>
      </w:tr>
      <w:tr w:rsidR="00366BB7" w:rsidTr="00C8461F">
        <w:trPr>
          <w:trHeight w:val="316"/>
        </w:trPr>
        <w:tc>
          <w:tcPr>
            <w:tcW w:w="1158" w:type="pct"/>
            <w:tcBorders>
              <w:top w:val="nil"/>
              <w:bottom w:val="nil"/>
            </w:tcBorders>
            <w:noWrap/>
          </w:tcPr>
          <w:p w:rsidR="00366BB7" w:rsidRPr="00366BB7" w:rsidRDefault="000C7B27" w:rsidP="008973DB">
            <w:pPr>
              <w:ind w:right="-73"/>
              <w:rPr>
                <w:rFonts w:ascii="Times New Roman" w:hAnsi="Times New Roman" w:cs="Times New Roman"/>
              </w:rPr>
            </w:pPr>
            <w:r>
              <w:rPr>
                <w:rFonts w:ascii="Times New Roman" w:hAnsi="Times New Roman" w:cs="Times New Roman"/>
              </w:rPr>
              <w:t>D</w:t>
            </w:r>
            <w:r w:rsidR="00366BB7">
              <w:rPr>
                <w:rFonts w:ascii="Times New Roman" w:hAnsi="Times New Roman" w:cs="Times New Roman"/>
              </w:rPr>
              <w:t>DOG</w:t>
            </w:r>
          </w:p>
        </w:tc>
        <w:tc>
          <w:tcPr>
            <w:tcW w:w="3842" w:type="pct"/>
            <w:tcBorders>
              <w:top w:val="nil"/>
              <w:bottom w:val="nil"/>
            </w:tcBorders>
          </w:tcPr>
          <w:p w:rsidR="00366BB7" w:rsidRPr="00FC1444" w:rsidRDefault="00A77242"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Dense difference-of-Gaussia</w:t>
            </w:r>
            <w:r w:rsidR="00366BB7">
              <w:rPr>
                <w:rFonts w:ascii="Times New Roman" w:hAnsi="Times New Roman" w:cs="Times New Roman"/>
              </w:rPr>
              <w:t>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DIFT</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Direct inverse Fourier transform</w:t>
            </w:r>
          </w:p>
        </w:tc>
      </w:tr>
      <w:tr w:rsidR="003A1963" w:rsidTr="00C8461F">
        <w:trPr>
          <w:trHeight w:val="316"/>
        </w:trPr>
        <w:tc>
          <w:tcPr>
            <w:tcW w:w="1158" w:type="pct"/>
            <w:tcBorders>
              <w:top w:val="nil"/>
              <w:bottom w:val="nil"/>
            </w:tcBorders>
            <w:noWrap/>
          </w:tcPr>
          <w:p w:rsidR="003A1963" w:rsidRPr="003A1963" w:rsidRDefault="003A1963" w:rsidP="008973DB">
            <w:pPr>
              <w:ind w:right="-73"/>
              <w:rPr>
                <w:rFonts w:ascii="Times New Roman" w:hAnsi="Times New Roman" w:cs="Times New Roman"/>
              </w:rPr>
            </w:pPr>
            <w:r>
              <w:rPr>
                <w:rFonts w:ascii="Times New Roman" w:hAnsi="Times New Roman" w:cs="Times New Roman"/>
              </w:rPr>
              <w:t>DOG</w:t>
            </w:r>
          </w:p>
        </w:tc>
        <w:tc>
          <w:tcPr>
            <w:tcW w:w="3842" w:type="pct"/>
            <w:tcBorders>
              <w:top w:val="nil"/>
              <w:bottom w:val="nil"/>
            </w:tcBorders>
          </w:tcPr>
          <w:p w:rsidR="003A1963" w:rsidRPr="00FC1444" w:rsidRDefault="003A1963"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Difference-of-Gaussian</w:t>
            </w:r>
          </w:p>
        </w:tc>
      </w:tr>
      <w:tr w:rsidR="00226BE2" w:rsidTr="00C8461F">
        <w:trPr>
          <w:trHeight w:val="316"/>
        </w:trPr>
        <w:tc>
          <w:tcPr>
            <w:tcW w:w="1158" w:type="pct"/>
            <w:tcBorders>
              <w:top w:val="nil"/>
              <w:bottom w:val="nil"/>
            </w:tcBorders>
            <w:noWrap/>
          </w:tcPr>
          <w:p w:rsidR="00226BE2" w:rsidRPr="00226BE2" w:rsidRDefault="00226BE2" w:rsidP="008973DB">
            <w:pPr>
              <w:ind w:right="-73"/>
              <w:rPr>
                <w:rFonts w:ascii="Times New Roman" w:hAnsi="Times New Roman" w:cs="Times New Roman"/>
              </w:rPr>
            </w:pPr>
            <w:r>
              <w:rPr>
                <w:rFonts w:ascii="Times New Roman" w:hAnsi="Times New Roman" w:cs="Times New Roman"/>
              </w:rPr>
              <w:t>DWS</w:t>
            </w:r>
          </w:p>
        </w:tc>
        <w:tc>
          <w:tcPr>
            <w:tcW w:w="3842" w:type="pct"/>
            <w:tcBorders>
              <w:top w:val="nil"/>
              <w:bottom w:val="nil"/>
            </w:tcBorders>
          </w:tcPr>
          <w:p w:rsidR="00226BE2" w:rsidRPr="00FC1444" w:rsidRDefault="00226BE2"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Delayed-window subtraction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EM</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Expectation maximization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eastAsia="Helvetica" w:hAnsi="Times New Roman" w:cs="Times New Roman"/>
                <w:color w:val="000000"/>
                <w:vertAlign w:val="superscript"/>
                <w:lang w:eastAsia="ar-SA"/>
              </w:rPr>
              <w:t>18</w:t>
            </w:r>
            <w:r w:rsidRPr="00FC1444">
              <w:rPr>
                <w:rFonts w:ascii="Times New Roman" w:eastAsia="Helvetica" w:hAnsi="Times New Roman" w:cs="Times New Roman"/>
                <w:color w:val="000000"/>
                <w:lang w:eastAsia="ar-SA"/>
              </w:rPr>
              <w:t>F-FDG</w:t>
            </w:r>
          </w:p>
        </w:tc>
        <w:tc>
          <w:tcPr>
            <w:tcW w:w="3842" w:type="pct"/>
            <w:tcBorders>
              <w:top w:val="nil"/>
              <w:bottom w:val="nil"/>
            </w:tcBorders>
          </w:tcPr>
          <w:p w:rsidR="008973DB" w:rsidRPr="00FC1444" w:rsidRDefault="008973DB" w:rsidP="008973DB">
            <w:pPr>
              <w:pStyle w:val="DecimalAligned"/>
              <w:tabs>
                <w:tab w:val="clear" w:pos="360"/>
                <w:tab w:val="left" w:pos="0"/>
                <w:tab w:val="decimal" w:pos="37"/>
              </w:tabs>
              <w:spacing w:after="0" w:line="240" w:lineRule="auto"/>
              <w:ind w:right="-73"/>
              <w:rPr>
                <w:rFonts w:ascii="Times New Roman" w:hAnsi="Times New Roman" w:cs="Times New Roman"/>
              </w:rPr>
            </w:pPr>
            <w:r w:rsidRPr="00FC1444">
              <w:rPr>
                <w:rFonts w:ascii="Times New Roman" w:eastAsia="Helvetica" w:hAnsi="Times New Roman" w:cs="Times New Roman"/>
                <w:color w:val="000000"/>
                <w:lang w:eastAsia="ar-SA"/>
              </w:rPr>
              <w:t>2-deoxy-2-(</w:t>
            </w:r>
            <w:r w:rsidRPr="00FC1444">
              <w:rPr>
                <w:rFonts w:ascii="Times New Roman" w:eastAsia="Helvetica" w:hAnsi="Times New Roman" w:cs="Times New Roman"/>
                <w:color w:val="000000"/>
                <w:vertAlign w:val="superscript"/>
                <w:lang w:eastAsia="ar-SA"/>
              </w:rPr>
              <w:t>18</w:t>
            </w:r>
            <w:r w:rsidRPr="00FC1444">
              <w:rPr>
                <w:rFonts w:ascii="Times New Roman" w:eastAsia="Helvetica" w:hAnsi="Times New Roman" w:cs="Times New Roman"/>
                <w:color w:val="000000"/>
                <w:lang w:eastAsia="ar-SA"/>
              </w:rPr>
              <w:t>F)fluoro-D-glucose</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FBP</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Filtered backprojection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FORE</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Fourier rebinning</w:t>
            </w:r>
          </w:p>
        </w:tc>
      </w:tr>
      <w:tr w:rsidR="008973DB" w:rsidTr="00C8461F">
        <w:trPr>
          <w:trHeight w:val="343"/>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FOV</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Field of view</w:t>
            </w:r>
          </w:p>
        </w:tc>
      </w:tr>
      <w:tr w:rsidR="00C8461F" w:rsidTr="00C8461F">
        <w:trPr>
          <w:trHeight w:val="316"/>
        </w:trPr>
        <w:tc>
          <w:tcPr>
            <w:tcW w:w="1158" w:type="pct"/>
            <w:tcBorders>
              <w:top w:val="nil"/>
              <w:bottom w:val="nil"/>
            </w:tcBorders>
            <w:noWrap/>
          </w:tcPr>
          <w:p w:rsidR="00C8461F" w:rsidRPr="00C8461F" w:rsidRDefault="00C8461F" w:rsidP="008973DB">
            <w:pPr>
              <w:ind w:right="-73"/>
              <w:rPr>
                <w:rFonts w:ascii="Times New Roman" w:hAnsi="Times New Roman" w:cs="Times New Roman"/>
              </w:rPr>
            </w:pPr>
            <w:r w:rsidRPr="00C8461F">
              <w:rPr>
                <w:rFonts w:ascii="Times New Roman" w:hAnsi="Times New Roman" w:cs="Times New Roman"/>
              </w:rPr>
              <w:t>FROC</w:t>
            </w:r>
          </w:p>
        </w:tc>
        <w:tc>
          <w:tcPr>
            <w:tcW w:w="3842" w:type="pct"/>
            <w:tcBorders>
              <w:top w:val="nil"/>
              <w:bottom w:val="nil"/>
            </w:tcBorders>
          </w:tcPr>
          <w:p w:rsidR="00C8461F" w:rsidRPr="00FC1444" w:rsidRDefault="00C8461F" w:rsidP="008973DB">
            <w:pPr>
              <w:pStyle w:val="DecimalAligned"/>
              <w:tabs>
                <w:tab w:val="clear" w:pos="360"/>
                <w:tab w:val="left" w:pos="0"/>
                <w:tab w:val="decimal" w:pos="37"/>
              </w:tabs>
              <w:spacing w:after="0" w:line="240" w:lineRule="auto"/>
              <w:ind w:right="-73"/>
              <w:rPr>
                <w:rFonts w:ascii="Times New Roman" w:hAnsi="Times New Roman" w:cs="Times New Roman"/>
              </w:rPr>
            </w:pPr>
            <w:r>
              <w:rPr>
                <w:rFonts w:ascii="Times New Roman" w:hAnsi="Times New Roman" w:cs="Times New Roman"/>
              </w:rPr>
              <w:t>F</w:t>
            </w:r>
            <w:r w:rsidRPr="00C8461F">
              <w:rPr>
                <w:rFonts w:ascii="Times New Roman" w:hAnsi="Times New Roman" w:cs="Times New Roman"/>
              </w:rPr>
              <w:t>ree-response receiver operating characteristic</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FWHM</w:t>
            </w:r>
          </w:p>
        </w:tc>
        <w:tc>
          <w:tcPr>
            <w:tcW w:w="3842" w:type="pct"/>
            <w:tcBorders>
              <w:top w:val="nil"/>
              <w:bottom w:val="nil"/>
            </w:tcBorders>
          </w:tcPr>
          <w:p w:rsidR="008973DB" w:rsidRPr="00FC1444" w:rsidRDefault="008973DB" w:rsidP="008973DB">
            <w:pPr>
              <w:pStyle w:val="DecimalAligned"/>
              <w:tabs>
                <w:tab w:val="clear" w:pos="360"/>
                <w:tab w:val="left" w:pos="0"/>
                <w:tab w:val="decimal" w:pos="37"/>
              </w:tabs>
              <w:spacing w:after="0" w:line="240" w:lineRule="auto"/>
              <w:ind w:right="-73"/>
              <w:rPr>
                <w:rFonts w:ascii="Times New Roman" w:hAnsi="Times New Roman" w:cs="Times New Roman"/>
              </w:rPr>
            </w:pPr>
            <w:r w:rsidRPr="00FC1444">
              <w:rPr>
                <w:rFonts w:ascii="Times New Roman" w:hAnsi="Times New Roman" w:cs="Times New Roman"/>
              </w:rPr>
              <w:t>Full width at half maximum</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LLD</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Lower-level energy discriminator</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LOR</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Line of response</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LROC</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Localization receiver operating characteristic</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LSO</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Cerium-doped lutetium oxyorthosilicate</w:t>
            </w:r>
          </w:p>
        </w:tc>
      </w:tr>
      <w:tr w:rsidR="00080CA3" w:rsidTr="00C8461F">
        <w:trPr>
          <w:trHeight w:val="316"/>
        </w:trPr>
        <w:tc>
          <w:tcPr>
            <w:tcW w:w="1158" w:type="pct"/>
            <w:tcBorders>
              <w:top w:val="nil"/>
              <w:bottom w:val="nil"/>
            </w:tcBorders>
            <w:noWrap/>
          </w:tcPr>
          <w:p w:rsidR="00080CA3" w:rsidRPr="00080CA3" w:rsidRDefault="00080CA3" w:rsidP="008973DB">
            <w:pPr>
              <w:ind w:right="-73"/>
              <w:rPr>
                <w:rFonts w:ascii="Times New Roman" w:hAnsi="Times New Roman" w:cs="Times New Roman"/>
              </w:rPr>
            </w:pPr>
            <w:r>
              <w:rPr>
                <w:rFonts w:ascii="Times New Roman" w:hAnsi="Times New Roman" w:cs="Times New Roman"/>
              </w:rPr>
              <w:t>MGH</w:t>
            </w:r>
          </w:p>
        </w:tc>
        <w:tc>
          <w:tcPr>
            <w:tcW w:w="3842" w:type="pct"/>
            <w:tcBorders>
              <w:top w:val="nil"/>
              <w:bottom w:val="nil"/>
            </w:tcBorders>
          </w:tcPr>
          <w:p w:rsidR="00080CA3" w:rsidRPr="00FC1444" w:rsidRDefault="00080CA3"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Massachusetts General Hospital</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MLEM</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Maximum-likelihood expectation-</w:t>
            </w:r>
            <w:r w:rsidR="001E32F1" w:rsidRPr="00FC1444">
              <w:rPr>
                <w:rFonts w:ascii="Times New Roman" w:hAnsi="Times New Roman" w:cs="Times New Roman"/>
              </w:rPr>
              <w:t>maximization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MRI</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Magnetic resonance imaging</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NEC</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Noise-equivalent count rate</w:t>
            </w:r>
          </w:p>
        </w:tc>
      </w:tr>
      <w:tr w:rsidR="008973DB" w:rsidTr="00C8461F">
        <w:trPr>
          <w:trHeight w:val="343"/>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NPWMF</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Non-prewhitening matched filter</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OP</w:t>
            </w:r>
          </w:p>
        </w:tc>
        <w:tc>
          <w:tcPr>
            <w:tcW w:w="3842" w:type="pct"/>
            <w:tcBorders>
              <w:top w:val="nil"/>
              <w:bottom w:val="nil"/>
            </w:tcBorders>
          </w:tcPr>
          <w:p w:rsidR="008973DB" w:rsidRPr="00FC1444" w:rsidRDefault="007D73BB"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Or</w:t>
            </w:r>
            <w:r w:rsidR="008973DB" w:rsidRPr="00FC1444">
              <w:rPr>
                <w:rFonts w:ascii="Times New Roman" w:hAnsi="Times New Roman" w:cs="Times New Roman"/>
              </w:rPr>
              <w:t>dinary Poisson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OSEM</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Ordered subset expectation-</w:t>
            </w:r>
            <w:r w:rsidR="001E32F1" w:rsidRPr="00FC1444">
              <w:rPr>
                <w:rFonts w:ascii="Times New Roman" w:hAnsi="Times New Roman" w:cs="Times New Roman"/>
              </w:rPr>
              <w:t>maximization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PET</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Positron emission tomography</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PMT</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Photomultiplier tube</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PSF</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Point spread function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PWMF</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Prewhitening matched filter</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ROI</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Region of interest</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ROC</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Receiver operating characteristic</w:t>
            </w:r>
          </w:p>
        </w:tc>
      </w:tr>
      <w:tr w:rsidR="003A1963" w:rsidTr="00C8461F">
        <w:trPr>
          <w:trHeight w:val="316"/>
        </w:trPr>
        <w:tc>
          <w:tcPr>
            <w:tcW w:w="1158" w:type="pct"/>
            <w:tcBorders>
              <w:top w:val="nil"/>
              <w:bottom w:val="nil"/>
            </w:tcBorders>
            <w:noWrap/>
          </w:tcPr>
          <w:p w:rsidR="003A1963" w:rsidRPr="003A1963" w:rsidRDefault="000C7B27" w:rsidP="008973DB">
            <w:pPr>
              <w:ind w:right="-73"/>
              <w:rPr>
                <w:rFonts w:ascii="Times New Roman" w:hAnsi="Times New Roman" w:cs="Times New Roman"/>
              </w:rPr>
            </w:pPr>
            <w:r>
              <w:rPr>
                <w:rFonts w:ascii="Times New Roman" w:hAnsi="Times New Roman" w:cs="Times New Roman"/>
              </w:rPr>
              <w:t>S</w:t>
            </w:r>
            <w:r w:rsidR="003A1963">
              <w:rPr>
                <w:rFonts w:ascii="Times New Roman" w:hAnsi="Times New Roman" w:cs="Times New Roman"/>
              </w:rPr>
              <w:t>DOG</w:t>
            </w:r>
          </w:p>
        </w:tc>
        <w:tc>
          <w:tcPr>
            <w:tcW w:w="3842" w:type="pct"/>
            <w:tcBorders>
              <w:top w:val="nil"/>
              <w:bottom w:val="nil"/>
            </w:tcBorders>
          </w:tcPr>
          <w:p w:rsidR="003A1963" w:rsidRPr="00FC1444" w:rsidRDefault="003A1963"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Sparse difference-of-Gaussian</w:t>
            </w:r>
          </w:p>
        </w:tc>
      </w:tr>
      <w:tr w:rsidR="008973DB" w:rsidTr="00C8461F">
        <w:trPr>
          <w:trHeight w:val="316"/>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lastRenderedPageBreak/>
              <w:t>SKE</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Signal-known-exactly</w:t>
            </w:r>
          </w:p>
        </w:tc>
      </w:tr>
      <w:tr w:rsidR="00FC1444" w:rsidTr="00C8461F">
        <w:trPr>
          <w:trHeight w:val="316"/>
        </w:trPr>
        <w:tc>
          <w:tcPr>
            <w:tcW w:w="1158" w:type="pct"/>
            <w:tcBorders>
              <w:top w:val="nil"/>
              <w:bottom w:val="nil"/>
            </w:tcBorders>
            <w:noWrap/>
          </w:tcPr>
          <w:p w:rsidR="00FC1444" w:rsidRPr="00FC1444" w:rsidRDefault="00FC1444" w:rsidP="008973DB">
            <w:pPr>
              <w:ind w:right="-73"/>
              <w:rPr>
                <w:rFonts w:ascii="Times New Roman" w:hAnsi="Times New Roman" w:cs="Times New Roman"/>
              </w:rPr>
            </w:pPr>
            <w:r w:rsidRPr="00FC1444">
              <w:rPr>
                <w:rFonts w:ascii="Times New Roman" w:hAnsi="Times New Roman" w:cs="Times New Roman"/>
              </w:rPr>
              <w:t>SKS</w:t>
            </w:r>
          </w:p>
        </w:tc>
        <w:tc>
          <w:tcPr>
            <w:tcW w:w="3842" w:type="pct"/>
            <w:tcBorders>
              <w:top w:val="nil"/>
              <w:bottom w:val="nil"/>
            </w:tcBorders>
          </w:tcPr>
          <w:p w:rsidR="00FC1444" w:rsidRPr="00FC1444" w:rsidRDefault="00FC1444" w:rsidP="008973DB">
            <w:pPr>
              <w:pStyle w:val="DecimalAligned"/>
              <w:tabs>
                <w:tab w:val="left" w:pos="0"/>
              </w:tabs>
              <w:spacing w:after="0" w:line="240" w:lineRule="auto"/>
              <w:ind w:right="-73"/>
              <w:rPr>
                <w:rFonts w:ascii="Times New Roman" w:hAnsi="Times New Roman" w:cs="Times New Roman"/>
              </w:rPr>
            </w:pPr>
            <w:r>
              <w:rPr>
                <w:rFonts w:ascii="Times New Roman" w:hAnsi="Times New Roman" w:cs="Times New Roman"/>
              </w:rPr>
              <w:t xml:space="preserve">Signal-known-statistically </w:t>
            </w:r>
          </w:p>
        </w:tc>
      </w:tr>
      <w:tr w:rsidR="008973DB" w:rsidTr="00C8461F">
        <w:trPr>
          <w:trHeight w:val="343"/>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SNR</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Signal-to-noise ratio</w:t>
            </w:r>
          </w:p>
        </w:tc>
      </w:tr>
      <w:tr w:rsidR="008973DB" w:rsidTr="00C8461F">
        <w:trPr>
          <w:trHeight w:val="343"/>
        </w:trPr>
        <w:tc>
          <w:tcPr>
            <w:tcW w:w="1158" w:type="pct"/>
            <w:tcBorders>
              <w:top w:val="nil"/>
              <w:bottom w:val="nil"/>
            </w:tcBorders>
            <w:noWrap/>
          </w:tcPr>
          <w:p w:rsidR="008973DB" w:rsidRPr="00FC1444" w:rsidRDefault="008973DB" w:rsidP="008973DB">
            <w:pPr>
              <w:ind w:right="-73"/>
              <w:rPr>
                <w:rFonts w:ascii="Times New Roman" w:hAnsi="Times New Roman" w:cs="Times New Roman"/>
              </w:rPr>
            </w:pPr>
            <w:r w:rsidRPr="00FC1444">
              <w:rPr>
                <w:rFonts w:ascii="Times New Roman" w:hAnsi="Times New Roman" w:cs="Times New Roman"/>
              </w:rPr>
              <w:t>SSS</w:t>
            </w:r>
          </w:p>
        </w:tc>
        <w:tc>
          <w:tcPr>
            <w:tcW w:w="3842" w:type="pct"/>
            <w:tcBorders>
              <w:top w:val="nil"/>
              <w:bottom w:val="nil"/>
            </w:tcBorders>
          </w:tcPr>
          <w:p w:rsidR="008973DB" w:rsidRPr="00FC1444" w:rsidRDefault="008973DB" w:rsidP="008973DB">
            <w:pPr>
              <w:pStyle w:val="DecimalAligned"/>
              <w:tabs>
                <w:tab w:val="left" w:pos="0"/>
              </w:tabs>
              <w:spacing w:after="0" w:line="240" w:lineRule="auto"/>
              <w:ind w:right="-73"/>
              <w:rPr>
                <w:rFonts w:ascii="Times New Roman" w:hAnsi="Times New Roman" w:cs="Times New Roman"/>
              </w:rPr>
            </w:pPr>
            <w:r w:rsidRPr="00FC1444">
              <w:rPr>
                <w:rFonts w:ascii="Times New Roman" w:hAnsi="Times New Roman" w:cs="Times New Roman"/>
              </w:rPr>
              <w:t>Single scatter simulation</w:t>
            </w:r>
          </w:p>
        </w:tc>
      </w:tr>
      <w:tr w:rsidR="008973DB" w:rsidTr="00C8461F">
        <w:trPr>
          <w:trHeight w:val="316"/>
        </w:trPr>
        <w:tc>
          <w:tcPr>
            <w:tcW w:w="1158" w:type="pct"/>
            <w:tcBorders>
              <w:top w:val="nil"/>
              <w:bottom w:val="nil"/>
            </w:tcBorders>
            <w:noWrap/>
          </w:tcPr>
          <w:p w:rsidR="008973DB" w:rsidRPr="00312E94" w:rsidRDefault="008973DB" w:rsidP="008973DB">
            <w:pPr>
              <w:ind w:right="-73"/>
              <w:rPr>
                <w:rFonts w:ascii="Times New Roman" w:hAnsi="Times New Roman" w:cs="Times New Roman"/>
              </w:rPr>
            </w:pPr>
            <w:r w:rsidRPr="00312E94">
              <w:rPr>
                <w:rFonts w:ascii="Times New Roman" w:hAnsi="Times New Roman" w:cs="Times New Roman"/>
              </w:rPr>
              <w:t>SUV</w:t>
            </w:r>
          </w:p>
        </w:tc>
        <w:tc>
          <w:tcPr>
            <w:tcW w:w="3842" w:type="pct"/>
            <w:tcBorders>
              <w:top w:val="nil"/>
              <w:bottom w:val="nil"/>
            </w:tcBorders>
          </w:tcPr>
          <w:p w:rsidR="008973DB" w:rsidRPr="00312E94" w:rsidRDefault="008973DB" w:rsidP="008973DB">
            <w:pPr>
              <w:pStyle w:val="DecimalAligned"/>
              <w:tabs>
                <w:tab w:val="left" w:pos="0"/>
              </w:tabs>
              <w:spacing w:after="0" w:line="240" w:lineRule="auto"/>
              <w:ind w:right="-73"/>
              <w:rPr>
                <w:rFonts w:ascii="Times New Roman" w:hAnsi="Times New Roman" w:cs="Times New Roman"/>
              </w:rPr>
            </w:pPr>
            <w:r w:rsidRPr="00312E94">
              <w:rPr>
                <w:rFonts w:ascii="Times New Roman" w:hAnsi="Times New Roman" w:cs="Times New Roman"/>
              </w:rPr>
              <w:t>Standard uptake value</w:t>
            </w:r>
          </w:p>
        </w:tc>
      </w:tr>
      <w:tr w:rsidR="008973DB" w:rsidTr="00C8461F">
        <w:trPr>
          <w:trHeight w:val="343"/>
        </w:trPr>
        <w:tc>
          <w:tcPr>
            <w:tcW w:w="1158" w:type="pct"/>
            <w:tcBorders>
              <w:top w:val="nil"/>
              <w:bottom w:val="nil"/>
            </w:tcBorders>
            <w:noWrap/>
          </w:tcPr>
          <w:p w:rsidR="008973DB" w:rsidRPr="00312E94" w:rsidRDefault="008973DB" w:rsidP="008973DB">
            <w:pPr>
              <w:ind w:right="-73"/>
              <w:rPr>
                <w:rFonts w:ascii="Times New Roman" w:hAnsi="Times New Roman" w:cs="Times New Roman"/>
              </w:rPr>
            </w:pPr>
            <w:r w:rsidRPr="00312E94">
              <w:rPr>
                <w:rFonts w:ascii="Times New Roman" w:hAnsi="Times New Roman" w:cs="Times New Roman"/>
              </w:rPr>
              <w:t>TOF</w:t>
            </w:r>
          </w:p>
        </w:tc>
        <w:tc>
          <w:tcPr>
            <w:tcW w:w="3842" w:type="pct"/>
            <w:tcBorders>
              <w:top w:val="nil"/>
              <w:bottom w:val="nil"/>
            </w:tcBorders>
          </w:tcPr>
          <w:p w:rsidR="008973DB" w:rsidRPr="00312E94" w:rsidRDefault="008973DB" w:rsidP="008973DB">
            <w:pPr>
              <w:pStyle w:val="DecimalAligned"/>
              <w:tabs>
                <w:tab w:val="left" w:pos="0"/>
              </w:tabs>
              <w:spacing w:after="0" w:line="240" w:lineRule="auto"/>
              <w:ind w:right="-73"/>
              <w:rPr>
                <w:rFonts w:ascii="Times New Roman" w:hAnsi="Times New Roman" w:cs="Times New Roman"/>
              </w:rPr>
            </w:pPr>
            <w:r w:rsidRPr="00312E94">
              <w:rPr>
                <w:rFonts w:ascii="Times New Roman" w:hAnsi="Times New Roman" w:cs="Times New Roman"/>
              </w:rPr>
              <w:t>Time-of-flight</w:t>
            </w:r>
          </w:p>
        </w:tc>
      </w:tr>
      <w:tr w:rsidR="00312E94" w:rsidTr="00C8461F">
        <w:trPr>
          <w:cnfStyle w:val="010000000000"/>
          <w:trHeight w:val="343"/>
        </w:trPr>
        <w:tc>
          <w:tcPr>
            <w:tcW w:w="1158" w:type="pct"/>
            <w:tcBorders>
              <w:top w:val="nil"/>
            </w:tcBorders>
            <w:noWrap/>
          </w:tcPr>
          <w:p w:rsidR="00312E94" w:rsidRPr="00312E94" w:rsidRDefault="00312E94" w:rsidP="008973DB">
            <w:pPr>
              <w:ind w:right="-73"/>
              <w:rPr>
                <w:rFonts w:ascii="Times New Roman" w:hAnsi="Times New Roman" w:cs="Times New Roman"/>
                <w:b w:val="0"/>
              </w:rPr>
            </w:pPr>
            <w:r w:rsidRPr="00312E94">
              <w:rPr>
                <w:rFonts w:ascii="Times New Roman" w:hAnsi="Times New Roman" w:cs="Times New Roman"/>
                <w:b w:val="0"/>
              </w:rPr>
              <w:t>WB</w:t>
            </w:r>
          </w:p>
        </w:tc>
        <w:tc>
          <w:tcPr>
            <w:tcW w:w="3842" w:type="pct"/>
            <w:tcBorders>
              <w:top w:val="nil"/>
            </w:tcBorders>
          </w:tcPr>
          <w:p w:rsidR="00312E94" w:rsidRPr="00FC1444" w:rsidRDefault="00312E94" w:rsidP="008973DB">
            <w:pPr>
              <w:pStyle w:val="DecimalAligned"/>
              <w:tabs>
                <w:tab w:val="left" w:pos="0"/>
              </w:tabs>
              <w:spacing w:after="0" w:line="240" w:lineRule="auto"/>
              <w:ind w:right="-73"/>
              <w:rPr>
                <w:rFonts w:ascii="Times New Roman" w:hAnsi="Times New Roman" w:cs="Times New Roman"/>
                <w:b w:val="0"/>
              </w:rPr>
            </w:pPr>
            <w:r>
              <w:rPr>
                <w:rFonts w:ascii="Times New Roman" w:hAnsi="Times New Roman" w:cs="Times New Roman"/>
                <w:b w:val="0"/>
              </w:rPr>
              <w:t>Whole body</w:t>
            </w:r>
          </w:p>
        </w:tc>
      </w:tr>
    </w:tbl>
    <w:p w:rsidR="008973DB" w:rsidRDefault="008973DB" w:rsidP="008973DB">
      <w:pPr>
        <w:autoSpaceDE w:val="0"/>
        <w:autoSpaceDN w:val="0"/>
        <w:adjustRightInd w:val="0"/>
        <w:rPr>
          <w:rFonts w:ascii="CMBX12" w:hAnsi="CMBX12" w:cs="CMBX12"/>
          <w:sz w:val="50"/>
          <w:szCs w:val="50"/>
        </w:rPr>
      </w:pPr>
    </w:p>
    <w:p w:rsidR="008973DB" w:rsidRPr="003553CD" w:rsidRDefault="008973DB" w:rsidP="008973DB">
      <w:pPr>
        <w:pStyle w:val="ListParagraph"/>
        <w:numPr>
          <w:ilvl w:val="0"/>
          <w:numId w:val="12"/>
        </w:numPr>
        <w:rPr>
          <w:rFonts w:ascii="Helvetica" w:eastAsia="Times New Roman" w:hAnsi="Helvetica"/>
          <w:b/>
          <w:bCs/>
          <w:lang w:val="en-GB" w:eastAsia="ar-SA"/>
        </w:rPr>
      </w:pPr>
      <w:r w:rsidRPr="003553CD">
        <w:rPr>
          <w:rFonts w:ascii="Helvetica" w:eastAsia="Times New Roman" w:hAnsi="Helvetica"/>
          <w:b/>
          <w:bCs/>
          <w:lang w:val="en-GB" w:eastAsia="ar-SA"/>
        </w:rPr>
        <w:br w:type="page"/>
      </w:r>
    </w:p>
    <w:p w:rsidR="008973DB" w:rsidRPr="00F920F6" w:rsidRDefault="008973DB" w:rsidP="008973DB">
      <w:pPr>
        <w:numPr>
          <w:ilvl w:val="12"/>
          <w:numId w:val="0"/>
        </w:numPr>
        <w:sectPr w:rsidR="008973DB" w:rsidRPr="00F920F6" w:rsidSect="00CE4608">
          <w:headerReference w:type="even" r:id="rId7"/>
          <w:headerReference w:type="default" r:id="rId8"/>
          <w:pgSz w:w="12240" w:h="15840" w:code="1"/>
          <w:pgMar w:top="2016" w:right="1800" w:bottom="1440" w:left="1800" w:header="1440" w:footer="1440" w:gutter="0"/>
          <w:pgNumType w:fmt="lowerRoman" w:start="1"/>
          <w:cols w:space="720"/>
          <w:noEndnote/>
          <w:titlePg/>
        </w:sectPr>
      </w:pPr>
    </w:p>
    <w:p w:rsidR="00236E6D" w:rsidRPr="00F920F6" w:rsidRDefault="00D067C3" w:rsidP="005E4C89">
      <w:pPr>
        <w:pStyle w:val="Heading1"/>
      </w:pPr>
      <w:bookmarkStart w:id="0" w:name="_Toc351889981"/>
      <w:r w:rsidRPr="00F920F6">
        <w:lastRenderedPageBreak/>
        <w:t xml:space="preserve">Chapter </w:t>
      </w:r>
      <w:r>
        <w:t>1</w:t>
      </w:r>
      <w:r w:rsidR="00C95439">
        <w:br/>
      </w:r>
      <w:r w:rsidR="004F7684">
        <w:t>PET Background</w:t>
      </w:r>
      <w:r w:rsidR="009B6816">
        <w:fldChar w:fldCharType="begin"/>
      </w:r>
      <w:r w:rsidR="003B3D6F">
        <w:instrText xml:space="preserve"> MACROBUTTON RemoveChapterIncreaseMark \* MERGEFORMAT </w:instrText>
      </w:r>
      <w:r w:rsidR="009B6816">
        <w:fldChar w:fldCharType="begin"/>
      </w:r>
      <w:r w:rsidR="003B3D6F">
        <w:instrText xml:space="preserve"> SEQ EqnChapter \n \h \* MERGEFORMAT </w:instrText>
      </w:r>
      <w:r w:rsidR="009B6816">
        <w:fldChar w:fldCharType="end"/>
      </w:r>
      <w:r w:rsidR="009B6816">
        <w:fldChar w:fldCharType="begin"/>
      </w:r>
      <w:r w:rsidR="003B3D6F">
        <w:instrText xml:space="preserve"> SEQ EquationNumber \r0 \h \* MERGEFORMAT </w:instrText>
      </w:r>
      <w:r w:rsidR="009B6816">
        <w:fldChar w:fldCharType="end"/>
      </w:r>
      <w:r w:rsidR="009B6816">
        <w:fldChar w:fldCharType="begin"/>
      </w:r>
      <w:r w:rsidR="003B3D6F">
        <w:instrText xml:space="preserve"> SEQ TheoremNumber \r0 \h \* MERGEFORMAT </w:instrText>
      </w:r>
      <w:r w:rsidR="009B6816">
        <w:fldChar w:fldCharType="end"/>
      </w:r>
      <w:r w:rsidR="003B3D6F" w:rsidRPr="003B3D6F">
        <w:rPr>
          <w:vanish/>
        </w:rPr>
        <w:sym w:font="Wingdings" w:char="F0F6"/>
      </w:r>
      <w:r w:rsidR="009B6816">
        <w:fldChar w:fldCharType="end"/>
      </w:r>
      <w:bookmarkEnd w:id="0"/>
    </w:p>
    <w:p w:rsidR="00236E6D" w:rsidRPr="00F920F6" w:rsidRDefault="004F7684" w:rsidP="00D067C3">
      <w:pPr>
        <w:pStyle w:val="Heading2"/>
      </w:pPr>
      <w:bookmarkStart w:id="1" w:name="_Toc351889982"/>
      <w:r>
        <w:t>Introduction</w:t>
      </w:r>
      <w:bookmarkEnd w:id="1"/>
    </w:p>
    <w:p w:rsidR="004F7684" w:rsidRPr="004F7684" w:rsidRDefault="004F7684" w:rsidP="004F7684">
      <w:pPr>
        <w:numPr>
          <w:ilvl w:val="12"/>
          <w:numId w:val="0"/>
        </w:numPr>
        <w:spacing w:line="480" w:lineRule="auto"/>
        <w:ind w:firstLine="720"/>
      </w:pPr>
      <w:r w:rsidRPr="004F7684">
        <w:t xml:space="preserve">Medical imaging exists for the noninvasive, </w:t>
      </w:r>
      <w:r w:rsidRPr="004F7684">
        <w:rPr>
          <w:i/>
        </w:rPr>
        <w:t>in vivo</w:t>
      </w:r>
      <w:r w:rsidRPr="004F7684">
        <w:t xml:space="preserve"> study of disease in the body.  Modalities such as computed tomography (CT) and magnetic resonance imaging (MRI) do this by providing information about patient anatomy, so physicians can identify physical abnormalities in the tissue morphology.  In contrast, molecular imaging modalities like positron emission tomography (PET) do not describe the anatomy directly, but rather track specific biological processes.  This enables the investigation of bodily function, allowing the identification of abnormalities in tissue physiology.</w:t>
      </w:r>
    </w:p>
    <w:p w:rsidR="004F7684" w:rsidRPr="00F920F6" w:rsidRDefault="004F7684" w:rsidP="004F7684">
      <w:pPr>
        <w:numPr>
          <w:ilvl w:val="12"/>
          <w:numId w:val="0"/>
        </w:numPr>
        <w:spacing w:line="480" w:lineRule="auto"/>
        <w:ind w:firstLine="720"/>
      </w:pPr>
      <w:r w:rsidRPr="004F7684">
        <w:t>Central to molecular imaging is the molecule, or more specifically, the radiopharmaceutical</w:t>
      </w:r>
      <w:r w:rsidR="006B627F">
        <w:t xml:space="preserve"> (radio-labeled tracer)</w:t>
      </w:r>
      <w:r w:rsidRPr="004F7684">
        <w:t xml:space="preserve">. </w:t>
      </w:r>
      <w:r w:rsidR="006B627F">
        <w:t xml:space="preserve">The tracer is injected into the subject, where it then distributes itself, following a </w:t>
      </w:r>
      <w:r w:rsidR="00CE1A94">
        <w:t>certain pathway</w:t>
      </w:r>
      <w:r w:rsidR="006B627F">
        <w:t xml:space="preserve">.  </w:t>
      </w:r>
      <w:r w:rsidRPr="004F7684">
        <w:t>PET is used in the clinic to study many processes including blood flow, tissue perfusion, neurological function, cellular proliferation, and tumor metabolism, and each application uses a unique radiotracer that has been engineered to track a specific molecule or biochemical process.</w:t>
      </w:r>
    </w:p>
    <w:p w:rsidR="00E21C9F" w:rsidRPr="00F920F6" w:rsidRDefault="004F7684" w:rsidP="00E21C9F">
      <w:pPr>
        <w:pStyle w:val="Heading2"/>
      </w:pPr>
      <w:bookmarkStart w:id="2" w:name="_Toc351889983"/>
      <w:r>
        <w:t>History</w:t>
      </w:r>
      <w:bookmarkEnd w:id="2"/>
      <w:r w:rsidR="00E21C9F" w:rsidRPr="00E21C9F">
        <w:t xml:space="preserve"> </w:t>
      </w:r>
    </w:p>
    <w:p w:rsidR="00E21C9F" w:rsidRPr="00E21C9F" w:rsidRDefault="00E21C9F" w:rsidP="00E21C9F">
      <w:pPr>
        <w:numPr>
          <w:ilvl w:val="12"/>
          <w:numId w:val="0"/>
        </w:numPr>
        <w:spacing w:line="480" w:lineRule="auto"/>
        <w:ind w:firstLine="720"/>
      </w:pPr>
      <w:r w:rsidRPr="00E21C9F">
        <w:t xml:space="preserve">The idea for using positron imaging for clinical use first came in the early 1950’s from the necessity to improve nuclear image quality for the detection of tumors.  William Sweet, the Chief of the Neurosurgical Service at the Massachusetts General Hospital, was unable to help a female patient with a neurological problem that left her unable to read.  He consulted Gordon Brownell, the head of the Physics Research Laboratory at MGH.  </w:t>
      </w:r>
      <w:r w:rsidRPr="00E21C9F">
        <w:lastRenderedPageBreak/>
        <w:t xml:space="preserve">Brownell suggested that the use of annihilation radiation from positron emission could increase sensitivity and resolution in brain images </w:t>
      </w:r>
      <w:r w:rsidR="009B6816" w:rsidRPr="00E21C9F">
        <w:fldChar w:fldCharType="begin"/>
      </w:r>
      <w:r w:rsidR="002D7C36">
        <w:instrText xml:space="preserve"> ADDIN EN.CITE &lt;EndNote&gt;&lt;Cite&gt;&lt;Author&gt;Brownell&lt;/Author&gt;&lt;Year&gt;1953&lt;/Year&gt;&lt;RecNum&gt;144&lt;/RecNum&gt;&lt;DisplayText&gt;(Brownell and Sweet 1953)&lt;/DisplayText&gt;&lt;record&gt;&lt;rec-number&gt;144&lt;/rec-number&gt;&lt;foreign-keys&gt;&lt;key app="EN" db-id="srwv9ppvvez5pgefxzi5ddeve5w2fe5x5esr"&gt;144&lt;/key&gt;&lt;/foreign-keys&gt;&lt;ref-type name="Journal Article"&gt;17&lt;/ref-type&gt;&lt;contributors&gt;&lt;authors&gt;&lt;author&gt;Brownell, GL&lt;/author&gt;&lt;author&gt;Sweet, WH&lt;/author&gt;&lt;/authors&gt;&lt;/contributors&gt;&lt;titles&gt;&lt;title&gt;Localization of brain tumors with positron emitters&lt;/title&gt;&lt;secondary-title&gt;Nucleonics&lt;/secondary-title&gt;&lt;/titles&gt;&lt;pages&gt;40-5&lt;/pages&gt;&lt;volume&gt;11&lt;/volume&gt;&lt;number&gt;11&lt;/number&gt;&lt;dates&gt;&lt;year&gt;1953&lt;/year&gt;&lt;/dates&gt;&lt;urls&gt;&lt;/urls&gt;&lt;/record&gt;&lt;/Cite&gt;&lt;/EndNote&gt;</w:instrText>
      </w:r>
      <w:r w:rsidR="009B6816" w:rsidRPr="00E21C9F">
        <w:fldChar w:fldCharType="separate"/>
      </w:r>
      <w:r w:rsidR="00B82802">
        <w:rPr>
          <w:noProof/>
        </w:rPr>
        <w:t>(</w:t>
      </w:r>
      <w:hyperlink w:anchor="_ENREF_15" w:tooltip="Brownell, 1953 #144" w:history="1">
        <w:r w:rsidR="007704DB">
          <w:rPr>
            <w:noProof/>
          </w:rPr>
          <w:t>Brownell and Sweet 1953</w:t>
        </w:r>
      </w:hyperlink>
      <w:r w:rsidR="00B82802">
        <w:rPr>
          <w:noProof/>
        </w:rPr>
        <w:t>)</w:t>
      </w:r>
      <w:r w:rsidR="009B6816" w:rsidRPr="00E21C9F">
        <w:fldChar w:fldCharType="end"/>
      </w:r>
      <w:r w:rsidR="00590F91">
        <w:t>.</w:t>
      </w:r>
      <w:r w:rsidRPr="00E21C9F">
        <w:t xml:space="preserve"> </w:t>
      </w:r>
      <w:r w:rsidR="00867222">
        <w:t xml:space="preserve"> </w:t>
      </w:r>
      <w:r w:rsidRPr="00E21C9F">
        <w:t xml:space="preserve">A simple rectilinear positron scanner, consisting of two sodium iodide detectors, was built, designed for the dedicated task of imaging brain activity </w:t>
      </w:r>
      <w:r w:rsidRPr="00E21C9F">
        <w:rPr>
          <w:i/>
        </w:rPr>
        <w:t>in vivo</w:t>
      </w:r>
      <w:r w:rsidRPr="00E21C9F">
        <w:t>.</w:t>
      </w:r>
    </w:p>
    <w:p w:rsidR="00E21C9F" w:rsidRPr="00E21C9F" w:rsidRDefault="00E21C9F" w:rsidP="00E21C9F">
      <w:pPr>
        <w:numPr>
          <w:ilvl w:val="12"/>
          <w:numId w:val="0"/>
        </w:numPr>
        <w:spacing w:line="480" w:lineRule="auto"/>
        <w:ind w:firstLine="720"/>
      </w:pPr>
      <w:r w:rsidRPr="00E21C9F">
        <w:t xml:space="preserve">In the early 1960’s, a group at Brookhaven National Laboratory constructed the first true transaxial positron tomograph consisting of a detector ring much like the detection configurations of modern-day PET scanners.  This system produced poor images because of </w:t>
      </w:r>
      <w:r w:rsidR="005A7B82">
        <w:t>insufficient</w:t>
      </w:r>
      <w:r w:rsidR="00867222">
        <w:t xml:space="preserve"> data sampling and </w:t>
      </w:r>
      <w:r w:rsidRPr="00E21C9F">
        <w:t xml:space="preserve">inadequate reconstruction methods </w:t>
      </w:r>
      <w:r w:rsidR="009B6816" w:rsidRPr="00E21C9F">
        <w:fldChar w:fldCharType="begin"/>
      </w:r>
      <w:r w:rsidR="002D7C36">
        <w:instrText xml:space="preserve"> ADDIN EN.CITE &lt;EndNote&gt;&lt;Cite&gt;&lt;Author&gt;Schlyer&lt;/Author&gt;&lt;Year&gt;2004&lt;/Year&gt;&lt;RecNum&gt;101&lt;/RecNum&gt;&lt;DisplayText&gt;(Schlyer 2004)&lt;/DisplayText&gt;&lt;record&gt;&lt;rec-number&gt;101&lt;/rec-number&gt;&lt;foreign-keys&gt;&lt;key app="EN" db-id="srwv9ppvvez5pgefxzi5ddeve5w2fe5x5esr"&gt;101&lt;/key&gt;&lt;/foreign-keys&gt;&lt;ref-type name="Journal Article"&gt;17&lt;/ref-type&gt;&lt;contributors&gt;&lt;authors&gt;&lt;author&gt;Schlyer, DJ&lt;/author&gt;&lt;/authors&gt;&lt;/contributors&gt;&lt;titles&gt;&lt;title&gt;PET tracers and radiochemistry&lt;/title&gt;&lt;secondary-title&gt;ANNALS-ACADEMY OF MEDICINE SINGAPORE&lt;/secondary-title&gt;&lt;/titles&gt;&lt;pages&gt;146-154&lt;/pages&gt;&lt;volume&gt;33&lt;/volume&gt;&lt;number&gt;2&lt;/number&gt;&lt;dates&gt;&lt;year&gt;2004&lt;/year&gt;&lt;/dates&gt;&lt;urls&gt;&lt;/urls&gt;&lt;/record&gt;&lt;/Cite&gt;&lt;/EndNote&gt;</w:instrText>
      </w:r>
      <w:r w:rsidR="009B6816" w:rsidRPr="00E21C9F">
        <w:fldChar w:fldCharType="separate"/>
      </w:r>
      <w:r w:rsidR="00B82802">
        <w:rPr>
          <w:noProof/>
        </w:rPr>
        <w:t>(</w:t>
      </w:r>
      <w:hyperlink w:anchor="_ENREF_67" w:tooltip="Schlyer, 2004 #101" w:history="1">
        <w:r w:rsidR="007704DB">
          <w:rPr>
            <w:noProof/>
          </w:rPr>
          <w:t>Schlyer 2004</w:t>
        </w:r>
      </w:hyperlink>
      <w:r w:rsidR="00B82802">
        <w:rPr>
          <w:noProof/>
        </w:rPr>
        <w:t>)</w:t>
      </w:r>
      <w:r w:rsidR="009B6816" w:rsidRPr="00E21C9F">
        <w:fldChar w:fldCharType="end"/>
      </w:r>
      <w:r w:rsidR="00590F91">
        <w:t>.</w:t>
      </w:r>
    </w:p>
    <w:p w:rsidR="004F7684" w:rsidRPr="00F920F6" w:rsidRDefault="00E21C9F" w:rsidP="00967EA8">
      <w:pPr>
        <w:numPr>
          <w:ilvl w:val="12"/>
          <w:numId w:val="0"/>
        </w:numPr>
        <w:spacing w:line="480" w:lineRule="auto"/>
        <w:ind w:firstLine="720"/>
      </w:pPr>
      <w:r w:rsidRPr="00E21C9F">
        <w:t xml:space="preserve">After the discovery of X-ray computed tomography in the 1970’s </w:t>
      </w:r>
      <w:r w:rsidR="009B6816" w:rsidRPr="00E21C9F">
        <w:fldChar w:fldCharType="begin"/>
      </w:r>
      <w:r w:rsidR="002D7C36">
        <w:instrText xml:space="preserve"> ADDIN EN.CITE &lt;EndNote&gt;&lt;Cite&gt;&lt;Author&gt;Hounsfield&lt;/Author&gt;&lt;Year&gt;1973&lt;/Year&gt;&lt;RecNum&gt;100&lt;/RecNum&gt;&lt;DisplayText&gt;(Hounsfield 1973)&lt;/DisplayText&gt;&lt;record&gt;&lt;rec-number&gt;100&lt;/rec-number&gt;&lt;foreign-keys&gt;&lt;key app="EN" db-id="srwv9ppvvez5pgefxzi5ddeve5w2fe5x5esr"&gt;100&lt;/key&gt;&lt;/foreign-keys&gt;&lt;ref-type name="Journal Article"&gt;17&lt;/ref-type&gt;&lt;contributors&gt;&lt;authors&gt;&lt;author&gt;Hounsfield, GN&lt;/author&gt;&lt;/authors&gt;&lt;/contributors&gt;&lt;titles&gt;&lt;title&gt;Computerized transverse axial scanning (tomography): Part 1. Description of system&lt;/title&gt;&lt;secondary-title&gt;British Journal of Radiology&lt;/secondary-title&gt;&lt;/titles&gt;&lt;pages&gt;1016&lt;/pages&gt;&lt;volume&gt;46&lt;/volume&gt;&lt;number&gt;552&lt;/number&gt;&lt;dates&gt;&lt;year&gt;1973&lt;/year&gt;&lt;/dates&gt;&lt;urls&gt;&lt;/urls&gt;&lt;/record&gt;&lt;/Cite&gt;&lt;/EndNote&gt;</w:instrText>
      </w:r>
      <w:r w:rsidR="009B6816" w:rsidRPr="00E21C9F">
        <w:fldChar w:fldCharType="separate"/>
      </w:r>
      <w:r w:rsidR="00B82802">
        <w:rPr>
          <w:noProof/>
        </w:rPr>
        <w:t>(</w:t>
      </w:r>
      <w:hyperlink w:anchor="_ENREF_41" w:tooltip="Hounsfield, 1973 #100" w:history="1">
        <w:r w:rsidR="007704DB">
          <w:rPr>
            <w:noProof/>
          </w:rPr>
          <w:t>Hounsfield 1973</w:t>
        </w:r>
      </w:hyperlink>
      <w:r w:rsidR="00B82802">
        <w:rPr>
          <w:noProof/>
        </w:rPr>
        <w:t>)</w:t>
      </w:r>
      <w:r w:rsidR="009B6816" w:rsidRPr="00E21C9F">
        <w:fldChar w:fldCharType="end"/>
      </w:r>
      <w:r w:rsidRPr="00E21C9F">
        <w:t xml:space="preserve">, more sophisticated reconstruction techniques were developed.  This opened the door to more advanced </w:t>
      </w:r>
      <w:r w:rsidR="00A23157">
        <w:t>reconstruction</w:t>
      </w:r>
      <w:r w:rsidR="00305863">
        <w:t xml:space="preserve"> techniques</w:t>
      </w:r>
      <w:r w:rsidRPr="00E21C9F">
        <w:t xml:space="preserve"> </w:t>
      </w:r>
      <w:r w:rsidR="003B54DB">
        <w:t>that would ultimately be applied to</w:t>
      </w:r>
      <w:r w:rsidRPr="00E21C9F">
        <w:t xml:space="preserve"> positron imaging.  These new methods were implemented by Michael Phelps in the mid 70’s at Washington University in St. Louis </w:t>
      </w:r>
      <w:r w:rsidR="009B6816" w:rsidRPr="00E21C9F">
        <w:fldChar w:fldCharType="begin"/>
      </w:r>
      <w:r w:rsidR="002D7C36">
        <w:instrText xml:space="preserve"> ADDIN EN.CITE &lt;EndNote&gt;&lt;Cite&gt;&lt;Author&gt;Phelps&lt;/Author&gt;&lt;Year&gt;1975&lt;/Year&gt;&lt;RecNum&gt;98&lt;/RecNum&gt;&lt;DisplayText&gt;(Phelps, Hoffman et al. 1975)&lt;/DisplayText&gt;&lt;record&gt;&lt;rec-number&gt;98&lt;/rec-number&gt;&lt;foreign-keys&gt;&lt;key app="EN" db-id="srwv9ppvvez5pgefxzi5ddeve5w2fe5x5esr"&gt;98&lt;/key&gt;&lt;/foreign-keys&gt;&lt;ref-type name="Journal Article"&gt;17&lt;/ref-type&gt;&lt;contributors&gt;&lt;authors&gt;&lt;author&gt;Phelps, ME&lt;/author&gt;&lt;author&gt;Hoffman, EJ&lt;/author&gt;&lt;author&gt;Mullani, NA&lt;/author&gt;&lt;author&gt;Ter-Pogossian, MM&lt;/author&gt;&lt;/authors&gt;&lt;/contributors&gt;&lt;titles&gt;&lt;title&gt;Application of annihilation coincidence detection to transaxial reconstruction tomography&lt;/title&gt;&lt;secondary-title&gt;Journal of Nuclear Medicine&lt;/secondary-title&gt;&lt;/titles&gt;&lt;periodical&gt;&lt;full-title&gt;Journal of Nuclear Medicine&lt;/full-title&gt;&lt;/periodical&gt;&lt;pages&gt;210&lt;/pages&gt;&lt;volume&gt;16&lt;/volume&gt;&lt;number&gt;3&lt;/number&gt;&lt;dates&gt;&lt;year&gt;1975&lt;/year&gt;&lt;/dates&gt;&lt;urls&gt;&lt;/urls&gt;&lt;/record&gt;&lt;/Cite&gt;&lt;/EndNote&gt;</w:instrText>
      </w:r>
      <w:r w:rsidR="009B6816" w:rsidRPr="00E21C9F">
        <w:fldChar w:fldCharType="separate"/>
      </w:r>
      <w:r w:rsidR="00B82802">
        <w:rPr>
          <w:noProof/>
        </w:rPr>
        <w:t>(</w:t>
      </w:r>
      <w:hyperlink w:anchor="_ENREF_64" w:tooltip="Phelps, 1975 #98" w:history="1">
        <w:r w:rsidR="007704DB">
          <w:rPr>
            <w:noProof/>
          </w:rPr>
          <w:t>Phelps, Hoffman et al. 1975</w:t>
        </w:r>
      </w:hyperlink>
      <w:r w:rsidR="00B82802">
        <w:rPr>
          <w:noProof/>
        </w:rPr>
        <w:t>)</w:t>
      </w:r>
      <w:r w:rsidR="009B6816" w:rsidRPr="00E21C9F">
        <w:fldChar w:fldCharType="end"/>
      </w:r>
      <w:r w:rsidR="00590F91">
        <w:t>.</w:t>
      </w:r>
      <w:r w:rsidRPr="00E21C9F">
        <w:t xml:space="preserve">  Phelps was the first to show </w:t>
      </w:r>
      <w:r w:rsidR="00967EA8">
        <w:t xml:space="preserve">the use of </w:t>
      </w:r>
      <w:r w:rsidR="00967EA8" w:rsidRPr="00E21C9F">
        <w:t>PET</w:t>
      </w:r>
      <w:r w:rsidR="00967EA8">
        <w:t xml:space="preserve"> as a non-invasive tool for quantifying regional glucose metabolic rates in the brain</w:t>
      </w:r>
      <w:r w:rsidR="00967EA8" w:rsidRPr="00E21C9F">
        <w:t xml:space="preserve"> </w:t>
      </w:r>
      <w:r w:rsidR="009B6816" w:rsidRPr="00E21C9F">
        <w:fldChar w:fldCharType="begin"/>
      </w:r>
      <w:r w:rsidR="00B82802">
        <w:instrText xml:space="preserve"> ADDIN EN.CITE &lt;EndNote&gt;&lt;Cite&gt;&lt;Author&gt;Phelps&lt;/Author&gt;&lt;Year&gt;1979&lt;/Year&gt;&lt;RecNum&gt;263&lt;/RecNum&gt;&lt;DisplayText&gt;(Phelps, Huang et al. 1979)&lt;/DisplayText&gt;&lt;record&gt;&lt;rec-number&gt;263&lt;/rec-number&gt;&lt;foreign-keys&gt;&lt;key app="EN" db-id="v2xp25stawxxrketapvxsxxz2v9ewpxa9xat"&gt;263&lt;/key&gt;&lt;/foreign-keys&gt;&lt;ref-type name="Journal Article"&gt;17&lt;/ref-type&gt;&lt;contributors&gt;&lt;authors&gt;&lt;author&gt;Phelps, ME&lt;/author&gt;&lt;author&gt;Huang, SC&lt;/author&gt;&lt;author&gt;Hoffman, EJ&lt;/author&gt;&lt;author&gt;Selin, C.&lt;/author&gt;&lt;author&gt;Sokoloff, L.&lt;/author&gt;&lt;author&gt;Kuhl, DE&lt;/author&gt;&lt;/authors&gt;&lt;/contributors&gt;&lt;titles&gt;&lt;title&gt;Tomographic measurement of local cerebral glucose metabolic rate in humans with (F 18) 2 fluoro 2 deoxy D glucose: validation of method&lt;/title&gt;&lt;secondary-title&gt;Annals of Neurology&lt;/secondary-title&gt;&lt;/titles&gt;&lt;periodical&gt;&lt;full-title&gt;Annals of Neurology&lt;/full-title&gt;&lt;/periodical&gt;&lt;pages&gt;371-388&lt;/pages&gt;&lt;volume&gt;6&lt;/volume&gt;&lt;number&gt;5&lt;/number&gt;&lt;dates&gt;&lt;year&gt;1979&lt;/year&gt;&lt;/dates&gt;&lt;isbn&gt;1531-8249&lt;/isbn&gt;&lt;urls&gt;&lt;/urls&gt;&lt;/record&gt;&lt;/Cite&gt;&lt;/EndNote&gt;</w:instrText>
      </w:r>
      <w:r w:rsidR="009B6816" w:rsidRPr="00E21C9F">
        <w:fldChar w:fldCharType="separate"/>
      </w:r>
      <w:r w:rsidR="00B82802">
        <w:rPr>
          <w:noProof/>
        </w:rPr>
        <w:t>(</w:t>
      </w:r>
      <w:hyperlink w:anchor="_ENREF_65" w:tooltip="Phelps, 1979 #263" w:history="1">
        <w:r w:rsidR="007704DB">
          <w:rPr>
            <w:noProof/>
          </w:rPr>
          <w:t>Phelps, Huang et al. 1979</w:t>
        </w:r>
      </w:hyperlink>
      <w:r w:rsidR="00B82802">
        <w:rPr>
          <w:noProof/>
        </w:rPr>
        <w:t>)</w:t>
      </w:r>
      <w:r w:rsidR="009B6816" w:rsidRPr="00E21C9F">
        <w:fldChar w:fldCharType="end"/>
      </w:r>
      <w:r w:rsidRPr="00E21C9F">
        <w:t xml:space="preserve"> </w:t>
      </w:r>
      <w:r w:rsidR="00967EA8">
        <w:t xml:space="preserve">and </w:t>
      </w:r>
      <w:r w:rsidR="00967EA8" w:rsidRPr="00E21C9F">
        <w:t xml:space="preserve">how different parts of the brain are active during </w:t>
      </w:r>
      <w:r w:rsidR="00967EA8">
        <w:t>various</w:t>
      </w:r>
      <w:r w:rsidR="00967EA8" w:rsidRPr="00E21C9F">
        <w:t xml:space="preserve"> mental </w:t>
      </w:r>
      <w:r w:rsidR="00967EA8">
        <w:t xml:space="preserve">and physical </w:t>
      </w:r>
      <w:r w:rsidR="00967EA8" w:rsidRPr="00E21C9F">
        <w:t>tasks</w:t>
      </w:r>
      <w:r w:rsidR="00967EA8">
        <w:t xml:space="preserve">. </w:t>
      </w:r>
      <w:r w:rsidR="009B6816">
        <w:fldChar w:fldCharType="begin"/>
      </w:r>
      <w:r w:rsidR="00967EA8">
        <w:instrText xml:space="preserve"> ADDIN EN.CITE &lt;EndNote&gt;&lt;Cite&gt;&lt;Author&gt;Phelps&lt;/Author&gt;&lt;Year&gt;1981&lt;/Year&gt;&lt;RecNum&gt;342&lt;/RecNum&gt;&lt;DisplayText&gt;(Phelps, E. et al. 1981)&lt;/DisplayText&gt;&lt;record&gt;&lt;rec-number&gt;342&lt;/rec-number&gt;&lt;foreign-keys&gt;&lt;key app="EN" db-id="srwv9ppvvez5pgefxzi5ddeve5w2fe5x5esr"&gt;342&lt;/key&gt;&lt;/foreign-keys&gt;&lt;ref-type name="Journal Article"&gt;17&lt;/ref-type&gt;&lt;contributors&gt;&lt;authors&gt;&lt;author&gt;Phelps, ME&lt;/author&gt;&lt;author&gt;KuhlD. E.&lt;/author&gt;&lt;author&gt;MazziottaJ. C &lt;/author&gt;&lt;/authors&gt;&lt;/contributors&gt;&lt;titles&gt;&lt;title&gt;Metabolic mapping of the brain&amp;apos;s response to visual stimulation: studies in man&lt;/title&gt;&lt;secondary-title&gt;Science&lt;/secondary-title&gt;&lt;/titles&gt;&lt;periodical&gt;&lt;full-title&gt;Science&lt;/full-title&gt;&lt;/periodical&gt;&lt;pages&gt;1445-1448&lt;/pages&gt;&lt;volume&gt;211&lt;/volume&gt;&lt;dates&gt;&lt;year&gt;1981&lt;/year&gt;&lt;/dates&gt;&lt;urls&gt;&lt;/urls&gt;&lt;/record&gt;&lt;/Cite&gt;&lt;/EndNote&gt;</w:instrText>
      </w:r>
      <w:r w:rsidR="009B6816">
        <w:fldChar w:fldCharType="separate"/>
      </w:r>
      <w:r w:rsidR="00967EA8">
        <w:rPr>
          <w:noProof/>
        </w:rPr>
        <w:t>(</w:t>
      </w:r>
      <w:hyperlink w:anchor="_ENREF_62" w:tooltip="Phelps, 1981 #342" w:history="1">
        <w:r w:rsidR="007704DB">
          <w:rPr>
            <w:noProof/>
          </w:rPr>
          <w:t>Phelps, E. et al. 1981</w:t>
        </w:r>
      </w:hyperlink>
      <w:r w:rsidR="00967EA8">
        <w:rPr>
          <w:noProof/>
        </w:rPr>
        <w:t>)</w:t>
      </w:r>
      <w:r w:rsidR="009B6816">
        <w:fldChar w:fldCharType="end"/>
      </w:r>
      <w:r w:rsidRPr="00E21C9F">
        <w:t xml:space="preserve">  Phelps</w:t>
      </w:r>
      <w:r w:rsidR="00F46EFB">
        <w:t xml:space="preserve"> </w:t>
      </w:r>
      <w:r w:rsidR="00054A80">
        <w:t xml:space="preserve">and </w:t>
      </w:r>
      <w:r w:rsidR="00F46EFB">
        <w:t>Hoffman</w:t>
      </w:r>
      <w:r w:rsidRPr="00E21C9F">
        <w:t xml:space="preserve"> w</w:t>
      </w:r>
      <w:r w:rsidR="00F46EFB">
        <w:t>ere</w:t>
      </w:r>
      <w:r w:rsidR="00967EA8">
        <w:t xml:space="preserve"> responsible for </w:t>
      </w:r>
      <w:r w:rsidRPr="00E21C9F">
        <w:t>the ECAT</w:t>
      </w:r>
      <w:r w:rsidR="00967EA8">
        <w:t xml:space="preserve"> tomograph</w:t>
      </w:r>
      <w:r w:rsidRPr="00E21C9F">
        <w:t>, and ha</w:t>
      </w:r>
      <w:r w:rsidR="002118A2">
        <w:t>ve</w:t>
      </w:r>
      <w:r w:rsidRPr="00E21C9F">
        <w:t xml:space="preserve"> since been involved in the development of four </w:t>
      </w:r>
      <w:r w:rsidR="00120C7D">
        <w:t>generations of PET scanners.  Phelps</w:t>
      </w:r>
      <w:r w:rsidRPr="00E21C9F">
        <w:t xml:space="preserve"> is widely recognized as the inventor of PET.</w:t>
      </w:r>
      <w:r w:rsidR="000B7AF9">
        <w:tab/>
      </w:r>
      <w:r w:rsidR="004F7684" w:rsidRPr="004F7684">
        <w:t xml:space="preserve"> </w:t>
      </w:r>
    </w:p>
    <w:p w:rsidR="004F7684" w:rsidRPr="00F920F6" w:rsidRDefault="004F7684" w:rsidP="004F7684">
      <w:pPr>
        <w:pStyle w:val="Heading2"/>
      </w:pPr>
      <w:bookmarkStart w:id="3" w:name="_Toc351889984"/>
      <w:r>
        <w:lastRenderedPageBreak/>
        <w:t>Radiotracers</w:t>
      </w:r>
      <w:bookmarkEnd w:id="3"/>
    </w:p>
    <w:p w:rsidR="0086578D" w:rsidRDefault="00E21C9F" w:rsidP="0086578D">
      <w:pPr>
        <w:numPr>
          <w:ilvl w:val="12"/>
          <w:numId w:val="0"/>
        </w:numPr>
        <w:spacing w:line="480" w:lineRule="auto"/>
        <w:ind w:firstLine="720"/>
      </w:pPr>
      <w:r w:rsidRPr="00E21C9F">
        <w:t xml:space="preserve">The utility of PET depends on the tracer being imaged; each has its own specific application.  The most widely used radioisotopes in </w:t>
      </w:r>
      <w:r w:rsidR="00AB39F2">
        <w:t>PET</w:t>
      </w:r>
      <w:r w:rsidR="00461C00">
        <w:t xml:space="preserve"> are f</w:t>
      </w:r>
      <w:r w:rsidR="00AD4E33">
        <w:t>luorine-18 (</w:t>
      </w:r>
      <w:r w:rsidR="00461C00" w:rsidRPr="00AD4E33">
        <w:rPr>
          <w:vertAlign w:val="superscript"/>
        </w:rPr>
        <w:t>18</w:t>
      </w:r>
      <w:r w:rsidR="00AD4E33">
        <w:t>F</w:t>
      </w:r>
      <w:r w:rsidR="00461C00">
        <w:t>), c</w:t>
      </w:r>
      <w:r w:rsidRPr="00E21C9F">
        <w:t>arbon-</w:t>
      </w:r>
      <w:r w:rsidR="00AD4E33">
        <w:t>11 (</w:t>
      </w:r>
      <w:r w:rsidRPr="00AD4E33">
        <w:rPr>
          <w:vertAlign w:val="superscript"/>
        </w:rPr>
        <w:t>11</w:t>
      </w:r>
      <w:r w:rsidR="00AD4E33">
        <w:t>C</w:t>
      </w:r>
      <w:r w:rsidRPr="00E21C9F">
        <w:t xml:space="preserve">), </w:t>
      </w:r>
      <w:r w:rsidR="00461C00">
        <w:t>n</w:t>
      </w:r>
      <w:r w:rsidR="00AD4E33">
        <w:t>itrogen-13 (</w:t>
      </w:r>
      <w:r w:rsidR="00461C00" w:rsidRPr="00AD4E33">
        <w:rPr>
          <w:vertAlign w:val="superscript"/>
        </w:rPr>
        <w:t>13</w:t>
      </w:r>
      <w:r w:rsidR="00AD4E33">
        <w:t>N</w:t>
      </w:r>
      <w:r w:rsidR="00461C00">
        <w:t>) and o</w:t>
      </w:r>
      <w:r w:rsidR="00AD4E33">
        <w:t>xygen-15 (</w:t>
      </w:r>
      <w:r w:rsidRPr="00AD4E33">
        <w:rPr>
          <w:vertAlign w:val="superscript"/>
        </w:rPr>
        <w:t>15</w:t>
      </w:r>
      <w:r w:rsidR="00AD4E33">
        <w:t>O</w:t>
      </w:r>
      <w:r w:rsidRPr="00E21C9F">
        <w:t>) because of the relative</w:t>
      </w:r>
      <w:r w:rsidR="00AE068F">
        <w:t xml:space="preserve"> ease of their substitution</w:t>
      </w:r>
      <w:r w:rsidRPr="00E21C9F">
        <w:t xml:space="preserve">.  </w:t>
      </w:r>
      <w:r w:rsidR="00F11650">
        <w:t>The table below lists the properties of some commonly used isotopes.</w:t>
      </w:r>
      <w:r w:rsidR="00F11650" w:rsidRPr="00F11650">
        <w:t xml:space="preserve"> </w:t>
      </w:r>
    </w:p>
    <w:p w:rsidR="00F11650" w:rsidRDefault="00F11650" w:rsidP="0084023C">
      <w:pPr>
        <w:pStyle w:val="Caption"/>
      </w:pPr>
      <w:bookmarkStart w:id="4" w:name="_Toc351890038"/>
      <w:r>
        <w:t xml:space="preserve">Table </w:t>
      </w:r>
      <w:r w:rsidR="009B6816">
        <w:fldChar w:fldCharType="begin"/>
      </w:r>
      <w:r>
        <w:instrText xml:space="preserve"> SEQ Table \* ARABIC </w:instrText>
      </w:r>
      <w:r w:rsidR="009B6816">
        <w:fldChar w:fldCharType="separate"/>
      </w:r>
      <w:r w:rsidR="005B6C27">
        <w:rPr>
          <w:noProof/>
        </w:rPr>
        <w:t>1</w:t>
      </w:r>
      <w:r w:rsidR="009B6816">
        <w:fldChar w:fldCharType="end"/>
      </w:r>
      <w:r>
        <w:t>. Examples of commonly used isotopes</w:t>
      </w:r>
      <w:r w:rsidR="00720888">
        <w:t xml:space="preserve"> used for PET</w:t>
      </w:r>
      <w:bookmarkEnd w:id="4"/>
    </w:p>
    <w:tbl>
      <w:tblPr>
        <w:tblW w:w="4681" w:type="dxa"/>
        <w:tblLayout w:type="fixed"/>
        <w:tblCellMar>
          <w:left w:w="91" w:type="dxa"/>
          <w:right w:w="91" w:type="dxa"/>
        </w:tblCellMar>
        <w:tblLook w:val="0000"/>
      </w:tblPr>
      <w:tblGrid>
        <w:gridCol w:w="1171"/>
        <w:gridCol w:w="1620"/>
        <w:gridCol w:w="1080"/>
        <w:gridCol w:w="810"/>
      </w:tblGrid>
      <w:tr w:rsidR="00F11650" w:rsidRPr="00F920F6" w:rsidTr="003E583E">
        <w:trPr>
          <w:cantSplit/>
        </w:trPr>
        <w:tc>
          <w:tcPr>
            <w:tcW w:w="1171" w:type="dxa"/>
            <w:tcBorders>
              <w:top w:val="single" w:sz="12" w:space="0" w:color="000000"/>
            </w:tcBorders>
          </w:tcPr>
          <w:p w:rsidR="00F11650" w:rsidRPr="00F920F6" w:rsidRDefault="00F11650" w:rsidP="003E583E">
            <w:pPr>
              <w:numPr>
                <w:ilvl w:val="12"/>
                <w:numId w:val="0"/>
              </w:numPr>
              <w:spacing w:before="96" w:after="51"/>
              <w:rPr>
                <w:sz w:val="22"/>
                <w:szCs w:val="22"/>
              </w:rPr>
            </w:pPr>
            <w:r>
              <w:br w:type="page"/>
            </w:r>
            <w:r>
              <w:rPr>
                <w:b/>
                <w:bCs/>
                <w:i/>
                <w:iCs/>
                <w:sz w:val="22"/>
                <w:szCs w:val="22"/>
              </w:rPr>
              <w:t>Isotope</w:t>
            </w:r>
          </w:p>
        </w:tc>
        <w:tc>
          <w:tcPr>
            <w:tcW w:w="1620" w:type="dxa"/>
            <w:tcBorders>
              <w:top w:val="single" w:sz="12" w:space="0" w:color="000000"/>
            </w:tcBorders>
          </w:tcPr>
          <w:p w:rsidR="00F11650" w:rsidRPr="00F920F6" w:rsidRDefault="00F11650" w:rsidP="003E583E">
            <w:pPr>
              <w:numPr>
                <w:ilvl w:val="12"/>
                <w:numId w:val="0"/>
              </w:numPr>
              <w:spacing w:before="96" w:after="51"/>
              <w:rPr>
                <w:sz w:val="22"/>
                <w:szCs w:val="22"/>
              </w:rPr>
            </w:pPr>
            <w:r>
              <w:rPr>
                <w:b/>
                <w:bCs/>
                <w:i/>
                <w:iCs/>
                <w:sz w:val="22"/>
                <w:szCs w:val="22"/>
              </w:rPr>
              <w:t>Half life</w:t>
            </w:r>
          </w:p>
        </w:tc>
        <w:tc>
          <w:tcPr>
            <w:tcW w:w="1890" w:type="dxa"/>
            <w:gridSpan w:val="2"/>
            <w:tcBorders>
              <w:top w:val="single" w:sz="12" w:space="0" w:color="000000"/>
            </w:tcBorders>
          </w:tcPr>
          <w:p w:rsidR="00F11650" w:rsidRDefault="00F11650" w:rsidP="003C37D9">
            <w:pPr>
              <w:numPr>
                <w:ilvl w:val="12"/>
                <w:numId w:val="0"/>
              </w:numPr>
              <w:spacing w:before="96" w:after="51"/>
              <w:rPr>
                <w:b/>
                <w:bCs/>
                <w:i/>
                <w:iCs/>
                <w:sz w:val="22"/>
                <w:szCs w:val="22"/>
              </w:rPr>
            </w:pPr>
            <w:r>
              <w:rPr>
                <w:b/>
                <w:bCs/>
                <w:i/>
                <w:iCs/>
                <w:sz w:val="22"/>
                <w:szCs w:val="22"/>
              </w:rPr>
              <w:t>B</w:t>
            </w:r>
            <w:r w:rsidRPr="004D7ED7">
              <w:rPr>
                <w:b/>
                <w:bCs/>
                <w:i/>
                <w:iCs/>
                <w:sz w:val="22"/>
                <w:szCs w:val="22"/>
                <w:vertAlign w:val="superscript"/>
              </w:rPr>
              <w:t>+</w:t>
            </w:r>
            <w:r>
              <w:rPr>
                <w:b/>
                <w:bCs/>
                <w:i/>
                <w:iCs/>
                <w:sz w:val="22"/>
                <w:szCs w:val="22"/>
              </w:rPr>
              <w:t xml:space="preserve"> Energy (keV)</w:t>
            </w:r>
          </w:p>
        </w:tc>
      </w:tr>
      <w:tr w:rsidR="00F11650" w:rsidRPr="00F920F6" w:rsidTr="003E583E">
        <w:trPr>
          <w:cantSplit/>
        </w:trPr>
        <w:tc>
          <w:tcPr>
            <w:tcW w:w="1171" w:type="dxa"/>
            <w:tcBorders>
              <w:bottom w:val="single" w:sz="12" w:space="0" w:color="000000"/>
            </w:tcBorders>
          </w:tcPr>
          <w:p w:rsidR="00F11650" w:rsidRDefault="00F11650" w:rsidP="003C37D9">
            <w:pPr>
              <w:numPr>
                <w:ilvl w:val="12"/>
                <w:numId w:val="0"/>
              </w:numPr>
              <w:spacing w:before="96" w:after="51"/>
              <w:jc w:val="center"/>
            </w:pPr>
          </w:p>
        </w:tc>
        <w:tc>
          <w:tcPr>
            <w:tcW w:w="1620" w:type="dxa"/>
            <w:tcBorders>
              <w:bottom w:val="single" w:sz="12" w:space="0" w:color="000000"/>
            </w:tcBorders>
          </w:tcPr>
          <w:p w:rsidR="00F11650" w:rsidRDefault="00F11650" w:rsidP="003C37D9">
            <w:pPr>
              <w:numPr>
                <w:ilvl w:val="12"/>
                <w:numId w:val="0"/>
              </w:numPr>
              <w:spacing w:before="96" w:after="51"/>
              <w:jc w:val="center"/>
              <w:rPr>
                <w:b/>
                <w:bCs/>
                <w:i/>
                <w:iCs/>
                <w:sz w:val="22"/>
                <w:szCs w:val="22"/>
              </w:rPr>
            </w:pPr>
          </w:p>
        </w:tc>
        <w:tc>
          <w:tcPr>
            <w:tcW w:w="1080" w:type="dxa"/>
            <w:tcBorders>
              <w:bottom w:val="single" w:sz="12" w:space="0" w:color="000000"/>
            </w:tcBorders>
          </w:tcPr>
          <w:p w:rsidR="00F11650" w:rsidRDefault="00F11650" w:rsidP="003C37D9">
            <w:pPr>
              <w:numPr>
                <w:ilvl w:val="12"/>
                <w:numId w:val="0"/>
              </w:numPr>
              <w:spacing w:before="96" w:after="51"/>
              <w:rPr>
                <w:b/>
                <w:bCs/>
                <w:i/>
                <w:iCs/>
                <w:sz w:val="22"/>
                <w:szCs w:val="22"/>
              </w:rPr>
            </w:pPr>
            <w:r>
              <w:rPr>
                <w:b/>
                <w:bCs/>
                <w:i/>
                <w:iCs/>
                <w:sz w:val="22"/>
                <w:szCs w:val="22"/>
              </w:rPr>
              <w:t>Mean</w:t>
            </w:r>
          </w:p>
        </w:tc>
        <w:tc>
          <w:tcPr>
            <w:tcW w:w="810" w:type="dxa"/>
            <w:tcBorders>
              <w:bottom w:val="single" w:sz="12" w:space="0" w:color="000000"/>
            </w:tcBorders>
          </w:tcPr>
          <w:p w:rsidR="00F11650" w:rsidRDefault="00F11650" w:rsidP="003C37D9">
            <w:pPr>
              <w:numPr>
                <w:ilvl w:val="12"/>
                <w:numId w:val="0"/>
              </w:numPr>
              <w:spacing w:before="96" w:after="51"/>
              <w:rPr>
                <w:b/>
                <w:bCs/>
                <w:i/>
                <w:iCs/>
                <w:sz w:val="22"/>
                <w:szCs w:val="22"/>
              </w:rPr>
            </w:pPr>
            <w:r>
              <w:rPr>
                <w:b/>
                <w:bCs/>
                <w:i/>
                <w:iCs/>
                <w:sz w:val="22"/>
                <w:szCs w:val="22"/>
              </w:rPr>
              <w:t>Max</w:t>
            </w:r>
          </w:p>
        </w:tc>
      </w:tr>
      <w:tr w:rsidR="00F11650" w:rsidRPr="00F920F6" w:rsidTr="00CC711C">
        <w:trPr>
          <w:cantSplit/>
          <w:trHeight w:val="1536"/>
        </w:trPr>
        <w:tc>
          <w:tcPr>
            <w:tcW w:w="1171" w:type="dxa"/>
            <w:tcBorders>
              <w:top w:val="single" w:sz="12" w:space="0" w:color="000000"/>
              <w:bottom w:val="single" w:sz="12" w:space="0" w:color="000000"/>
            </w:tcBorders>
          </w:tcPr>
          <w:p w:rsidR="00F11650" w:rsidRPr="00F920F6" w:rsidRDefault="00F11650" w:rsidP="003C37D9">
            <w:pPr>
              <w:numPr>
                <w:ilvl w:val="12"/>
                <w:numId w:val="0"/>
              </w:numPr>
              <w:spacing w:before="96" w:after="51"/>
              <w:rPr>
                <w:sz w:val="22"/>
                <w:szCs w:val="22"/>
              </w:rPr>
            </w:pPr>
            <w:r w:rsidRPr="00E40FF9">
              <w:rPr>
                <w:sz w:val="22"/>
                <w:szCs w:val="22"/>
                <w:vertAlign w:val="superscript"/>
              </w:rPr>
              <w:t>11</w:t>
            </w:r>
            <w:r>
              <w:rPr>
                <w:sz w:val="22"/>
                <w:szCs w:val="22"/>
              </w:rPr>
              <w:t>C</w:t>
            </w:r>
          </w:p>
          <w:p w:rsidR="00F11650" w:rsidRPr="00F920F6" w:rsidRDefault="00F11650" w:rsidP="003C37D9">
            <w:pPr>
              <w:numPr>
                <w:ilvl w:val="12"/>
                <w:numId w:val="0"/>
              </w:numPr>
              <w:spacing w:before="96" w:after="51"/>
              <w:rPr>
                <w:sz w:val="22"/>
                <w:szCs w:val="22"/>
              </w:rPr>
            </w:pPr>
            <w:r w:rsidRPr="00E40FF9">
              <w:rPr>
                <w:sz w:val="22"/>
                <w:szCs w:val="22"/>
                <w:vertAlign w:val="superscript"/>
              </w:rPr>
              <w:t>13</w:t>
            </w:r>
            <w:r>
              <w:rPr>
                <w:sz w:val="22"/>
                <w:szCs w:val="22"/>
              </w:rPr>
              <w:t>N</w:t>
            </w:r>
          </w:p>
          <w:p w:rsidR="00F11650" w:rsidRPr="00F920F6" w:rsidRDefault="00F11650" w:rsidP="003C37D9">
            <w:pPr>
              <w:numPr>
                <w:ilvl w:val="12"/>
                <w:numId w:val="0"/>
              </w:numPr>
              <w:spacing w:before="96" w:after="51"/>
              <w:rPr>
                <w:sz w:val="22"/>
                <w:szCs w:val="22"/>
              </w:rPr>
            </w:pPr>
            <w:r w:rsidRPr="00E40FF9">
              <w:rPr>
                <w:sz w:val="22"/>
                <w:szCs w:val="22"/>
                <w:vertAlign w:val="superscript"/>
              </w:rPr>
              <w:t>15</w:t>
            </w:r>
            <w:r>
              <w:rPr>
                <w:sz w:val="22"/>
                <w:szCs w:val="22"/>
              </w:rPr>
              <w:t>O</w:t>
            </w:r>
          </w:p>
          <w:p w:rsidR="00F11650" w:rsidRPr="00F920F6" w:rsidRDefault="00F11650" w:rsidP="00CC711C">
            <w:pPr>
              <w:numPr>
                <w:ilvl w:val="12"/>
                <w:numId w:val="0"/>
              </w:numPr>
              <w:spacing w:before="96" w:after="51"/>
              <w:rPr>
                <w:sz w:val="22"/>
                <w:szCs w:val="22"/>
              </w:rPr>
            </w:pPr>
            <w:r w:rsidRPr="00E40FF9">
              <w:rPr>
                <w:sz w:val="22"/>
                <w:szCs w:val="22"/>
                <w:vertAlign w:val="superscript"/>
              </w:rPr>
              <w:t>18</w:t>
            </w:r>
            <w:r>
              <w:rPr>
                <w:sz w:val="22"/>
                <w:szCs w:val="22"/>
              </w:rPr>
              <w:t>F</w:t>
            </w:r>
          </w:p>
        </w:tc>
        <w:tc>
          <w:tcPr>
            <w:tcW w:w="1620" w:type="dxa"/>
            <w:tcBorders>
              <w:top w:val="single" w:sz="12" w:space="0" w:color="000000"/>
              <w:bottom w:val="single" w:sz="12" w:space="0" w:color="000000"/>
            </w:tcBorders>
          </w:tcPr>
          <w:p w:rsidR="00F11650" w:rsidRPr="00F920F6" w:rsidRDefault="00F11650" w:rsidP="003C37D9">
            <w:pPr>
              <w:numPr>
                <w:ilvl w:val="12"/>
                <w:numId w:val="0"/>
              </w:numPr>
              <w:spacing w:before="96" w:after="51"/>
              <w:rPr>
                <w:sz w:val="22"/>
                <w:szCs w:val="22"/>
              </w:rPr>
            </w:pPr>
            <w:r>
              <w:rPr>
                <w:sz w:val="22"/>
                <w:szCs w:val="22"/>
              </w:rPr>
              <w:t>20.38 min</w:t>
            </w:r>
          </w:p>
          <w:p w:rsidR="00F11650" w:rsidRPr="00F920F6" w:rsidRDefault="00F11650" w:rsidP="003C37D9">
            <w:pPr>
              <w:numPr>
                <w:ilvl w:val="12"/>
                <w:numId w:val="0"/>
              </w:numPr>
              <w:spacing w:before="96" w:after="51"/>
              <w:rPr>
                <w:sz w:val="22"/>
                <w:szCs w:val="22"/>
              </w:rPr>
            </w:pPr>
            <w:r>
              <w:rPr>
                <w:sz w:val="22"/>
                <w:szCs w:val="22"/>
              </w:rPr>
              <w:t>9.97 min</w:t>
            </w:r>
          </w:p>
          <w:p w:rsidR="00F11650" w:rsidRPr="00F920F6" w:rsidRDefault="004264BF" w:rsidP="003C37D9">
            <w:pPr>
              <w:numPr>
                <w:ilvl w:val="12"/>
                <w:numId w:val="0"/>
              </w:numPr>
              <w:spacing w:before="96" w:after="51"/>
              <w:rPr>
                <w:sz w:val="22"/>
                <w:szCs w:val="22"/>
              </w:rPr>
            </w:pPr>
            <w:r>
              <w:rPr>
                <w:sz w:val="22"/>
                <w:szCs w:val="22"/>
              </w:rPr>
              <w:t>2.03 min</w:t>
            </w:r>
          </w:p>
          <w:p w:rsidR="00F11650" w:rsidRPr="00F920F6" w:rsidRDefault="00F11650" w:rsidP="00CC711C">
            <w:pPr>
              <w:numPr>
                <w:ilvl w:val="12"/>
                <w:numId w:val="0"/>
              </w:numPr>
              <w:spacing w:before="96" w:after="51"/>
              <w:rPr>
                <w:sz w:val="22"/>
                <w:szCs w:val="22"/>
              </w:rPr>
            </w:pPr>
            <w:r>
              <w:rPr>
                <w:sz w:val="22"/>
                <w:szCs w:val="22"/>
              </w:rPr>
              <w:t>109.77 min</w:t>
            </w:r>
          </w:p>
        </w:tc>
        <w:tc>
          <w:tcPr>
            <w:tcW w:w="1080" w:type="dxa"/>
            <w:tcBorders>
              <w:top w:val="single" w:sz="12" w:space="0" w:color="000000"/>
              <w:bottom w:val="single" w:sz="12" w:space="0" w:color="000000"/>
            </w:tcBorders>
          </w:tcPr>
          <w:p w:rsidR="00F11650" w:rsidRDefault="00F11650" w:rsidP="003C37D9">
            <w:pPr>
              <w:numPr>
                <w:ilvl w:val="12"/>
                <w:numId w:val="0"/>
              </w:numPr>
              <w:spacing w:before="96" w:after="51"/>
              <w:rPr>
                <w:sz w:val="22"/>
                <w:szCs w:val="22"/>
              </w:rPr>
            </w:pPr>
            <w:r>
              <w:rPr>
                <w:sz w:val="22"/>
                <w:szCs w:val="22"/>
              </w:rPr>
              <w:t>390</w:t>
            </w:r>
          </w:p>
          <w:p w:rsidR="00F11650" w:rsidRDefault="00F11650" w:rsidP="003C37D9">
            <w:pPr>
              <w:numPr>
                <w:ilvl w:val="12"/>
                <w:numId w:val="0"/>
              </w:numPr>
              <w:spacing w:before="96" w:after="51"/>
              <w:rPr>
                <w:sz w:val="22"/>
                <w:szCs w:val="22"/>
              </w:rPr>
            </w:pPr>
            <w:r>
              <w:rPr>
                <w:sz w:val="22"/>
                <w:szCs w:val="22"/>
              </w:rPr>
              <w:t>490</w:t>
            </w:r>
          </w:p>
          <w:p w:rsidR="00F11650" w:rsidRDefault="00F11650" w:rsidP="003C37D9">
            <w:pPr>
              <w:numPr>
                <w:ilvl w:val="12"/>
                <w:numId w:val="0"/>
              </w:numPr>
              <w:spacing w:before="96" w:after="51"/>
              <w:rPr>
                <w:sz w:val="22"/>
                <w:szCs w:val="22"/>
              </w:rPr>
            </w:pPr>
            <w:r>
              <w:rPr>
                <w:sz w:val="22"/>
                <w:szCs w:val="22"/>
              </w:rPr>
              <w:t>740</w:t>
            </w:r>
          </w:p>
          <w:p w:rsidR="00F11650" w:rsidRDefault="00F11650" w:rsidP="00CC711C">
            <w:pPr>
              <w:numPr>
                <w:ilvl w:val="12"/>
                <w:numId w:val="0"/>
              </w:numPr>
              <w:spacing w:before="96" w:after="51"/>
              <w:rPr>
                <w:sz w:val="22"/>
                <w:szCs w:val="22"/>
              </w:rPr>
            </w:pPr>
            <w:r>
              <w:rPr>
                <w:sz w:val="22"/>
                <w:szCs w:val="22"/>
              </w:rPr>
              <w:t>250</w:t>
            </w:r>
          </w:p>
        </w:tc>
        <w:tc>
          <w:tcPr>
            <w:tcW w:w="810" w:type="dxa"/>
            <w:tcBorders>
              <w:top w:val="single" w:sz="12" w:space="0" w:color="000000"/>
              <w:bottom w:val="single" w:sz="12" w:space="0" w:color="000000"/>
            </w:tcBorders>
          </w:tcPr>
          <w:p w:rsidR="00F11650" w:rsidRDefault="00F11650" w:rsidP="003C37D9">
            <w:pPr>
              <w:numPr>
                <w:ilvl w:val="12"/>
                <w:numId w:val="0"/>
              </w:numPr>
              <w:spacing w:before="96" w:after="51"/>
              <w:rPr>
                <w:sz w:val="22"/>
                <w:szCs w:val="22"/>
              </w:rPr>
            </w:pPr>
            <w:r>
              <w:rPr>
                <w:sz w:val="22"/>
                <w:szCs w:val="22"/>
              </w:rPr>
              <w:t>970</w:t>
            </w:r>
          </w:p>
          <w:p w:rsidR="00F11650" w:rsidRDefault="00F11650" w:rsidP="003C37D9">
            <w:pPr>
              <w:numPr>
                <w:ilvl w:val="12"/>
                <w:numId w:val="0"/>
              </w:numPr>
              <w:spacing w:before="96" w:after="51"/>
              <w:rPr>
                <w:sz w:val="22"/>
                <w:szCs w:val="22"/>
              </w:rPr>
            </w:pPr>
            <w:r>
              <w:rPr>
                <w:sz w:val="22"/>
                <w:szCs w:val="22"/>
              </w:rPr>
              <w:t>1190</w:t>
            </w:r>
          </w:p>
          <w:p w:rsidR="00F11650" w:rsidRDefault="00F11650" w:rsidP="003C37D9">
            <w:pPr>
              <w:numPr>
                <w:ilvl w:val="12"/>
                <w:numId w:val="0"/>
              </w:numPr>
              <w:spacing w:before="96" w:after="51"/>
              <w:rPr>
                <w:sz w:val="22"/>
                <w:szCs w:val="22"/>
              </w:rPr>
            </w:pPr>
            <w:r>
              <w:rPr>
                <w:sz w:val="22"/>
                <w:szCs w:val="22"/>
              </w:rPr>
              <w:t>1720</w:t>
            </w:r>
          </w:p>
          <w:p w:rsidR="00F11650" w:rsidRDefault="00F11650" w:rsidP="00CC711C">
            <w:pPr>
              <w:numPr>
                <w:ilvl w:val="12"/>
                <w:numId w:val="0"/>
              </w:numPr>
              <w:spacing w:before="96" w:after="51"/>
              <w:rPr>
                <w:sz w:val="22"/>
                <w:szCs w:val="22"/>
              </w:rPr>
            </w:pPr>
            <w:r>
              <w:rPr>
                <w:sz w:val="22"/>
                <w:szCs w:val="22"/>
              </w:rPr>
              <w:t>635</w:t>
            </w:r>
          </w:p>
        </w:tc>
      </w:tr>
    </w:tbl>
    <w:p w:rsidR="00E74940" w:rsidRDefault="00E74940" w:rsidP="00E21C9F">
      <w:pPr>
        <w:numPr>
          <w:ilvl w:val="12"/>
          <w:numId w:val="0"/>
        </w:numPr>
        <w:spacing w:line="480" w:lineRule="auto"/>
        <w:ind w:firstLine="720"/>
      </w:pPr>
    </w:p>
    <w:p w:rsidR="00E21C9F" w:rsidRPr="00E21C9F" w:rsidRDefault="00E21C9F" w:rsidP="008A6402">
      <w:pPr>
        <w:numPr>
          <w:ilvl w:val="12"/>
          <w:numId w:val="0"/>
        </w:numPr>
        <w:spacing w:line="480" w:lineRule="auto"/>
        <w:ind w:firstLine="720"/>
      </w:pPr>
      <w:r w:rsidRPr="00E21C9F">
        <w:t>These isotopes are</w:t>
      </w:r>
      <w:r w:rsidR="00120C7D">
        <w:t xml:space="preserve"> formed in a cyclotron, where</w:t>
      </w:r>
      <w:r w:rsidRPr="00E21C9F">
        <w:t xml:space="preserve"> a high energy proton beam bombards a specific target, creating the unstable</w:t>
      </w:r>
      <w:r w:rsidR="00CA22CF">
        <w:t xml:space="preserve">, </w:t>
      </w:r>
      <w:proofErr w:type="gramStart"/>
      <w:r w:rsidR="00CA22CF">
        <w:t>neutron</w:t>
      </w:r>
      <w:proofErr w:type="gramEnd"/>
      <w:r w:rsidR="00CA22CF">
        <w:t xml:space="preserve"> deficient</w:t>
      </w:r>
      <w:r w:rsidRPr="00E21C9F">
        <w:t xml:space="preserve"> isotopes.  In the cas</w:t>
      </w:r>
      <w:r w:rsidR="001D53DB">
        <w:t xml:space="preserve">es of </w:t>
      </w:r>
      <w:r w:rsidR="00F11650" w:rsidRPr="001D53DB">
        <w:rPr>
          <w:vertAlign w:val="superscript"/>
        </w:rPr>
        <w:t>11</w:t>
      </w:r>
      <w:r w:rsidR="001D53DB">
        <w:t xml:space="preserve">C, </w:t>
      </w:r>
      <w:r w:rsidR="00F11650" w:rsidRPr="001D53DB">
        <w:rPr>
          <w:vertAlign w:val="superscript"/>
        </w:rPr>
        <w:t>13</w:t>
      </w:r>
      <w:r w:rsidR="001D53DB">
        <w:t>N</w:t>
      </w:r>
      <w:r w:rsidR="00F11650">
        <w:t xml:space="preserve">, and </w:t>
      </w:r>
      <w:r w:rsidR="00F11650" w:rsidRPr="001D53DB">
        <w:rPr>
          <w:vertAlign w:val="superscript"/>
        </w:rPr>
        <w:t>15</w:t>
      </w:r>
      <w:r w:rsidR="001D53DB">
        <w:t>O</w:t>
      </w:r>
      <w:r w:rsidR="00F11650">
        <w:t>, the</w:t>
      </w:r>
      <w:r w:rsidRPr="00E21C9F">
        <w:t xml:space="preserve"> newly formed isotopes can dire</w:t>
      </w:r>
      <w:r w:rsidR="001D53DB">
        <w:t xml:space="preserve">ctly replace the stable atoms </w:t>
      </w:r>
      <w:r w:rsidRPr="001D53DB">
        <w:rPr>
          <w:vertAlign w:val="superscript"/>
        </w:rPr>
        <w:t>12</w:t>
      </w:r>
      <w:r w:rsidR="001D53DB">
        <w:t xml:space="preserve">C, </w:t>
      </w:r>
      <w:r w:rsidRPr="001D53DB">
        <w:rPr>
          <w:vertAlign w:val="superscript"/>
        </w:rPr>
        <w:t>14</w:t>
      </w:r>
      <w:r w:rsidR="001D53DB">
        <w:t xml:space="preserve">N, and </w:t>
      </w:r>
      <w:r w:rsidRPr="001D53DB">
        <w:rPr>
          <w:vertAlign w:val="superscript"/>
        </w:rPr>
        <w:t>16</w:t>
      </w:r>
      <w:r w:rsidR="001D53DB">
        <w:t>O</w:t>
      </w:r>
      <w:r w:rsidRPr="00E21C9F">
        <w:t xml:space="preserve"> that commonly exist in organic molecules.  However, because fluorine is not natural</w:t>
      </w:r>
      <w:r w:rsidR="001D53DB">
        <w:t xml:space="preserve">ly occurring in </w:t>
      </w:r>
      <w:proofErr w:type="spellStart"/>
      <w:r w:rsidR="001D53DB">
        <w:t>biomolecules</w:t>
      </w:r>
      <w:proofErr w:type="spellEnd"/>
      <w:r w:rsidR="001D53DB">
        <w:t xml:space="preserve">, </w:t>
      </w:r>
      <w:r w:rsidRPr="001D53DB">
        <w:rPr>
          <w:vertAlign w:val="superscript"/>
        </w:rPr>
        <w:t>18</w:t>
      </w:r>
      <w:r w:rsidR="001D53DB">
        <w:t>F</w:t>
      </w:r>
      <w:r w:rsidRPr="00E21C9F">
        <w:t xml:space="preserve"> often replaces a hydrogen atom or a hydroxyl group of an otherwise natural</w:t>
      </w:r>
      <w:r w:rsidR="003F5B4C">
        <w:t>ly</w:t>
      </w:r>
      <w:r w:rsidRPr="00E21C9F">
        <w:t xml:space="preserve"> occurring compound</w:t>
      </w:r>
      <w:r w:rsidR="008A6402">
        <w:t>.  In the case of deoxyglucose, an analog of g</w:t>
      </w:r>
      <w:r w:rsidR="00120C7D">
        <w:t>lucose, the fluorine isotope substitutes</w:t>
      </w:r>
      <w:r w:rsidR="008A6402">
        <w:t xml:space="preserve"> for the </w:t>
      </w:r>
      <w:r w:rsidR="008A6402" w:rsidRPr="008A6402">
        <w:t>2' hydroxyl group</w:t>
      </w:r>
      <w:r w:rsidR="008A6402">
        <w:t xml:space="preserve"> to form </w:t>
      </w:r>
      <w:r w:rsidR="008A6402" w:rsidRPr="008A6402">
        <w:rPr>
          <w:vertAlign w:val="superscript"/>
        </w:rPr>
        <w:t>18</w:t>
      </w:r>
      <w:r w:rsidR="008A6402" w:rsidRPr="008A6402">
        <w:t xml:space="preserve">F-FDG.  </w:t>
      </w:r>
    </w:p>
    <w:p w:rsidR="0085048A" w:rsidRDefault="00E21C9F" w:rsidP="006775F8">
      <w:pPr>
        <w:numPr>
          <w:ilvl w:val="12"/>
          <w:numId w:val="0"/>
        </w:numPr>
        <w:spacing w:line="480" w:lineRule="auto"/>
        <w:ind w:firstLine="720"/>
      </w:pPr>
      <w:r w:rsidRPr="00E21C9F">
        <w:rPr>
          <w:vertAlign w:val="superscript"/>
        </w:rPr>
        <w:t>18</w:t>
      </w:r>
      <w:r w:rsidRPr="00E21C9F">
        <w:t>F-FDG, or more specifically, 2-deoxy-2-(</w:t>
      </w:r>
      <w:r w:rsidRPr="00E21C9F">
        <w:rPr>
          <w:vertAlign w:val="superscript"/>
        </w:rPr>
        <w:t>18</w:t>
      </w:r>
      <w:r w:rsidRPr="00E21C9F">
        <w:t>F</w:t>
      </w:r>
      <w:proofErr w:type="gramStart"/>
      <w:r w:rsidRPr="00E21C9F">
        <w:t>)fluoro</w:t>
      </w:r>
      <w:proofErr w:type="gramEnd"/>
      <w:r w:rsidRPr="00E21C9F">
        <w:t xml:space="preserve">-D-glucose (referred to as FDG for the remainder of this work), is the most common radiopharmaceutical used in PET today.  First </w:t>
      </w:r>
      <w:r w:rsidR="00012824">
        <w:t>developed</w:t>
      </w:r>
      <w:r w:rsidR="00E357A7">
        <w:t xml:space="preserve"> in the 1970</w:t>
      </w:r>
      <w:r w:rsidRPr="00E21C9F">
        <w:t>s</w:t>
      </w:r>
      <w:r w:rsidR="00172720">
        <w:t xml:space="preserve"> at Brookhaven National Lab</w:t>
      </w:r>
      <w:r w:rsidRPr="00E21C9F">
        <w:t xml:space="preserve">, FDG is an analog </w:t>
      </w:r>
      <w:r w:rsidRPr="00E21C9F">
        <w:lastRenderedPageBreak/>
        <w:t xml:space="preserve">of glucose in which one of the hydroxyl group at the </w:t>
      </w:r>
      <w:r w:rsidRPr="00E21C9F">
        <w:rPr>
          <w:bCs/>
        </w:rPr>
        <w:t>2'</w:t>
      </w:r>
      <w:r w:rsidRPr="00E21C9F">
        <w:t xml:space="preserve"> position in the glucose molecule has been replaced with </w:t>
      </w:r>
      <w:r w:rsidRPr="00E21C9F">
        <w:rPr>
          <w:vertAlign w:val="superscript"/>
        </w:rPr>
        <w:t>18</w:t>
      </w:r>
      <w:r w:rsidRPr="00E21C9F">
        <w:t xml:space="preserve">F.  FDG is chemically similar to glucose, and so it begins to follow the same metabolic pathway.  It is carried into cells by the membrane transport protein GLUT1.  Once inside the cell it is phosphorylated by the enzyme hexokinase into </w:t>
      </w:r>
      <w:r w:rsidRPr="00E21C9F">
        <w:rPr>
          <w:vertAlign w:val="superscript"/>
        </w:rPr>
        <w:t>18</w:t>
      </w:r>
      <w:r w:rsidRPr="00E21C9F">
        <w:t xml:space="preserve">F-FDG-6-phosphate.  Once phosphorylated, the molecule cannot leave the cell, and the absence of the 2' hydroxyl group prevents it from undergoing further glycolysis.  It becomes trapped within the cell until the </w:t>
      </w:r>
      <w:r w:rsidRPr="00E21C9F">
        <w:rPr>
          <w:vertAlign w:val="superscript"/>
        </w:rPr>
        <w:t>18</w:t>
      </w:r>
      <w:r w:rsidRPr="00E21C9F">
        <w:t xml:space="preserve">F isotope decays into </w:t>
      </w:r>
      <w:r w:rsidRPr="00E21C9F">
        <w:rPr>
          <w:vertAlign w:val="superscript"/>
        </w:rPr>
        <w:t>18</w:t>
      </w:r>
      <w:r w:rsidRPr="00E21C9F">
        <w:t>O</w:t>
      </w:r>
      <w:r w:rsidRPr="00E21C9F">
        <w:rPr>
          <w:vertAlign w:val="superscript"/>
        </w:rPr>
        <w:t>-</w:t>
      </w:r>
      <w:r w:rsidRPr="00E21C9F">
        <w:t>, where it then finds a proton (H</w:t>
      </w:r>
      <w:r w:rsidRPr="00E21C9F">
        <w:rPr>
          <w:vertAlign w:val="superscript"/>
        </w:rPr>
        <w:t>+</w:t>
      </w:r>
      <w:r w:rsidRPr="00E21C9F">
        <w:t xml:space="preserve">) in the aqueous environment to form the missing, but now “heavy”, hydroxyl group, and glycolysis continues as normal, resulting in non-radioactive end products.  The accumulation of FDG is subsequently used as an index of tissue </w:t>
      </w:r>
      <w:r w:rsidR="007703DC">
        <w:t xml:space="preserve">glucose </w:t>
      </w:r>
      <w:r w:rsidRPr="00E21C9F">
        <w:t xml:space="preserve">metabolism.  </w:t>
      </w:r>
    </w:p>
    <w:p w:rsidR="00D23627" w:rsidRDefault="00E21C9F" w:rsidP="00F11650">
      <w:pPr>
        <w:numPr>
          <w:ilvl w:val="12"/>
          <w:numId w:val="0"/>
        </w:numPr>
        <w:spacing w:line="480" w:lineRule="auto"/>
        <w:ind w:firstLine="720"/>
      </w:pPr>
      <w:r w:rsidRPr="00E21C9F">
        <w:t>A</w:t>
      </w:r>
      <w:r w:rsidR="00BD0F29">
        <w:t>n</w:t>
      </w:r>
      <w:r w:rsidRPr="00E21C9F">
        <w:t xml:space="preserve"> FDG-PET scan performed in the appropriate time window (usually 1-2 hours post-injection) gives a good reflection of cellular glucose uptake and phosphorylation</w:t>
      </w:r>
      <w:r w:rsidR="00AB65BF">
        <w:t xml:space="preserve"> within a subject.  T</w:t>
      </w:r>
      <w:r w:rsidRPr="00E21C9F">
        <w:t xml:space="preserve">he increased energy demands of rapidly growing cancers </w:t>
      </w:r>
      <w:r w:rsidR="009B6816" w:rsidRPr="00E21C9F">
        <w:fldChar w:fldCharType="begin"/>
      </w:r>
      <w:r w:rsidR="002D7C36">
        <w:instrText xml:space="preserve"> ADDIN EN.CITE &lt;EndNote&gt;&lt;Cite&gt;&lt;Author&gt;Warburg&lt;/Author&gt;&lt;Year&gt;1931&lt;/Year&gt;&lt;RecNum&gt;131&lt;/RecNum&gt;&lt;DisplayText&gt;(Warburg, Posener et al. 1931)&lt;/DisplayText&gt;&lt;record&gt;&lt;rec-number&gt;131&lt;/rec-number&gt;&lt;foreign-keys&gt;&lt;key app="EN" db-id="srwv9ppvvez5pgefxzi5ddeve5w2fe5x5esr"&gt;131&lt;/key&gt;&lt;/foreign-keys&gt;&lt;ref-type name="Journal Article"&gt;17&lt;/ref-type&gt;&lt;contributors&gt;&lt;authors&gt;&lt;author&gt;Warburg, O&lt;/author&gt;&lt;author&gt;Posener, K&lt;/author&gt;&lt;author&gt;Negelein, E&lt;/author&gt;&lt;/authors&gt;&lt;/contributors&gt;&lt;titles&gt;&lt;title&gt;The metabolism of the carcinoma cell&lt;/title&gt;&lt;secondary-title&gt;The Mechanism of Tumors&lt;/secondary-title&gt;&lt;/titles&gt;&lt;pages&gt;129–169&lt;/pages&gt;&lt;dates&gt;&lt;year&gt;1931&lt;/year&gt;&lt;/dates&gt;&lt;urls&gt;&lt;/urls&gt;&lt;/record&gt;&lt;/Cite&gt;&lt;/EndNote&gt;</w:instrText>
      </w:r>
      <w:r w:rsidR="009B6816" w:rsidRPr="00E21C9F">
        <w:fldChar w:fldCharType="separate"/>
      </w:r>
      <w:r w:rsidR="00B82802">
        <w:rPr>
          <w:noProof/>
        </w:rPr>
        <w:t>(</w:t>
      </w:r>
      <w:hyperlink w:anchor="_ENREF_85" w:tooltip="Warburg, 1931 #131" w:history="1">
        <w:r w:rsidR="007704DB">
          <w:rPr>
            <w:noProof/>
          </w:rPr>
          <w:t>Warburg, Posener et al. 1931</w:t>
        </w:r>
      </w:hyperlink>
      <w:r w:rsidR="00B82802">
        <w:rPr>
          <w:noProof/>
        </w:rPr>
        <w:t>)</w:t>
      </w:r>
      <w:r w:rsidR="009B6816" w:rsidRPr="00E21C9F">
        <w:fldChar w:fldCharType="end"/>
      </w:r>
      <w:r w:rsidRPr="00E21C9F">
        <w:t xml:space="preserve"> </w:t>
      </w:r>
      <w:r w:rsidR="00AB65BF">
        <w:t xml:space="preserve">result in elevated glucose uptake in </w:t>
      </w:r>
      <w:r w:rsidRPr="00E21C9F">
        <w:t>lesions,</w:t>
      </w:r>
      <w:r w:rsidR="00AB65BF">
        <w:t xml:space="preserve"> thereby</w:t>
      </w:r>
      <w:r w:rsidRPr="00E21C9F">
        <w:t xml:space="preserve"> making them visible </w:t>
      </w:r>
      <w:r w:rsidR="00AB65BF">
        <w:t>in</w:t>
      </w:r>
      <w:r w:rsidRPr="00E21C9F">
        <w:t xml:space="preserve"> a</w:t>
      </w:r>
      <w:r w:rsidR="00AB65BF">
        <w:t>n</w:t>
      </w:r>
      <w:r w:rsidRPr="00E21C9F">
        <w:t xml:space="preserve"> </w:t>
      </w:r>
      <w:r w:rsidR="00AB65BF">
        <w:t>FDG-</w:t>
      </w:r>
      <w:r w:rsidRPr="00E21C9F">
        <w:t xml:space="preserve">PET </w:t>
      </w:r>
      <w:r w:rsidR="00AB65BF">
        <w:t>image</w:t>
      </w:r>
      <w:r w:rsidRPr="00E21C9F">
        <w:t>.</w:t>
      </w:r>
    </w:p>
    <w:p w:rsidR="00EE5B48" w:rsidRDefault="00D23627" w:rsidP="00EE5B48">
      <w:pPr>
        <w:numPr>
          <w:ilvl w:val="12"/>
          <w:numId w:val="0"/>
        </w:numPr>
        <w:spacing w:line="480" w:lineRule="auto"/>
        <w:ind w:firstLine="720"/>
      </w:pPr>
      <w:r w:rsidRPr="00D23627">
        <w:t xml:space="preserve">The time course of biomarker retention in tissue is </w:t>
      </w:r>
      <w:r w:rsidR="00C757FA">
        <w:t>quantified</w:t>
      </w:r>
      <w:r w:rsidRPr="00D23627">
        <w:t xml:space="preserve"> differently for various tracers; in the case of FDG, it </w:t>
      </w:r>
      <w:r w:rsidR="00C757FA">
        <w:t>is</w:t>
      </w:r>
      <w:r w:rsidR="00337264">
        <w:t xml:space="preserve"> </w:t>
      </w:r>
      <w:r w:rsidRPr="00D23627">
        <w:t>modeled as a 2-compartmental system, a central component which remains in equilibrium with plasma concentration, the non-phosphorylated FDG, and a peripheral compartment characterized by irreversibl</w:t>
      </w:r>
      <w:r w:rsidR="00AB65BF">
        <w:t xml:space="preserve">e uptake after phosphorylation. </w:t>
      </w:r>
      <w:r w:rsidR="005D0A03">
        <w:t xml:space="preserve">In this case, the kinetic behavior of the tracer </w:t>
      </w:r>
      <w:r w:rsidR="00AB65BF">
        <w:t>can be</w:t>
      </w:r>
      <w:r w:rsidR="005D0A03">
        <w:t xml:space="preserve"> modeled by the </w:t>
      </w:r>
      <w:r w:rsidR="007C78D0">
        <w:t xml:space="preserve">following </w:t>
      </w:r>
      <w:r w:rsidR="005D0A03">
        <w:t xml:space="preserve">relationship </w:t>
      </w:r>
      <w:r w:rsidR="009B6816" w:rsidRPr="00D23627">
        <w:fldChar w:fldCharType="begin"/>
      </w:r>
      <w:r w:rsidR="002D7C36">
        <w:instrText xml:space="preserve"> ADDIN EN.CITE &lt;EndNote&gt;&lt;Cite&gt;&lt;Author&gt;Patlak&lt;/Author&gt;&lt;Year&gt;1983&lt;/Year&gt;&lt;RecNum&gt;97&lt;/RecNum&gt;&lt;DisplayText&gt;(Patlak, Blasberg et al. 1983)&lt;/DisplayText&gt;&lt;record&gt;&lt;rec-number&gt;97&lt;/rec-number&gt;&lt;foreign-keys&gt;&lt;key app="EN" db-id="srwv9ppvvez5pgefxzi5ddeve5w2fe5x5esr"&gt;97&lt;/key&gt;&lt;/foreign-keys&gt;&lt;ref-type name="Journal Article"&gt;17&lt;/ref-type&gt;&lt;contributors&gt;&lt;authors&gt;&lt;author&gt;Patlak, CS&lt;/author&gt;&lt;author&gt;Blasberg, RG&lt;/author&gt;&lt;author&gt;Fenstermacher, JD&lt;/author&gt;&lt;/authors&gt;&lt;/contributors&gt;&lt;titles&gt;&lt;title&gt;Graphical evaluation of blood-to-brain transfer constants from multiple-time uptake data&lt;/title&gt;&lt;secondary-title&gt;J Cereb Blood Flow Metab&lt;/secondary-title&gt;&lt;/titles&gt;&lt;pages&gt;1-7&lt;/pages&gt;&lt;volume&gt;3&lt;/volume&gt;&lt;number&gt;1&lt;/number&gt;&lt;dates&gt;&lt;year&gt;1983&lt;/year&gt;&lt;/dates&gt;&lt;urls&gt;&lt;/urls&gt;&lt;/record&gt;&lt;/Cite&gt;&lt;/EndNote&gt;</w:instrText>
      </w:r>
      <w:r w:rsidR="009B6816" w:rsidRPr="00D23627">
        <w:fldChar w:fldCharType="separate"/>
      </w:r>
      <w:r w:rsidR="00B82802">
        <w:rPr>
          <w:noProof/>
        </w:rPr>
        <w:t>(</w:t>
      </w:r>
      <w:hyperlink w:anchor="_ENREF_61" w:tooltip="Patlak, 1983 #97" w:history="1">
        <w:r w:rsidR="007704DB">
          <w:rPr>
            <w:noProof/>
          </w:rPr>
          <w:t>Patlak, Blasberg et al. 1983</w:t>
        </w:r>
      </w:hyperlink>
      <w:r w:rsidR="00B82802">
        <w:rPr>
          <w:noProof/>
        </w:rPr>
        <w:t>)</w:t>
      </w:r>
      <w:r w:rsidR="009B6816" w:rsidRPr="00D23627">
        <w:fldChar w:fldCharType="end"/>
      </w:r>
      <w:r w:rsidR="007C78D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E5B48" w:rsidTr="00EE5B48">
        <w:tc>
          <w:tcPr>
            <w:tcW w:w="7920" w:type="dxa"/>
            <w:shd w:val="clear" w:color="auto" w:fill="auto"/>
            <w:vAlign w:val="center"/>
          </w:tcPr>
          <w:p w:rsidR="00EE5B48" w:rsidRDefault="00EE5B48" w:rsidP="00EE5B48">
            <w:pPr>
              <w:numPr>
                <w:ilvl w:val="12"/>
                <w:numId w:val="0"/>
              </w:numPr>
              <w:spacing w:line="288" w:lineRule="auto"/>
            </w:pPr>
            <m:oMathPara>
              <m:oMath>
                <m:r>
                  <w:rPr>
                    <w:rFonts w:ascii="Cambria Math" w:hAnsi="Cambria Math"/>
                  </w:rPr>
                  <w:lastRenderedPageBreak/>
                  <m:t>A</m:t>
                </m:r>
                <m:d>
                  <m:dPr>
                    <m:ctrlPr>
                      <w:rPr>
                        <w:rFonts w:ascii="Cambria Math" w:hAnsi="Cambria Math"/>
                        <w:i/>
                      </w:rPr>
                    </m:ctrlPr>
                  </m:dPr>
                  <m:e>
                    <m:r>
                      <w:rPr>
                        <w:rFonts w:ascii="Cambria Math" w:hAnsi="Cambria Math"/>
                      </w:rPr>
                      <m:t>t</m:t>
                    </m:r>
                  </m:e>
                </m:d>
                <m:r>
                  <w:rPr>
                    <w:rFonts w:ascii="Cambria Math" w:hAnsi="Cambria Math"/>
                  </w:rPr>
                  <m:t>=K</m:t>
                </m:r>
                <m:nary>
                  <m:naryPr>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e>
                </m:nary>
                <m:r>
                  <w:rPr>
                    <w:rFonts w:ascii="Cambria Math" w:hAnsi="Cambria Math"/>
                  </w:rPr>
                  <m:t>dt+</m:t>
                </m:r>
                <m:sSub>
                  <m:sSubPr>
                    <m:ctrlPr>
                      <w:rPr>
                        <w:rFonts w:ascii="Cambria Math" w:hAnsi="Cambria Math"/>
                        <w:i/>
                      </w:rPr>
                    </m:ctrlPr>
                  </m:sSubPr>
                  <m:e>
                    <m:r>
                      <w:rPr>
                        <w:rFonts w:ascii="Cambria Math" w:hAnsi="Cambria Math"/>
                      </w:rPr>
                      <m:t>V</m:t>
                    </m:r>
                  </m:e>
                  <m:sub>
                    <m:r>
                      <w:rPr>
                        <w:rFonts w:ascii="Cambria Math" w:hAnsi="Cambria Math"/>
                      </w:rPr>
                      <m:t>0</m:t>
                    </m:r>
                  </m:sub>
                </m:sSub>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oMath>
            </m:oMathPara>
          </w:p>
        </w:tc>
        <w:bookmarkStart w:id="5" w:name="NumberRef7747400999"/>
        <w:bookmarkStart w:id="6" w:name="NumberRef7055475116"/>
        <w:tc>
          <w:tcPr>
            <w:tcW w:w="720" w:type="dxa"/>
            <w:shd w:val="clear" w:color="auto" w:fill="auto"/>
            <w:vAlign w:val="center"/>
          </w:tcPr>
          <w:p w:rsidR="00EE5B48" w:rsidRDefault="009B6816" w:rsidP="00EE5B48">
            <w:pPr>
              <w:pStyle w:val="EquationNumberStyle"/>
            </w:pPr>
            <w:r>
              <w:fldChar w:fldCharType="begin"/>
            </w:r>
            <w:r w:rsidR="00EE5B48">
              <w:instrText xml:space="preserve"> MACROBUTTON NumberReference \* MERGEFORMAT (</w:instrText>
            </w:r>
            <w:fldSimple w:instr=" SEQ EqnChapter \c \* Arabic \* MERGEFORMAT ">
              <w:r w:rsidR="005B6C27">
                <w:rPr>
                  <w:noProof/>
                </w:rPr>
                <w:instrText>1</w:instrText>
              </w:r>
            </w:fldSimple>
            <w:r w:rsidR="00EE5B48">
              <w:instrText>.</w:instrText>
            </w:r>
            <w:fldSimple w:instr=" SEQ EquationNumber \n \* Arabic \* MERGEFORMAT ">
              <w:r w:rsidR="005B6C27">
                <w:rPr>
                  <w:noProof/>
                </w:rPr>
                <w:instrText>1</w:instrText>
              </w:r>
            </w:fldSimple>
            <w:r w:rsidR="00EE5B48">
              <w:instrText>)</w:instrText>
            </w:r>
            <w:r>
              <w:fldChar w:fldCharType="end"/>
            </w:r>
            <w:bookmarkEnd w:id="5"/>
            <w:bookmarkEnd w:id="6"/>
          </w:p>
        </w:tc>
      </w:tr>
    </w:tbl>
    <w:p w:rsidR="00D23627" w:rsidRDefault="00797CC5" w:rsidP="00D23627">
      <w:pPr>
        <w:numPr>
          <w:ilvl w:val="12"/>
          <w:numId w:val="0"/>
        </w:numPr>
        <w:spacing w:line="480" w:lineRule="auto"/>
        <w:ind w:firstLine="720"/>
      </w:pPr>
      <w:r w:rsidRPr="00797CC5">
        <w:t>E</w:t>
      </w:r>
      <w:r w:rsidR="00D23627" w:rsidRPr="00797CC5">
        <w:t xml:space="preserve">quation </w:t>
      </w:r>
      <w:fldSimple w:instr=" REF NumberRef7747400999 \h  \* MERGEFORMAT ">
        <w:r w:rsidR="005B6C27">
          <w:t>(1.1)</w:t>
        </w:r>
      </w:fldSimple>
      <w:r w:rsidRPr="00797CC5">
        <w:t xml:space="preserve"> </w:t>
      </w:r>
      <w:r w:rsidR="00D23627" w:rsidRPr="00797CC5">
        <w:t>describes the</w:t>
      </w:r>
      <w:r w:rsidR="00D23627" w:rsidRPr="00D23627">
        <w:t xml:space="preserve"> accumulation of tracer in tissue as a function of time.  Here, </w:t>
      </w:r>
      <w:r w:rsidR="00D23627" w:rsidRPr="00D23627">
        <w:rPr>
          <w:i/>
        </w:rPr>
        <w:t>A</w:t>
      </w:r>
      <w:r w:rsidR="00D23627" w:rsidRPr="00D23627">
        <w:t xml:space="preserve"> is the total amount of tracer in the region of interest, C</w:t>
      </w:r>
      <w:r w:rsidR="00D23627" w:rsidRPr="00D23627">
        <w:rPr>
          <w:vertAlign w:val="subscript"/>
        </w:rPr>
        <w:t>p</w:t>
      </w:r>
      <w:r w:rsidR="00D23627" w:rsidRPr="00D23627">
        <w:t xml:space="preserve"> is the tracer concentration in the plasma, V</w:t>
      </w:r>
      <w:r w:rsidR="00D23627" w:rsidRPr="00D23627">
        <w:rPr>
          <w:vertAlign w:val="subscript"/>
        </w:rPr>
        <w:t>0</w:t>
      </w:r>
      <w:r w:rsidR="00D23627" w:rsidRPr="00D23627">
        <w:t xml:space="preserve"> is the distribution volume of the tracer in the central compartment, and </w:t>
      </w:r>
      <w:r w:rsidR="00D23627" w:rsidRPr="00D23627">
        <w:rPr>
          <w:i/>
        </w:rPr>
        <w:t>K</w:t>
      </w:r>
      <w:r w:rsidR="00D23627" w:rsidRPr="00D23627">
        <w:t xml:space="preserve"> is the flow rate constant of FDG plasma clearance.  The central component is the second term on the right hand side and the peripheral is the first.  The quantities </w:t>
      </w:r>
      <w:r w:rsidR="00D23627" w:rsidRPr="00D23627">
        <w:rPr>
          <w:i/>
        </w:rPr>
        <w:t>A</w:t>
      </w:r>
      <w:r w:rsidR="00D23627" w:rsidRPr="00D23627">
        <w:t>, C</w:t>
      </w:r>
      <w:r w:rsidR="00D23627" w:rsidRPr="00D23627">
        <w:rPr>
          <w:vertAlign w:val="subscript"/>
        </w:rPr>
        <w:t>p</w:t>
      </w:r>
      <w:r w:rsidR="00D23627" w:rsidRPr="00D23627">
        <w:t xml:space="preserve"> and V</w:t>
      </w:r>
      <w:r w:rsidR="00D23627" w:rsidRPr="00D23627">
        <w:rPr>
          <w:vertAlign w:val="subscript"/>
        </w:rPr>
        <w:t>0</w:t>
      </w:r>
      <w:r w:rsidR="00D23627" w:rsidRPr="00D23627">
        <w:t xml:space="preserve"> are measureable, and solving for the rate of FDG phosphorylation </w:t>
      </w:r>
      <w:r w:rsidR="00D23627" w:rsidRPr="00D23627">
        <w:rPr>
          <w:i/>
        </w:rPr>
        <w:t>K</w:t>
      </w:r>
      <w:r w:rsidR="00D23627" w:rsidRPr="00D23627">
        <w:t xml:space="preserve"> gives important information about tissue metabolism.  Dividing both sides by </w:t>
      </w:r>
      <w:proofErr w:type="gramStart"/>
      <w:r w:rsidR="00D23627" w:rsidRPr="00D23627">
        <w:rPr>
          <w:i/>
        </w:rPr>
        <w:t>C</w:t>
      </w:r>
      <w:r w:rsidR="00D23627" w:rsidRPr="00D23627">
        <w:rPr>
          <w:i/>
          <w:vertAlign w:val="subscript"/>
        </w:rPr>
        <w:t>p</w:t>
      </w:r>
      <w:r w:rsidR="00D23627" w:rsidRPr="00D23627">
        <w:rPr>
          <w:i/>
        </w:rPr>
        <w:t>(</w:t>
      </w:r>
      <w:proofErr w:type="gramEnd"/>
      <w:r w:rsidR="00D23627" w:rsidRPr="00D23627">
        <w:rPr>
          <w:i/>
        </w:rPr>
        <w:t>t)</w:t>
      </w:r>
      <w:r w:rsidR="00D23627" w:rsidRPr="00D23627">
        <w:t xml:space="preserve"> yields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f>
                  <m:fPr>
                    <m:ctrlPr>
                      <w:rPr>
                        <w:rFonts w:ascii="Cambria Math" w:hAnsi="Cambria Math"/>
                        <w:i/>
                      </w:rPr>
                    </m:ctrlPr>
                  </m:fPr>
                  <m:num>
                    <m:r>
                      <w:rPr>
                        <w:rFonts w:ascii="Cambria Math" w:hAnsi="Cambria Math"/>
                      </w:rPr>
                      <m:t>A(t)</m:t>
                    </m:r>
                  </m:num>
                  <m:den>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den>
                </m:f>
                <m:r>
                  <w:rPr>
                    <w:rFonts w:ascii="Cambria Math" w:hAnsi="Cambria Math"/>
                  </w:rPr>
                  <m:t>=K</m:t>
                </m:r>
                <m:f>
                  <m:fPr>
                    <m:ctrlPr>
                      <w:rPr>
                        <w:rFonts w:ascii="Cambria Math" w:hAnsi="Cambria Math"/>
                        <w:i/>
                      </w:rPr>
                    </m:ctrlPr>
                  </m:fPr>
                  <m:num>
                    <m:nary>
                      <m:naryPr>
                        <m:limLoc m:val="undOvr"/>
                        <m:subHide m:val="on"/>
                        <m:supHide m:val="on"/>
                        <m:ctrlPr>
                          <w:rPr>
                            <w:rFonts w:ascii="Cambria Math" w:hAnsi="Cambria Math"/>
                            <w:i/>
                          </w:rPr>
                        </m:ctrlPr>
                      </m:naryPr>
                      <m:sub/>
                      <m:sup/>
                      <m:e>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e>
                    </m:nary>
                    <m:r>
                      <w:rPr>
                        <w:rFonts w:ascii="Cambria Math" w:hAnsi="Cambria Math"/>
                      </w:rPr>
                      <m:t>dt</m:t>
                    </m:r>
                  </m:num>
                  <m:den>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1</w:instrText>
              </w:r>
            </w:fldSimple>
            <w:r w:rsidR="00E26AFF">
              <w:instrText>.</w:instrText>
            </w:r>
            <w:fldSimple w:instr=" SEQ EquationNumber \n \* Arabic \* MERGEFORMAT ">
              <w:r w:rsidR="005B6C27">
                <w:rPr>
                  <w:noProof/>
                </w:rPr>
                <w:instrText>2</w:instrText>
              </w:r>
            </w:fldSimple>
            <w:r w:rsidR="00E26AFF">
              <w:instrText>)</w:instrText>
            </w:r>
            <w:r>
              <w:fldChar w:fldCharType="end"/>
            </w:r>
          </w:p>
        </w:tc>
      </w:tr>
    </w:tbl>
    <w:p w:rsidR="00C94A98" w:rsidRPr="00F920F6" w:rsidRDefault="00D23627" w:rsidP="004F7684">
      <w:pPr>
        <w:numPr>
          <w:ilvl w:val="12"/>
          <w:numId w:val="0"/>
        </w:numPr>
        <w:spacing w:line="480" w:lineRule="auto"/>
        <w:ind w:firstLine="720"/>
      </w:pPr>
      <w:r w:rsidRPr="00D23627">
        <w:t xml:space="preserve">Plotting </w:t>
      </w:r>
      <w:r w:rsidRPr="00D23627">
        <w:rPr>
          <w:i/>
        </w:rPr>
        <w:t>A/C</w:t>
      </w:r>
      <w:r w:rsidRPr="00D23627">
        <w:rPr>
          <w:i/>
          <w:vertAlign w:val="subscript"/>
        </w:rPr>
        <w:t>p</w:t>
      </w:r>
      <w:r w:rsidRPr="00D23627">
        <w:t xml:space="preserve"> vs.</w:t>
      </w:r>
      <w:r w:rsidRPr="00D23627">
        <w:rPr>
          <w:i/>
        </w:rPr>
        <w:t xml:space="preserve"> ∫</w:t>
      </w:r>
      <w:proofErr w:type="spellStart"/>
      <w:r w:rsidRPr="00D23627">
        <w:rPr>
          <w:i/>
        </w:rPr>
        <w:t>C</w:t>
      </w:r>
      <w:r w:rsidRPr="00D23627">
        <w:rPr>
          <w:i/>
          <w:vertAlign w:val="subscript"/>
        </w:rPr>
        <w:t>p</w:t>
      </w:r>
      <w:r w:rsidRPr="00D23627">
        <w:rPr>
          <w:i/>
        </w:rPr>
        <w:t>dt</w:t>
      </w:r>
      <w:proofErr w:type="spellEnd"/>
      <w:r w:rsidRPr="00D23627">
        <w:rPr>
          <w:i/>
        </w:rPr>
        <w:t>/C</w:t>
      </w:r>
      <w:r w:rsidRPr="00D23627">
        <w:rPr>
          <w:i/>
          <w:vertAlign w:val="subscript"/>
        </w:rPr>
        <w:t>p</w:t>
      </w:r>
      <w:r w:rsidRPr="00D23627">
        <w:t xml:space="preserve"> we arrive at a straight line with slope </w:t>
      </w:r>
      <w:r w:rsidRPr="00D23627">
        <w:rPr>
          <w:i/>
        </w:rPr>
        <w:t>K</w:t>
      </w:r>
      <w:r w:rsidRPr="00D23627">
        <w:t xml:space="preserve"> and intercept </w:t>
      </w:r>
      <w:r w:rsidRPr="00D23627">
        <w:rPr>
          <w:i/>
        </w:rPr>
        <w:t>V</w:t>
      </w:r>
      <w:r w:rsidRPr="00D23627">
        <w:rPr>
          <w:i/>
          <w:vertAlign w:val="subscript"/>
        </w:rPr>
        <w:t>0</w:t>
      </w:r>
      <w:r w:rsidRPr="00D23627">
        <w:t xml:space="preserve">.  This model is convenient because it uses linear regression to simplify the pharmacokinetic exchange rate analysis. </w:t>
      </w:r>
    </w:p>
    <w:p w:rsidR="004F7684" w:rsidRPr="00F920F6" w:rsidRDefault="004F7684" w:rsidP="004F7684">
      <w:pPr>
        <w:pStyle w:val="Heading2"/>
      </w:pPr>
      <w:bookmarkStart w:id="7" w:name="_Toc351889985"/>
      <w:r>
        <w:t>PET Scanners</w:t>
      </w:r>
      <w:bookmarkEnd w:id="7"/>
    </w:p>
    <w:p w:rsidR="00175221" w:rsidRPr="00175221" w:rsidRDefault="00175221" w:rsidP="00175221">
      <w:pPr>
        <w:numPr>
          <w:ilvl w:val="12"/>
          <w:numId w:val="0"/>
        </w:numPr>
        <w:spacing w:line="480" w:lineRule="auto"/>
        <w:ind w:firstLine="720"/>
      </w:pPr>
      <w:r w:rsidRPr="00175221">
        <w:t xml:space="preserve">A modern PET scanner consists of a horizontal bed which passes through a circular bore encasing multiple rings of detectors.  The port diameter of a typical gantry is 70-80 cm with an axial field of view (FOV) around 20 cm.  </w:t>
      </w:r>
      <w:r w:rsidR="00156937">
        <w:t xml:space="preserve">The tomograph is capable of imaging the whole body with a “step-and-shoot” approach, scanning sequential bed </w:t>
      </w:r>
      <w:r w:rsidR="00156937">
        <w:lastRenderedPageBreak/>
        <w:t xml:space="preserve">positions and then merging the reconstructed volumes.  </w:t>
      </w:r>
      <w:r w:rsidRPr="00175221">
        <w:t xml:space="preserve">The subject is positioned appropriately, and each bed position is scanned for </w:t>
      </w:r>
      <w:r w:rsidR="00F64361">
        <w:t>1</w:t>
      </w:r>
      <w:r w:rsidRPr="00175221">
        <w:t>-3 minutes.</w:t>
      </w:r>
      <w:r w:rsidRPr="00175221">
        <w:rPr>
          <w:vertAlign w:val="superscript"/>
        </w:rPr>
        <w:footnoteReference w:id="1"/>
      </w:r>
      <w:r w:rsidRPr="00175221">
        <w:t xml:space="preserve"> </w:t>
      </w:r>
    </w:p>
    <w:p w:rsidR="00450CC7" w:rsidRDefault="00F64361" w:rsidP="00450CC7">
      <w:pPr>
        <w:numPr>
          <w:ilvl w:val="12"/>
          <w:numId w:val="0"/>
        </w:numPr>
        <w:spacing w:line="480" w:lineRule="auto"/>
      </w:pPr>
      <w:r>
        <w:tab/>
      </w:r>
      <w:r w:rsidR="00175221" w:rsidRPr="00175221">
        <w:t>The basic function of the PET tomograph is to extract location information from positron radiation.  Today’s PET detection systems are scintillation-based; once a 511keV photon strikes a detector crystal, it is converted into light.  This light is collected by a system of coupled photomultiplier tubes (PMTs), which then output an electrical pulse.</w:t>
      </w:r>
      <w:r w:rsidR="00175221" w:rsidRPr="00175221">
        <w:rPr>
          <w:vertAlign w:val="superscript"/>
        </w:rPr>
        <w:t xml:space="preserve"> </w:t>
      </w:r>
      <w:r w:rsidR="00175221" w:rsidRPr="00175221">
        <w:t xml:space="preserve"> The strength of this pulse determines the initial energy deposited in the crystal and can be used to reject (scatter) events that do not satisfy the energy threshold.  </w:t>
      </w:r>
      <w:r w:rsidR="003C37D9">
        <w:t xml:space="preserve">Scanner performance depends strongly on the properties of the scintillating material; the table below lists the properties of various scintillators.  </w:t>
      </w:r>
      <w:r w:rsidR="00175221" w:rsidRPr="00175221">
        <w:t xml:space="preserve">The </w:t>
      </w:r>
      <w:proofErr w:type="spellStart"/>
      <w:r w:rsidR="00175221" w:rsidRPr="00175221">
        <w:t>Biograph</w:t>
      </w:r>
      <w:proofErr w:type="spellEnd"/>
      <w:r w:rsidR="00175221" w:rsidRPr="00175221">
        <w:t xml:space="preserve"> </w:t>
      </w:r>
      <w:proofErr w:type="spellStart"/>
      <w:r w:rsidR="00175221" w:rsidRPr="00175221">
        <w:t>TruePoint</w:t>
      </w:r>
      <w:proofErr w:type="spellEnd"/>
      <w:r w:rsidR="00175221" w:rsidRPr="00175221">
        <w:t xml:space="preserve"> </w:t>
      </w:r>
      <w:proofErr w:type="spellStart"/>
      <w:r w:rsidR="00175221" w:rsidRPr="00175221">
        <w:t>TrueV</w:t>
      </w:r>
      <w:proofErr w:type="spellEnd"/>
      <w:r w:rsidR="00175221" w:rsidRPr="00175221">
        <w:t xml:space="preserve"> PET/CT scanner (Siemens Molecular Imaging) employs four rings of 48 detector blocks, each </w:t>
      </w:r>
      <w:r>
        <w:t>comprising</w:t>
      </w:r>
      <w:r w:rsidR="00175221" w:rsidRPr="00175221">
        <w:t xml:space="preserve"> an array of 13 x 13 </w:t>
      </w:r>
      <w:r w:rsidR="003C37D9">
        <w:t xml:space="preserve">LSO </w:t>
      </w:r>
      <w:r w:rsidR="00175221" w:rsidRPr="00175221">
        <w:t xml:space="preserve">crystals </w:t>
      </w:r>
      <w:r w:rsidR="009B6816" w:rsidRPr="00175221">
        <w:fldChar w:fldCharType="begin"/>
      </w:r>
      <w:r w:rsidR="002D7C36">
        <w:instrText xml:space="preserve"> ADDIN EN.CITE &lt;EndNote&gt;&lt;Cite&gt;&lt;Author&gt;Jakoby&lt;/Author&gt;&lt;RecNum&gt;113&lt;/RecNum&gt;&lt;DisplayText&gt;(Jakoby, Bercier et al. 2008)&lt;/DisplayText&gt;&lt;record&gt;&lt;rec-number&gt;113&lt;/rec-number&gt;&lt;foreign-keys&gt;&lt;key app="EN" db-id="srwv9ppvvez5pgefxzi5ddeve5w2fe5x5esr"&gt;113&lt;/key&gt;&lt;/foreign-keys&gt;&lt;ref-type name="Journal Article"&gt;17&lt;/ref-type&gt;&lt;contributors&gt;&lt;authors&gt;&lt;author&gt;Jakoby, BW&lt;/author&gt;&lt;author&gt;Bercier, Y&lt;/author&gt;&lt;author&gt;Conti, M&lt;/author&gt;&lt;author&gt;Casey, M&lt;/author&gt;&lt;author&gt;Gremillion, T&lt;/author&gt;&lt;author&gt;Hayden, C&lt;/author&gt;&lt;author&gt;Bendriem, B&lt;/author&gt;&lt;author&gt;Townsend, DW&lt;/author&gt;&lt;/authors&gt;&lt;/contributors&gt;&lt;titles&gt;&lt;title&gt;Performance investigation of a time-of-flight PET/CT scanner&lt;/title&gt;&lt;/titles&gt;&lt;dates&gt;&lt;year&gt;2008&lt;/year&gt;&lt;/dates&gt;&lt;urls&gt;&lt;/urls&gt;&lt;/record&gt;&lt;/Cite&gt;&lt;Cite&gt;&lt;Author&gt;Jakoby&lt;/Author&gt;&lt;RecNum&gt;113&lt;/RecNum&gt;&lt;record&gt;&lt;rec-number&gt;113&lt;/rec-number&gt;&lt;foreign-keys&gt;&lt;key app="EN" db-id="srwv9ppvvez5pgefxzi5ddeve5w2fe5x5esr"&gt;113&lt;/key&gt;&lt;/foreign-keys&gt;&lt;ref-type name="Journal Article"&gt;17&lt;/ref-type&gt;&lt;contributors&gt;&lt;authors&gt;&lt;author&gt;Jakoby, BW&lt;/author&gt;&lt;author&gt;Bercier, Y&lt;/author&gt;&lt;author&gt;Conti, M&lt;/author&gt;&lt;author&gt;Casey, M&lt;/author&gt;&lt;author&gt;Gremillion, T&lt;/author&gt;&lt;author&gt;Hayden, C&lt;/author&gt;&lt;author&gt;Bendriem, B&lt;/author&gt;&lt;author&gt;Townsend, DW&lt;/author&gt;&lt;/authors&gt;&lt;/contributors&gt;&lt;titles&gt;&lt;title&gt;Performance investigation of a time-of-flight PET/CT scanner&lt;/title&gt;&lt;/titles&gt;&lt;dates&gt;&lt;year&gt;2008&lt;/year&gt;&lt;/dates&gt;&lt;urls&gt;&lt;/urls&gt;&lt;/record&gt;&lt;/Cite&gt;&lt;/EndNote&gt;</w:instrText>
      </w:r>
      <w:r w:rsidR="009B6816" w:rsidRPr="00175221">
        <w:fldChar w:fldCharType="separate"/>
      </w:r>
      <w:r w:rsidR="002D7C36">
        <w:rPr>
          <w:noProof/>
        </w:rPr>
        <w:t>(</w:t>
      </w:r>
      <w:hyperlink w:anchor="_ENREF_43" w:tooltip="Jakoby, 2008 #113" w:history="1">
        <w:r w:rsidR="007704DB">
          <w:rPr>
            <w:noProof/>
          </w:rPr>
          <w:t>Jakoby, Bercier et al. 2008</w:t>
        </w:r>
      </w:hyperlink>
      <w:r w:rsidR="002D7C36">
        <w:rPr>
          <w:noProof/>
        </w:rPr>
        <w:t>)</w:t>
      </w:r>
      <w:r w:rsidR="009B6816" w:rsidRPr="00175221">
        <w:fldChar w:fldCharType="end"/>
      </w:r>
      <w:r w:rsidR="000B31CA">
        <w:t>.</w:t>
      </w:r>
    </w:p>
    <w:p w:rsidR="0086578D" w:rsidRDefault="0086578D" w:rsidP="00450CC7">
      <w:pPr>
        <w:numPr>
          <w:ilvl w:val="12"/>
          <w:numId w:val="0"/>
        </w:numPr>
        <w:spacing w:line="480" w:lineRule="auto"/>
      </w:pPr>
    </w:p>
    <w:p w:rsidR="003C37D9" w:rsidRDefault="00271B5F" w:rsidP="0084023C">
      <w:pPr>
        <w:pStyle w:val="Caption"/>
      </w:pPr>
      <w:bookmarkStart w:id="8" w:name="_Toc351890039"/>
      <w:r>
        <w:t xml:space="preserve">Table </w:t>
      </w:r>
      <w:fldSimple w:instr=" SEQ Table \* ARABIC ">
        <w:r w:rsidR="005B6C27">
          <w:rPr>
            <w:noProof/>
          </w:rPr>
          <w:t>2</w:t>
        </w:r>
      </w:fldSimple>
      <w:r>
        <w:t xml:space="preserve">. </w:t>
      </w:r>
      <w:r w:rsidR="00450CC7">
        <w:t>Comparison of different PET scintillators and their properties</w:t>
      </w:r>
      <w:bookmarkEnd w:id="8"/>
    </w:p>
    <w:tbl>
      <w:tblPr>
        <w:tblW w:w="8911" w:type="dxa"/>
        <w:tblLayout w:type="fixed"/>
        <w:tblCellMar>
          <w:left w:w="91" w:type="dxa"/>
          <w:right w:w="91" w:type="dxa"/>
        </w:tblCellMar>
        <w:tblLook w:val="0000"/>
      </w:tblPr>
      <w:tblGrid>
        <w:gridCol w:w="1981"/>
        <w:gridCol w:w="1710"/>
        <w:gridCol w:w="90"/>
        <w:gridCol w:w="810"/>
        <w:gridCol w:w="1350"/>
        <w:gridCol w:w="1440"/>
        <w:gridCol w:w="1530"/>
      </w:tblGrid>
      <w:tr w:rsidR="003C37D9" w:rsidRPr="00F920F6" w:rsidTr="003C37D9">
        <w:trPr>
          <w:cantSplit/>
          <w:trHeight w:val="677"/>
        </w:trPr>
        <w:tc>
          <w:tcPr>
            <w:tcW w:w="1981" w:type="dxa"/>
            <w:tcBorders>
              <w:top w:val="single" w:sz="12" w:space="0" w:color="000000"/>
            </w:tcBorders>
          </w:tcPr>
          <w:p w:rsidR="003C37D9" w:rsidRPr="0061679A" w:rsidRDefault="003C37D9" w:rsidP="003C37D9">
            <w:pPr>
              <w:numPr>
                <w:ilvl w:val="12"/>
                <w:numId w:val="0"/>
              </w:numPr>
              <w:spacing w:before="96" w:after="51"/>
              <w:rPr>
                <w:sz w:val="22"/>
                <w:szCs w:val="22"/>
              </w:rPr>
            </w:pPr>
            <w:r>
              <w:br w:type="page"/>
            </w:r>
            <w:r>
              <w:rPr>
                <w:b/>
                <w:bCs/>
                <w:i/>
                <w:iCs/>
                <w:sz w:val="22"/>
                <w:szCs w:val="22"/>
              </w:rPr>
              <w:t>Scintillator</w:t>
            </w:r>
          </w:p>
        </w:tc>
        <w:tc>
          <w:tcPr>
            <w:tcW w:w="1710" w:type="dxa"/>
            <w:tcBorders>
              <w:top w:val="single" w:sz="12" w:space="0" w:color="000000"/>
            </w:tcBorders>
          </w:tcPr>
          <w:p w:rsidR="003C37D9" w:rsidRPr="00F920F6" w:rsidRDefault="003C37D9" w:rsidP="003C37D9">
            <w:pPr>
              <w:numPr>
                <w:ilvl w:val="12"/>
                <w:numId w:val="0"/>
              </w:numPr>
              <w:spacing w:before="96" w:after="51"/>
              <w:rPr>
                <w:sz w:val="22"/>
                <w:szCs w:val="22"/>
              </w:rPr>
            </w:pPr>
            <w:r>
              <w:rPr>
                <w:b/>
                <w:bCs/>
                <w:i/>
                <w:iCs/>
                <w:sz w:val="22"/>
                <w:szCs w:val="22"/>
              </w:rPr>
              <w:t>Light output (photons MeV</w:t>
            </w:r>
            <w:r w:rsidRPr="006F7AEE">
              <w:rPr>
                <w:b/>
                <w:bCs/>
                <w:i/>
                <w:iCs/>
                <w:sz w:val="22"/>
                <w:szCs w:val="22"/>
                <w:vertAlign w:val="superscript"/>
              </w:rPr>
              <w:t>-1</w:t>
            </w:r>
            <w:r>
              <w:rPr>
                <w:b/>
                <w:bCs/>
                <w:i/>
                <w:iCs/>
                <w:sz w:val="22"/>
                <w:szCs w:val="22"/>
              </w:rPr>
              <w:t>)</w:t>
            </w:r>
          </w:p>
        </w:tc>
        <w:tc>
          <w:tcPr>
            <w:tcW w:w="900" w:type="dxa"/>
            <w:gridSpan w:val="2"/>
            <w:tcBorders>
              <w:top w:val="single" w:sz="12" w:space="0" w:color="000000"/>
            </w:tcBorders>
          </w:tcPr>
          <w:p w:rsidR="003C37D9" w:rsidRDefault="003C37D9" w:rsidP="003C37D9">
            <w:pPr>
              <w:numPr>
                <w:ilvl w:val="12"/>
                <w:numId w:val="0"/>
              </w:numPr>
              <w:spacing w:before="96" w:after="51"/>
              <w:rPr>
                <w:b/>
                <w:bCs/>
                <w:i/>
                <w:iCs/>
                <w:sz w:val="22"/>
                <w:szCs w:val="22"/>
              </w:rPr>
            </w:pPr>
            <w:r>
              <w:rPr>
                <w:b/>
                <w:bCs/>
                <w:i/>
                <w:iCs/>
                <w:sz w:val="22"/>
                <w:szCs w:val="22"/>
              </w:rPr>
              <w:t>Density (g cm</w:t>
            </w:r>
            <w:r w:rsidRPr="006F7AEE">
              <w:rPr>
                <w:b/>
                <w:bCs/>
                <w:i/>
                <w:iCs/>
                <w:sz w:val="22"/>
                <w:szCs w:val="22"/>
                <w:vertAlign w:val="superscript"/>
              </w:rPr>
              <w:t>-3</w:t>
            </w:r>
            <w:r>
              <w:rPr>
                <w:b/>
                <w:bCs/>
                <w:i/>
                <w:iCs/>
                <w:sz w:val="22"/>
                <w:szCs w:val="22"/>
              </w:rPr>
              <w:t>)</w:t>
            </w:r>
          </w:p>
        </w:tc>
        <w:tc>
          <w:tcPr>
            <w:tcW w:w="1350" w:type="dxa"/>
            <w:tcBorders>
              <w:top w:val="single" w:sz="12" w:space="0" w:color="000000"/>
            </w:tcBorders>
          </w:tcPr>
          <w:p w:rsidR="003C37D9" w:rsidRDefault="003C37D9" w:rsidP="003C37D9">
            <w:pPr>
              <w:numPr>
                <w:ilvl w:val="12"/>
                <w:numId w:val="0"/>
              </w:numPr>
              <w:spacing w:before="96" w:after="51"/>
              <w:rPr>
                <w:b/>
                <w:bCs/>
                <w:i/>
                <w:iCs/>
                <w:sz w:val="22"/>
                <w:szCs w:val="22"/>
              </w:rPr>
            </w:pPr>
            <w:r>
              <w:rPr>
                <w:b/>
                <w:bCs/>
                <w:i/>
                <w:iCs/>
                <w:sz w:val="22"/>
                <w:szCs w:val="22"/>
              </w:rPr>
              <w:t>Attenuation length (mm)</w:t>
            </w:r>
          </w:p>
        </w:tc>
        <w:tc>
          <w:tcPr>
            <w:tcW w:w="1440" w:type="dxa"/>
            <w:tcBorders>
              <w:top w:val="single" w:sz="12" w:space="0" w:color="000000"/>
            </w:tcBorders>
          </w:tcPr>
          <w:p w:rsidR="003C37D9" w:rsidRDefault="003C37D9" w:rsidP="003C37D9">
            <w:pPr>
              <w:numPr>
                <w:ilvl w:val="12"/>
                <w:numId w:val="0"/>
              </w:numPr>
              <w:spacing w:before="96" w:after="51"/>
              <w:rPr>
                <w:b/>
                <w:bCs/>
                <w:i/>
                <w:iCs/>
                <w:sz w:val="22"/>
                <w:szCs w:val="22"/>
              </w:rPr>
            </w:pPr>
            <w:r>
              <w:rPr>
                <w:b/>
                <w:bCs/>
                <w:i/>
                <w:iCs/>
                <w:sz w:val="22"/>
                <w:szCs w:val="22"/>
              </w:rPr>
              <w:t>Decay constant (ns)</w:t>
            </w:r>
          </w:p>
        </w:tc>
        <w:tc>
          <w:tcPr>
            <w:tcW w:w="1530" w:type="dxa"/>
            <w:tcBorders>
              <w:top w:val="single" w:sz="12" w:space="0" w:color="000000"/>
            </w:tcBorders>
          </w:tcPr>
          <w:p w:rsidR="003C37D9" w:rsidRDefault="00585CEB" w:rsidP="003C37D9">
            <w:pPr>
              <w:numPr>
                <w:ilvl w:val="12"/>
                <w:numId w:val="0"/>
              </w:numPr>
              <w:spacing w:before="96" w:after="51"/>
              <w:rPr>
                <w:b/>
                <w:bCs/>
                <w:i/>
                <w:iCs/>
                <w:sz w:val="22"/>
                <w:szCs w:val="22"/>
              </w:rPr>
            </w:pPr>
            <w:r>
              <w:rPr>
                <w:b/>
                <w:bCs/>
                <w:i/>
                <w:iCs/>
                <w:sz w:val="22"/>
                <w:szCs w:val="22"/>
              </w:rPr>
              <w:t>Energy resolution (%)</w:t>
            </w:r>
          </w:p>
        </w:tc>
      </w:tr>
      <w:tr w:rsidR="003C37D9" w:rsidRPr="00F920F6" w:rsidTr="003C37D9">
        <w:trPr>
          <w:cantSplit/>
          <w:trHeight w:val="1741"/>
        </w:trPr>
        <w:tc>
          <w:tcPr>
            <w:tcW w:w="1981" w:type="dxa"/>
            <w:tcBorders>
              <w:top w:val="single" w:sz="12" w:space="0" w:color="000000"/>
              <w:bottom w:val="single" w:sz="12" w:space="0" w:color="000000"/>
            </w:tcBorders>
          </w:tcPr>
          <w:p w:rsidR="003C37D9" w:rsidRPr="006F7AEE" w:rsidRDefault="003C37D9" w:rsidP="003C37D9">
            <w:pPr>
              <w:numPr>
                <w:ilvl w:val="12"/>
                <w:numId w:val="0"/>
              </w:numPr>
              <w:spacing w:before="96" w:after="51"/>
              <w:rPr>
                <w:sz w:val="22"/>
                <w:szCs w:val="22"/>
              </w:rPr>
            </w:pPr>
            <w:proofErr w:type="spellStart"/>
            <w:r w:rsidRPr="006F7AEE">
              <w:rPr>
                <w:sz w:val="22"/>
                <w:szCs w:val="22"/>
              </w:rPr>
              <w:t>NaI</w:t>
            </w:r>
            <w:proofErr w:type="spellEnd"/>
          </w:p>
          <w:p w:rsidR="003C37D9" w:rsidRPr="006F7AEE" w:rsidRDefault="003C37D9" w:rsidP="003C37D9">
            <w:pPr>
              <w:numPr>
                <w:ilvl w:val="12"/>
                <w:numId w:val="0"/>
              </w:numPr>
              <w:spacing w:before="96" w:after="51"/>
              <w:rPr>
                <w:sz w:val="22"/>
                <w:szCs w:val="22"/>
              </w:rPr>
            </w:pPr>
            <w:r w:rsidRPr="006F7AEE">
              <w:rPr>
                <w:color w:val="000000"/>
                <w:sz w:val="22"/>
                <w:szCs w:val="22"/>
              </w:rPr>
              <w:t>Bi</w:t>
            </w:r>
            <w:r w:rsidRPr="006F7AEE">
              <w:rPr>
                <w:color w:val="000000"/>
                <w:sz w:val="22"/>
                <w:szCs w:val="22"/>
                <w:vertAlign w:val="subscript"/>
              </w:rPr>
              <w:t>4</w:t>
            </w:r>
            <w:r w:rsidRPr="006F7AEE">
              <w:rPr>
                <w:color w:val="000000"/>
                <w:sz w:val="22"/>
                <w:szCs w:val="22"/>
              </w:rPr>
              <w:t>Ge</w:t>
            </w:r>
            <w:r w:rsidRPr="006F7AEE">
              <w:rPr>
                <w:color w:val="000000"/>
                <w:sz w:val="22"/>
                <w:szCs w:val="22"/>
                <w:vertAlign w:val="subscript"/>
              </w:rPr>
              <w:t>3</w:t>
            </w:r>
            <w:r w:rsidRPr="006F7AEE">
              <w:rPr>
                <w:color w:val="000000"/>
                <w:sz w:val="22"/>
                <w:szCs w:val="22"/>
              </w:rPr>
              <w:t>O</w:t>
            </w:r>
            <w:r w:rsidRPr="006F7AEE">
              <w:rPr>
                <w:color w:val="000000"/>
                <w:sz w:val="22"/>
                <w:szCs w:val="22"/>
                <w:vertAlign w:val="subscript"/>
              </w:rPr>
              <w:t>12</w:t>
            </w:r>
            <w:r w:rsidRPr="006F7AEE">
              <w:rPr>
                <w:color w:val="000000"/>
                <w:sz w:val="22"/>
                <w:szCs w:val="22"/>
              </w:rPr>
              <w:t xml:space="preserve"> (BGO)</w:t>
            </w:r>
          </w:p>
          <w:p w:rsidR="003C37D9" w:rsidRPr="006F7AEE" w:rsidRDefault="003C37D9" w:rsidP="003C37D9">
            <w:pPr>
              <w:numPr>
                <w:ilvl w:val="12"/>
                <w:numId w:val="0"/>
              </w:numPr>
              <w:spacing w:before="96" w:after="51"/>
              <w:rPr>
                <w:sz w:val="22"/>
                <w:szCs w:val="22"/>
              </w:rPr>
            </w:pPr>
            <w:r w:rsidRPr="006F7AEE">
              <w:rPr>
                <w:color w:val="000000"/>
                <w:sz w:val="22"/>
                <w:szCs w:val="22"/>
              </w:rPr>
              <w:t>Lu</w:t>
            </w:r>
            <w:r w:rsidRPr="006F7AEE">
              <w:rPr>
                <w:color w:val="000000"/>
                <w:sz w:val="22"/>
                <w:szCs w:val="22"/>
                <w:vertAlign w:val="subscript"/>
              </w:rPr>
              <w:t>2</w:t>
            </w:r>
            <w:r w:rsidRPr="006F7AEE">
              <w:rPr>
                <w:color w:val="000000"/>
                <w:sz w:val="22"/>
                <w:szCs w:val="22"/>
              </w:rPr>
              <w:t>SiO</w:t>
            </w:r>
            <w:r w:rsidRPr="006F7AEE">
              <w:rPr>
                <w:color w:val="000000"/>
                <w:sz w:val="22"/>
                <w:szCs w:val="22"/>
                <w:vertAlign w:val="subscript"/>
              </w:rPr>
              <w:t>5</w:t>
            </w:r>
            <w:r w:rsidRPr="006F7AEE">
              <w:rPr>
                <w:color w:val="000000"/>
                <w:sz w:val="22"/>
                <w:szCs w:val="22"/>
              </w:rPr>
              <w:t>:Ce (LSO)</w:t>
            </w:r>
          </w:p>
          <w:p w:rsidR="003C37D9" w:rsidRPr="006F7AEE" w:rsidRDefault="003C37D9" w:rsidP="003C37D9">
            <w:pPr>
              <w:numPr>
                <w:ilvl w:val="12"/>
                <w:numId w:val="0"/>
              </w:numPr>
              <w:spacing w:before="96" w:after="51"/>
              <w:rPr>
                <w:color w:val="000000"/>
                <w:sz w:val="22"/>
                <w:szCs w:val="22"/>
              </w:rPr>
            </w:pPr>
            <w:r w:rsidRPr="006F7AEE">
              <w:rPr>
                <w:color w:val="000000"/>
                <w:sz w:val="22"/>
                <w:szCs w:val="22"/>
              </w:rPr>
              <w:t>Cd</w:t>
            </w:r>
            <w:r w:rsidRPr="006F7AEE">
              <w:rPr>
                <w:color w:val="000000"/>
                <w:sz w:val="22"/>
                <w:szCs w:val="22"/>
                <w:vertAlign w:val="subscript"/>
              </w:rPr>
              <w:t>2</w:t>
            </w:r>
            <w:r w:rsidRPr="006F7AEE">
              <w:rPr>
                <w:color w:val="000000"/>
                <w:sz w:val="22"/>
                <w:szCs w:val="22"/>
              </w:rPr>
              <w:t>SiO</w:t>
            </w:r>
            <w:r w:rsidRPr="006F7AEE">
              <w:rPr>
                <w:color w:val="000000"/>
                <w:sz w:val="22"/>
                <w:szCs w:val="22"/>
                <w:vertAlign w:val="subscript"/>
              </w:rPr>
              <w:t>5</w:t>
            </w:r>
            <w:r w:rsidRPr="006F7AEE">
              <w:rPr>
                <w:color w:val="000000"/>
                <w:sz w:val="22"/>
                <w:szCs w:val="22"/>
              </w:rPr>
              <w:t>:Ce (GSO)</w:t>
            </w:r>
          </w:p>
          <w:p w:rsidR="003C37D9" w:rsidRPr="00F920F6" w:rsidRDefault="003C37D9" w:rsidP="003C37D9">
            <w:pPr>
              <w:numPr>
                <w:ilvl w:val="12"/>
                <w:numId w:val="0"/>
              </w:numPr>
              <w:spacing w:before="96" w:after="51"/>
              <w:rPr>
                <w:sz w:val="22"/>
                <w:szCs w:val="22"/>
              </w:rPr>
            </w:pPr>
            <w:r w:rsidRPr="006F7AEE">
              <w:rPr>
                <w:color w:val="000000"/>
                <w:sz w:val="22"/>
                <w:szCs w:val="22"/>
              </w:rPr>
              <w:t>BaF</w:t>
            </w:r>
            <w:r w:rsidRPr="006F7AEE">
              <w:rPr>
                <w:color w:val="000000"/>
                <w:sz w:val="22"/>
                <w:szCs w:val="22"/>
                <w:vertAlign w:val="subscript"/>
              </w:rPr>
              <w:t>2</w:t>
            </w:r>
          </w:p>
        </w:tc>
        <w:tc>
          <w:tcPr>
            <w:tcW w:w="1800" w:type="dxa"/>
            <w:gridSpan w:val="2"/>
            <w:tcBorders>
              <w:top w:val="single" w:sz="12" w:space="0" w:color="000000"/>
              <w:bottom w:val="single" w:sz="12" w:space="0" w:color="000000"/>
            </w:tcBorders>
          </w:tcPr>
          <w:p w:rsidR="003C37D9" w:rsidRPr="00F920F6" w:rsidRDefault="003C37D9" w:rsidP="003C37D9">
            <w:pPr>
              <w:numPr>
                <w:ilvl w:val="12"/>
                <w:numId w:val="0"/>
              </w:numPr>
              <w:spacing w:before="96" w:after="51"/>
              <w:rPr>
                <w:sz w:val="22"/>
                <w:szCs w:val="22"/>
              </w:rPr>
            </w:pPr>
            <w:r>
              <w:rPr>
                <w:sz w:val="22"/>
                <w:szCs w:val="22"/>
              </w:rPr>
              <w:t>41000</w:t>
            </w:r>
          </w:p>
          <w:p w:rsidR="003C37D9" w:rsidRDefault="003C37D9" w:rsidP="003C37D9">
            <w:pPr>
              <w:numPr>
                <w:ilvl w:val="12"/>
                <w:numId w:val="0"/>
              </w:numPr>
              <w:spacing w:before="96" w:after="51"/>
              <w:rPr>
                <w:sz w:val="22"/>
                <w:szCs w:val="22"/>
              </w:rPr>
            </w:pPr>
            <w:r>
              <w:rPr>
                <w:sz w:val="22"/>
                <w:szCs w:val="22"/>
              </w:rPr>
              <w:t>9000</w:t>
            </w:r>
          </w:p>
          <w:p w:rsidR="003C37D9" w:rsidRDefault="003C37D9" w:rsidP="003C37D9">
            <w:pPr>
              <w:numPr>
                <w:ilvl w:val="12"/>
                <w:numId w:val="0"/>
              </w:numPr>
              <w:spacing w:before="96" w:after="51"/>
              <w:rPr>
                <w:sz w:val="22"/>
                <w:szCs w:val="22"/>
              </w:rPr>
            </w:pPr>
            <w:r>
              <w:rPr>
                <w:sz w:val="22"/>
                <w:szCs w:val="22"/>
              </w:rPr>
              <w:t>26000</w:t>
            </w:r>
          </w:p>
          <w:p w:rsidR="003C37D9" w:rsidRPr="00F920F6" w:rsidRDefault="003C37D9" w:rsidP="003C37D9">
            <w:pPr>
              <w:numPr>
                <w:ilvl w:val="12"/>
                <w:numId w:val="0"/>
              </w:numPr>
              <w:spacing w:before="96" w:after="51"/>
              <w:rPr>
                <w:sz w:val="22"/>
                <w:szCs w:val="22"/>
              </w:rPr>
            </w:pPr>
            <w:r>
              <w:rPr>
                <w:sz w:val="22"/>
                <w:szCs w:val="22"/>
              </w:rPr>
              <w:t>8000</w:t>
            </w:r>
          </w:p>
          <w:p w:rsidR="003C37D9" w:rsidRPr="00F920F6" w:rsidRDefault="003C37D9" w:rsidP="003C37D9">
            <w:pPr>
              <w:numPr>
                <w:ilvl w:val="12"/>
                <w:numId w:val="0"/>
              </w:numPr>
              <w:spacing w:before="96" w:after="51"/>
              <w:rPr>
                <w:sz w:val="22"/>
                <w:szCs w:val="22"/>
              </w:rPr>
            </w:pPr>
            <w:r>
              <w:rPr>
                <w:sz w:val="22"/>
                <w:szCs w:val="22"/>
              </w:rPr>
              <w:t>1400</w:t>
            </w:r>
          </w:p>
        </w:tc>
        <w:tc>
          <w:tcPr>
            <w:tcW w:w="810" w:type="dxa"/>
            <w:tcBorders>
              <w:top w:val="single" w:sz="12" w:space="0" w:color="000000"/>
              <w:bottom w:val="single" w:sz="12" w:space="0" w:color="000000"/>
            </w:tcBorders>
          </w:tcPr>
          <w:p w:rsidR="003C37D9" w:rsidRDefault="003C37D9" w:rsidP="003C37D9">
            <w:pPr>
              <w:numPr>
                <w:ilvl w:val="12"/>
                <w:numId w:val="0"/>
              </w:numPr>
              <w:spacing w:before="96" w:after="51"/>
              <w:rPr>
                <w:sz w:val="22"/>
                <w:szCs w:val="22"/>
              </w:rPr>
            </w:pPr>
            <w:r>
              <w:rPr>
                <w:sz w:val="22"/>
                <w:szCs w:val="22"/>
              </w:rPr>
              <w:t>3.7</w:t>
            </w:r>
          </w:p>
          <w:p w:rsidR="003C37D9" w:rsidRDefault="003C37D9" w:rsidP="003C37D9">
            <w:pPr>
              <w:numPr>
                <w:ilvl w:val="12"/>
                <w:numId w:val="0"/>
              </w:numPr>
              <w:spacing w:before="96" w:after="51"/>
              <w:rPr>
                <w:sz w:val="22"/>
                <w:szCs w:val="22"/>
              </w:rPr>
            </w:pPr>
            <w:r>
              <w:rPr>
                <w:sz w:val="22"/>
                <w:szCs w:val="22"/>
              </w:rPr>
              <w:t>7.1</w:t>
            </w:r>
          </w:p>
          <w:p w:rsidR="003C37D9" w:rsidRDefault="003C37D9" w:rsidP="003C37D9">
            <w:pPr>
              <w:numPr>
                <w:ilvl w:val="12"/>
                <w:numId w:val="0"/>
              </w:numPr>
              <w:spacing w:before="96" w:after="51"/>
              <w:rPr>
                <w:sz w:val="22"/>
                <w:szCs w:val="22"/>
              </w:rPr>
            </w:pPr>
            <w:r>
              <w:rPr>
                <w:sz w:val="22"/>
                <w:szCs w:val="22"/>
              </w:rPr>
              <w:t>7.4</w:t>
            </w:r>
          </w:p>
          <w:p w:rsidR="003C37D9" w:rsidRDefault="003C37D9" w:rsidP="003C37D9">
            <w:pPr>
              <w:numPr>
                <w:ilvl w:val="12"/>
                <w:numId w:val="0"/>
              </w:numPr>
              <w:spacing w:before="96" w:after="51"/>
              <w:rPr>
                <w:sz w:val="22"/>
                <w:szCs w:val="22"/>
              </w:rPr>
            </w:pPr>
            <w:r>
              <w:rPr>
                <w:sz w:val="22"/>
                <w:szCs w:val="22"/>
              </w:rPr>
              <w:t>6.7</w:t>
            </w:r>
          </w:p>
          <w:p w:rsidR="003C37D9" w:rsidRDefault="003C37D9" w:rsidP="003C37D9">
            <w:pPr>
              <w:numPr>
                <w:ilvl w:val="12"/>
                <w:numId w:val="0"/>
              </w:numPr>
              <w:spacing w:before="96" w:after="51"/>
              <w:rPr>
                <w:sz w:val="22"/>
                <w:szCs w:val="22"/>
              </w:rPr>
            </w:pPr>
            <w:r>
              <w:rPr>
                <w:sz w:val="22"/>
                <w:szCs w:val="22"/>
              </w:rPr>
              <w:t>4.9</w:t>
            </w:r>
          </w:p>
        </w:tc>
        <w:tc>
          <w:tcPr>
            <w:tcW w:w="1350" w:type="dxa"/>
            <w:tcBorders>
              <w:top w:val="single" w:sz="12" w:space="0" w:color="000000"/>
              <w:bottom w:val="single" w:sz="12" w:space="0" w:color="000000"/>
            </w:tcBorders>
          </w:tcPr>
          <w:p w:rsidR="003C37D9" w:rsidRDefault="003C37D9" w:rsidP="003C37D9">
            <w:pPr>
              <w:numPr>
                <w:ilvl w:val="12"/>
                <w:numId w:val="0"/>
              </w:numPr>
              <w:spacing w:before="96" w:after="51"/>
              <w:rPr>
                <w:sz w:val="22"/>
                <w:szCs w:val="22"/>
              </w:rPr>
            </w:pPr>
            <w:r>
              <w:rPr>
                <w:sz w:val="22"/>
                <w:szCs w:val="22"/>
              </w:rPr>
              <w:t>29</w:t>
            </w:r>
          </w:p>
          <w:p w:rsidR="003C37D9" w:rsidRDefault="003C37D9" w:rsidP="003C37D9">
            <w:pPr>
              <w:numPr>
                <w:ilvl w:val="12"/>
                <w:numId w:val="0"/>
              </w:numPr>
              <w:spacing w:before="96" w:after="51"/>
              <w:rPr>
                <w:sz w:val="22"/>
                <w:szCs w:val="22"/>
              </w:rPr>
            </w:pPr>
            <w:r>
              <w:rPr>
                <w:sz w:val="22"/>
                <w:szCs w:val="22"/>
              </w:rPr>
              <w:t>11</w:t>
            </w:r>
          </w:p>
          <w:p w:rsidR="003C37D9" w:rsidRDefault="003C37D9" w:rsidP="003C37D9">
            <w:pPr>
              <w:numPr>
                <w:ilvl w:val="12"/>
                <w:numId w:val="0"/>
              </w:numPr>
              <w:spacing w:before="96" w:after="51"/>
              <w:rPr>
                <w:sz w:val="22"/>
                <w:szCs w:val="22"/>
              </w:rPr>
            </w:pPr>
            <w:r>
              <w:rPr>
                <w:sz w:val="22"/>
                <w:szCs w:val="22"/>
              </w:rPr>
              <w:t>12</w:t>
            </w:r>
          </w:p>
          <w:p w:rsidR="003C37D9" w:rsidRDefault="003C37D9" w:rsidP="003C37D9">
            <w:pPr>
              <w:numPr>
                <w:ilvl w:val="12"/>
                <w:numId w:val="0"/>
              </w:numPr>
              <w:spacing w:before="96" w:after="51"/>
              <w:rPr>
                <w:sz w:val="22"/>
                <w:szCs w:val="22"/>
              </w:rPr>
            </w:pPr>
            <w:r>
              <w:rPr>
                <w:sz w:val="22"/>
                <w:szCs w:val="22"/>
              </w:rPr>
              <w:t>14</w:t>
            </w:r>
          </w:p>
          <w:p w:rsidR="003C37D9" w:rsidRDefault="003C37D9" w:rsidP="003C37D9">
            <w:pPr>
              <w:numPr>
                <w:ilvl w:val="12"/>
                <w:numId w:val="0"/>
              </w:numPr>
              <w:spacing w:before="96" w:after="51"/>
              <w:rPr>
                <w:sz w:val="22"/>
                <w:szCs w:val="22"/>
              </w:rPr>
            </w:pPr>
            <w:r>
              <w:rPr>
                <w:sz w:val="22"/>
                <w:szCs w:val="22"/>
              </w:rPr>
              <w:t>23</w:t>
            </w:r>
          </w:p>
        </w:tc>
        <w:tc>
          <w:tcPr>
            <w:tcW w:w="1440" w:type="dxa"/>
            <w:tcBorders>
              <w:top w:val="single" w:sz="12" w:space="0" w:color="000000"/>
              <w:bottom w:val="single" w:sz="12" w:space="0" w:color="000000"/>
            </w:tcBorders>
          </w:tcPr>
          <w:p w:rsidR="003C37D9" w:rsidRDefault="003C37D9" w:rsidP="003C37D9">
            <w:pPr>
              <w:numPr>
                <w:ilvl w:val="12"/>
                <w:numId w:val="0"/>
              </w:numPr>
              <w:spacing w:before="96" w:after="51"/>
              <w:rPr>
                <w:sz w:val="22"/>
                <w:szCs w:val="22"/>
              </w:rPr>
            </w:pPr>
            <w:r>
              <w:rPr>
                <w:sz w:val="22"/>
                <w:szCs w:val="22"/>
              </w:rPr>
              <w:t>230</w:t>
            </w:r>
          </w:p>
          <w:p w:rsidR="003C37D9" w:rsidRDefault="003C37D9" w:rsidP="003C37D9">
            <w:pPr>
              <w:numPr>
                <w:ilvl w:val="12"/>
                <w:numId w:val="0"/>
              </w:numPr>
              <w:spacing w:before="96" w:after="51"/>
              <w:rPr>
                <w:sz w:val="22"/>
                <w:szCs w:val="22"/>
              </w:rPr>
            </w:pPr>
            <w:r>
              <w:rPr>
                <w:sz w:val="22"/>
                <w:szCs w:val="22"/>
              </w:rPr>
              <w:t>300</w:t>
            </w:r>
          </w:p>
          <w:p w:rsidR="003C37D9" w:rsidRDefault="003C37D9" w:rsidP="003C37D9">
            <w:pPr>
              <w:numPr>
                <w:ilvl w:val="12"/>
                <w:numId w:val="0"/>
              </w:numPr>
              <w:spacing w:before="96" w:after="51"/>
              <w:rPr>
                <w:sz w:val="22"/>
                <w:szCs w:val="22"/>
              </w:rPr>
            </w:pPr>
            <w:r>
              <w:rPr>
                <w:sz w:val="22"/>
                <w:szCs w:val="22"/>
              </w:rPr>
              <w:t>40</w:t>
            </w:r>
          </w:p>
          <w:p w:rsidR="003C37D9" w:rsidRDefault="003C37D9" w:rsidP="003C37D9">
            <w:pPr>
              <w:numPr>
                <w:ilvl w:val="12"/>
                <w:numId w:val="0"/>
              </w:numPr>
              <w:spacing w:before="96" w:after="51"/>
              <w:rPr>
                <w:sz w:val="22"/>
                <w:szCs w:val="22"/>
              </w:rPr>
            </w:pPr>
            <w:r>
              <w:rPr>
                <w:sz w:val="22"/>
                <w:szCs w:val="22"/>
              </w:rPr>
              <w:t>60</w:t>
            </w:r>
          </w:p>
          <w:p w:rsidR="003C37D9" w:rsidRDefault="003C37D9" w:rsidP="003C37D9">
            <w:pPr>
              <w:numPr>
                <w:ilvl w:val="12"/>
                <w:numId w:val="0"/>
              </w:numPr>
              <w:spacing w:before="96" w:after="51"/>
              <w:rPr>
                <w:sz w:val="22"/>
                <w:szCs w:val="22"/>
              </w:rPr>
            </w:pPr>
            <w:r>
              <w:rPr>
                <w:sz w:val="22"/>
                <w:szCs w:val="22"/>
              </w:rPr>
              <w:t>0.8</w:t>
            </w:r>
          </w:p>
        </w:tc>
        <w:tc>
          <w:tcPr>
            <w:tcW w:w="1530" w:type="dxa"/>
            <w:tcBorders>
              <w:top w:val="single" w:sz="12" w:space="0" w:color="000000"/>
              <w:bottom w:val="single" w:sz="12" w:space="0" w:color="000000"/>
            </w:tcBorders>
          </w:tcPr>
          <w:p w:rsidR="003C37D9" w:rsidRDefault="003C37D9" w:rsidP="003C37D9">
            <w:pPr>
              <w:numPr>
                <w:ilvl w:val="12"/>
                <w:numId w:val="0"/>
              </w:numPr>
              <w:spacing w:before="96" w:after="51"/>
              <w:rPr>
                <w:sz w:val="22"/>
                <w:szCs w:val="22"/>
              </w:rPr>
            </w:pPr>
            <w:r>
              <w:rPr>
                <w:sz w:val="22"/>
                <w:szCs w:val="22"/>
              </w:rPr>
              <w:t>7</w:t>
            </w:r>
          </w:p>
          <w:p w:rsidR="003C37D9" w:rsidRDefault="003C37D9" w:rsidP="003C37D9">
            <w:pPr>
              <w:numPr>
                <w:ilvl w:val="12"/>
                <w:numId w:val="0"/>
              </w:numPr>
              <w:spacing w:before="96" w:after="51"/>
              <w:rPr>
                <w:sz w:val="22"/>
                <w:szCs w:val="22"/>
              </w:rPr>
            </w:pPr>
            <w:r>
              <w:rPr>
                <w:sz w:val="22"/>
                <w:szCs w:val="22"/>
              </w:rPr>
              <w:t>21</w:t>
            </w:r>
          </w:p>
          <w:p w:rsidR="003C37D9" w:rsidRDefault="003C37D9" w:rsidP="003C37D9">
            <w:pPr>
              <w:numPr>
                <w:ilvl w:val="12"/>
                <w:numId w:val="0"/>
              </w:numPr>
              <w:spacing w:before="96" w:after="51"/>
              <w:rPr>
                <w:sz w:val="22"/>
                <w:szCs w:val="22"/>
              </w:rPr>
            </w:pPr>
            <w:r>
              <w:rPr>
                <w:sz w:val="22"/>
                <w:szCs w:val="22"/>
              </w:rPr>
              <w:t>12</w:t>
            </w:r>
          </w:p>
          <w:p w:rsidR="003C37D9" w:rsidRDefault="003C37D9" w:rsidP="003C37D9">
            <w:pPr>
              <w:numPr>
                <w:ilvl w:val="12"/>
                <w:numId w:val="0"/>
              </w:numPr>
              <w:spacing w:before="96" w:after="51"/>
              <w:rPr>
                <w:sz w:val="22"/>
                <w:szCs w:val="22"/>
              </w:rPr>
            </w:pPr>
            <w:r>
              <w:rPr>
                <w:sz w:val="22"/>
                <w:szCs w:val="22"/>
              </w:rPr>
              <w:t>14</w:t>
            </w:r>
          </w:p>
          <w:p w:rsidR="003C37D9" w:rsidRDefault="003C37D9" w:rsidP="003C37D9">
            <w:pPr>
              <w:numPr>
                <w:ilvl w:val="12"/>
                <w:numId w:val="0"/>
              </w:numPr>
              <w:spacing w:before="96" w:after="51"/>
              <w:rPr>
                <w:sz w:val="22"/>
                <w:szCs w:val="22"/>
              </w:rPr>
            </w:pPr>
            <w:r>
              <w:rPr>
                <w:sz w:val="22"/>
                <w:szCs w:val="22"/>
              </w:rPr>
              <w:t>10</w:t>
            </w:r>
          </w:p>
        </w:tc>
      </w:tr>
    </w:tbl>
    <w:p w:rsidR="003C37D9" w:rsidRPr="00F920F6" w:rsidRDefault="003C37D9" w:rsidP="003C37D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3C37D9" w:rsidRPr="00F920F6" w:rsidRDefault="003C37D9" w:rsidP="003C37D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75221" w:rsidRPr="00175221" w:rsidRDefault="00F64361" w:rsidP="00175221">
      <w:pPr>
        <w:numPr>
          <w:ilvl w:val="12"/>
          <w:numId w:val="0"/>
        </w:numPr>
        <w:spacing w:line="480" w:lineRule="auto"/>
        <w:ind w:firstLine="720"/>
      </w:pPr>
      <w:r>
        <w:lastRenderedPageBreak/>
        <w:t>An early PET</w:t>
      </w:r>
      <w:r w:rsidR="00175221" w:rsidRPr="00175221">
        <w:t xml:space="preserve"> scanner </w:t>
      </w:r>
      <w:r>
        <w:t>incorporated</w:t>
      </w:r>
      <w:r w:rsidR="00175221" w:rsidRPr="00175221">
        <w:t xml:space="preserve"> a single </w:t>
      </w:r>
      <w:r w:rsidR="00B05691">
        <w:t>array</w:t>
      </w:r>
      <w:r w:rsidR="00175221" w:rsidRPr="00175221">
        <w:t xml:space="preserve"> of 48 </w:t>
      </w:r>
      <w:proofErr w:type="spellStart"/>
      <w:r w:rsidR="00175221" w:rsidRPr="00175221">
        <w:t>NaI</w:t>
      </w:r>
      <w:proofErr w:type="spellEnd"/>
      <w:r w:rsidR="00175221" w:rsidRPr="00175221">
        <w:t xml:space="preserve"> crystals, arranged in a hexagonal configuration, yielding a transaxi</w:t>
      </w:r>
      <w:r w:rsidR="00FF14CF">
        <w:t>al spatial resolution of 7-15mm</w:t>
      </w:r>
      <w:r w:rsidR="00175221" w:rsidRPr="00175221">
        <w:t xml:space="preserve"> </w:t>
      </w:r>
      <w:r w:rsidR="009B6816" w:rsidRPr="00175221">
        <w:fldChar w:fldCharType="begin"/>
      </w:r>
      <w:r w:rsidR="002D7C36">
        <w:instrText xml:space="preserve"> ADDIN EN.CITE &lt;EndNote&gt;&lt;Cite&gt;&lt;Author&gt;Hoffman&lt;/Author&gt;&lt;Year&gt;1976&lt;/Year&gt;&lt;RecNum&gt;150&lt;/RecNum&gt;&lt;DisplayText&gt;(Hoffman, Phelps et al. 1976)&lt;/DisplayText&gt;&lt;record&gt;&lt;rec-number&gt;150&lt;/rec-number&gt;&lt;foreign-keys&gt;&lt;key app="EN" db-id="srwv9ppvvez5pgefxzi5ddeve5w2fe5x5esr"&gt;150&lt;/key&gt;&lt;/foreign-keys&gt;&lt;ref-type name="Journal Article"&gt;17&lt;/ref-type&gt;&lt;contributors&gt;&lt;authors&gt;&lt;author&gt;Hoffman, EJ&lt;/author&gt;&lt;author&gt;Phelps, ME&lt;/author&gt;&lt;author&gt;Mullani, NA&lt;/author&gt;&lt;author&gt;Higgins, CS&lt;/author&gt;&lt;author&gt;Ter-Pogossian, MM&lt;/author&gt;&lt;/authors&gt;&lt;/contributors&gt;&lt;titles&gt;&lt;title&gt;Design and performance characteristics of a whole-body positron transaxial tomograph&lt;/title&gt;&lt;secondary-title&gt;Journal of Nuclear Medicine&lt;/secondary-title&gt;&lt;/titles&gt;&lt;periodical&gt;&lt;full-title&gt;Journal of Nuclear Medicine&lt;/full-title&gt;&lt;/periodical&gt;&lt;pages&gt;493&lt;/pages&gt;&lt;volume&gt;17&lt;/volume&gt;&lt;number&gt;6&lt;/number&gt;&lt;dates&gt;&lt;year&gt;1976&lt;/year&gt;&lt;/dates&gt;&lt;urls&gt;&lt;/urls&gt;&lt;/record&gt;&lt;/Cite&gt;&lt;/EndNote&gt;</w:instrText>
      </w:r>
      <w:r w:rsidR="009B6816" w:rsidRPr="00175221">
        <w:fldChar w:fldCharType="separate"/>
      </w:r>
      <w:r w:rsidR="00B82802">
        <w:rPr>
          <w:noProof/>
        </w:rPr>
        <w:t>(</w:t>
      </w:r>
      <w:hyperlink w:anchor="_ENREF_39" w:tooltip="Hoffman, 1976 #150" w:history="1">
        <w:r w:rsidR="007704DB">
          <w:rPr>
            <w:noProof/>
          </w:rPr>
          <w:t>Hoffman, Phelps et al. 1976</w:t>
        </w:r>
      </w:hyperlink>
      <w:r w:rsidR="00B82802">
        <w:rPr>
          <w:noProof/>
        </w:rPr>
        <w:t>)</w:t>
      </w:r>
      <w:r w:rsidR="009B6816" w:rsidRPr="00175221">
        <w:fldChar w:fldCharType="end"/>
      </w:r>
      <w:r w:rsidR="00FF14CF">
        <w:t>.</w:t>
      </w:r>
      <w:r w:rsidR="00175221" w:rsidRPr="00175221">
        <w:t xml:space="preserve">  Today’s PET scanners have over 30,000 LSO</w:t>
      </w:r>
      <w:r>
        <w:t xml:space="preserve"> or LYSO</w:t>
      </w:r>
      <w:r w:rsidR="00175221" w:rsidRPr="00175221">
        <w:t xml:space="preserve"> detector elements, arranged in multiple rings, with spatial resolution </w:t>
      </w:r>
      <w:r w:rsidR="00B05691">
        <w:t>around</w:t>
      </w:r>
      <w:r w:rsidR="00175221" w:rsidRPr="00175221">
        <w:t xml:space="preserve"> 4mm.</w:t>
      </w:r>
    </w:p>
    <w:p w:rsidR="003C37D9" w:rsidRPr="003C37D9" w:rsidRDefault="00175221" w:rsidP="003C37D9">
      <w:pPr>
        <w:numPr>
          <w:ilvl w:val="12"/>
          <w:numId w:val="0"/>
        </w:numPr>
        <w:spacing w:line="480" w:lineRule="auto"/>
        <w:ind w:firstLine="720"/>
      </w:pPr>
      <w:r w:rsidRPr="00175221">
        <w:t>Bismuth Germanate</w:t>
      </w:r>
      <w:r w:rsidR="00F64361">
        <w:t>,</w:t>
      </w:r>
      <w:r w:rsidRPr="00175221">
        <w:t xml:space="preserve"> or BGO</w:t>
      </w:r>
      <w:r w:rsidR="00F64361">
        <w:t>,</w:t>
      </w:r>
      <w:r w:rsidRPr="00175221">
        <w:t xml:space="preserve"> was introduced </w:t>
      </w:r>
      <w:r w:rsidR="00F64361">
        <w:t>in</w:t>
      </w:r>
      <w:r w:rsidRPr="00175221">
        <w:t xml:space="preserve">to PET in the </w:t>
      </w:r>
      <w:r w:rsidR="00F64361">
        <w:t>late 1970s</w:t>
      </w:r>
      <w:r w:rsidRPr="00175221">
        <w:t xml:space="preserve">; although it does not output as much light as its </w:t>
      </w:r>
      <w:proofErr w:type="spellStart"/>
      <w:r w:rsidRPr="00175221">
        <w:t>NaI</w:t>
      </w:r>
      <w:proofErr w:type="spellEnd"/>
      <w:r w:rsidRPr="00175221">
        <w:t xml:space="preserve"> predecessor, it has a higher stopping power, resulting in increased sensitivity.  </w:t>
      </w:r>
      <w:r w:rsidR="003C37D9" w:rsidRPr="003C37D9">
        <w:t>The need for better spatial resolution called for smaller scintill</w:t>
      </w:r>
      <w:r w:rsidR="00467796">
        <w:t xml:space="preserve">ating crystal elements. The complexity of packing large numbers of small crystals individually bonded to 1" PMTs </w:t>
      </w:r>
      <w:r w:rsidR="003C37D9" w:rsidRPr="003C37D9">
        <w:t xml:space="preserve">was overcome in a clever way with the invention of the block detector using PMT light sharing.  Introduced in 1986, the first block detector </w:t>
      </w:r>
      <w:r w:rsidR="00467796">
        <w:t>multiplexed</w:t>
      </w:r>
      <w:r w:rsidR="003C37D9" w:rsidRPr="003C37D9">
        <w:t xml:space="preserve"> </w:t>
      </w:r>
      <w:r w:rsidR="00467796">
        <w:t>32 crystal elements to four PMT</w:t>
      </w:r>
      <w:r w:rsidR="003C37D9" w:rsidRPr="003C37D9">
        <w:t xml:space="preserve">s </w:t>
      </w:r>
      <w:r w:rsidR="009B6816" w:rsidRPr="003C37D9">
        <w:fldChar w:fldCharType="begin"/>
      </w:r>
      <w:r w:rsidR="002D7C36">
        <w:instrText xml:space="preserve"> ADDIN EN.CITE &lt;EndNote&gt;&lt;Cite&gt;&lt;Author&gt;Casey&lt;/Author&gt;&lt;Year&gt;1986&lt;/Year&gt;&lt;RecNum&gt;151&lt;/RecNum&gt;&lt;DisplayText&gt;(Casey and Nutt 1986)&lt;/DisplayText&gt;&lt;record&gt;&lt;rec-number&gt;151&lt;/rec-number&gt;&lt;foreign-keys&gt;&lt;key app="EN" db-id="srwv9ppvvez5pgefxzi5ddeve5w2fe5x5esr"&gt;151&lt;/key&gt;&lt;/foreign-keys&gt;&lt;ref-type name="Journal Article"&gt;17&lt;/ref-type&gt;&lt;contributors&gt;&lt;authors&gt;&lt;author&gt;Casey, ME&lt;/author&gt;&lt;author&gt;Nutt, R&lt;/author&gt;&lt;/authors&gt;&lt;/contributors&gt;&lt;titles&gt;&lt;title&gt;A multicrystal two dimensional BGO detector system for positron emission tomography&lt;/title&gt;&lt;secondary-title&gt;IEEE Trans. Nucl. Sci&lt;/secondary-title&gt;&lt;/titles&gt;&lt;pages&gt;460-463&lt;/pages&gt;&lt;volume&gt;33&lt;/volume&gt;&lt;number&gt;1&lt;/number&gt;&lt;dates&gt;&lt;year&gt;1986&lt;/year&gt;&lt;/dates&gt;&lt;urls&gt;&lt;/urls&gt;&lt;/record&gt;&lt;/Cite&gt;&lt;/EndNote&gt;</w:instrText>
      </w:r>
      <w:r w:rsidR="009B6816" w:rsidRPr="003C37D9">
        <w:fldChar w:fldCharType="separate"/>
      </w:r>
      <w:r w:rsidR="00B82802">
        <w:rPr>
          <w:noProof/>
        </w:rPr>
        <w:t>(</w:t>
      </w:r>
      <w:hyperlink w:anchor="_ENREF_24" w:tooltip="Casey, 1986 #151" w:history="1">
        <w:r w:rsidR="007704DB">
          <w:rPr>
            <w:noProof/>
          </w:rPr>
          <w:t>Casey and Nutt 1986</w:t>
        </w:r>
      </w:hyperlink>
      <w:r w:rsidR="00B82802">
        <w:rPr>
          <w:noProof/>
        </w:rPr>
        <w:t>)</w:t>
      </w:r>
      <w:r w:rsidR="009B6816" w:rsidRPr="003C37D9">
        <w:fldChar w:fldCharType="end"/>
      </w:r>
      <w:r w:rsidR="00D91190">
        <w:t>.</w:t>
      </w:r>
      <w:r w:rsidR="003C37D9" w:rsidRPr="003C37D9">
        <w:t xml:space="preserve">  The light output </w:t>
      </w:r>
      <w:r w:rsidR="00467796">
        <w:t>shared among</w:t>
      </w:r>
      <w:r w:rsidR="003C37D9" w:rsidRPr="003C37D9">
        <w:t xml:space="preserve"> the </w:t>
      </w:r>
      <w:r w:rsidR="00467796">
        <w:t>four-</w:t>
      </w:r>
      <w:r w:rsidR="003C37D9" w:rsidRPr="003C37D9">
        <w:t xml:space="preserve">PMT array </w:t>
      </w:r>
      <w:r w:rsidR="00467796">
        <w:t>for</w:t>
      </w:r>
      <w:r w:rsidR="003C37D9" w:rsidRPr="003C37D9">
        <w:t xml:space="preserve"> each </w:t>
      </w:r>
      <w:r w:rsidR="00467796">
        <w:t xml:space="preserve">crystal </w:t>
      </w:r>
      <w:r w:rsidR="003C37D9" w:rsidRPr="003C37D9">
        <w:t>element was unique and acted as an identification signature.  In this way, the detector packing fraction</w:t>
      </w:r>
      <w:r w:rsidR="00467796">
        <w:t xml:space="preserve"> (closeness with which the detector elements can be packed)</w:t>
      </w:r>
      <w:r w:rsidR="003C37D9" w:rsidRPr="003C37D9">
        <w:t xml:space="preserve"> </w:t>
      </w:r>
      <w:r w:rsidR="00467796">
        <w:t>could be</w:t>
      </w:r>
      <w:r w:rsidR="003C37D9" w:rsidRPr="003C37D9">
        <w:t xml:space="preserve"> </w:t>
      </w:r>
      <w:r w:rsidR="0002782C">
        <w:t>increased</w:t>
      </w:r>
      <w:r w:rsidR="00467796">
        <w:t>, while the number of PMTs could be reduced</w:t>
      </w:r>
      <w:r w:rsidR="003C37D9" w:rsidRPr="003C37D9">
        <w:t>.</w:t>
      </w:r>
    </w:p>
    <w:p w:rsidR="003C37D9" w:rsidRPr="003C37D9" w:rsidRDefault="00454F50" w:rsidP="003C37D9">
      <w:pPr>
        <w:numPr>
          <w:ilvl w:val="12"/>
          <w:numId w:val="0"/>
        </w:numPr>
        <w:spacing w:line="480" w:lineRule="auto"/>
        <w:ind w:firstLine="720"/>
      </w:pPr>
      <w:r w:rsidRPr="006D283E">
        <w:t xml:space="preserve">In the early years of PET when scanners first started </w:t>
      </w:r>
      <w:r w:rsidR="0002782C">
        <w:t>incorporating</w:t>
      </w:r>
      <w:r w:rsidRPr="006D283E">
        <w:t xml:space="preserve"> multiple detector rings, 2D acquisition was used; </w:t>
      </w:r>
      <w:r w:rsidR="0002782C">
        <w:t>annuli</w:t>
      </w:r>
      <w:r w:rsidRPr="006D283E">
        <w:t xml:space="preserve"> of lead shielding</w:t>
      </w:r>
      <w:r w:rsidR="0002782C">
        <w:t>, or septa,</w:t>
      </w:r>
      <w:r w:rsidRPr="006D283E">
        <w:t xml:space="preserve"> were positioned between each detector ring to “shadow” the activity arising outside of the direct plane</w:t>
      </w:r>
      <w:r>
        <w:t xml:space="preserve">, </w:t>
      </w:r>
      <w:r w:rsidR="00467796">
        <w:t xml:space="preserve">thus </w:t>
      </w:r>
      <w:r>
        <w:t>decreasing</w:t>
      </w:r>
      <w:r w:rsidR="0002782C">
        <w:t xml:space="preserve"> the number of random</w:t>
      </w:r>
      <w:r w:rsidRPr="006D283E">
        <w:t xml:space="preserve"> and scatter</w:t>
      </w:r>
      <w:r w:rsidR="0002782C">
        <w:t>ed</w:t>
      </w:r>
      <w:r w:rsidRPr="006D283E">
        <w:t xml:space="preserve"> events and simplif</w:t>
      </w:r>
      <w:r>
        <w:t>ying</w:t>
      </w:r>
      <w:r w:rsidRPr="006D283E">
        <w:t xml:space="preserve"> the reconstruction process.  </w:t>
      </w:r>
      <w:r w:rsidR="008608D8">
        <w:t xml:space="preserve">The early </w:t>
      </w:r>
      <w:r w:rsidR="00467796">
        <w:t>1990</w:t>
      </w:r>
      <w:r w:rsidR="003C37D9" w:rsidRPr="003C37D9">
        <w:t xml:space="preserve">s saw the PET scanner move from 2D to optional 3D acquisition, by using retractable inter-ring septa.  Scanning in 3D greatly increases the system sensitivity and has the potential to provide higher quality images </w:t>
      </w:r>
      <w:r w:rsidR="003C37D9" w:rsidRPr="003C37D9">
        <w:lastRenderedPageBreak/>
        <w:t xml:space="preserve">with shorter patient scan time.   Increased sensitivity to true coincident events, however, comes </w:t>
      </w:r>
      <w:r w:rsidR="004E2DD5">
        <w:t>at</w:t>
      </w:r>
      <w:r w:rsidR="003C37D9" w:rsidRPr="003C37D9">
        <w:t xml:space="preserve"> the cost of increased sensitivity to sca</w:t>
      </w:r>
      <w:r>
        <w:t xml:space="preserve">ttered and random coincidences.  </w:t>
      </w:r>
      <w:r w:rsidR="004C2A1D">
        <w:t xml:space="preserve">Thus, </w:t>
      </w:r>
      <w:r w:rsidR="003C37D9" w:rsidRPr="003C37D9">
        <w:t>3D scatter corrections a</w:t>
      </w:r>
      <w:r w:rsidR="004C2A1D">
        <w:t>nd</w:t>
      </w:r>
      <w:r w:rsidR="003C37D9" w:rsidRPr="003C37D9">
        <w:t xml:space="preserve"> </w:t>
      </w:r>
      <w:r w:rsidR="00DD56B5">
        <w:t xml:space="preserve">new </w:t>
      </w:r>
      <w:r w:rsidR="003C37D9" w:rsidRPr="003C37D9">
        <w:t>reconstruction algorithms</w:t>
      </w:r>
      <w:r w:rsidR="004C2A1D">
        <w:t xml:space="preserve"> were needed</w:t>
      </w:r>
      <w:r>
        <w:t>.</w:t>
      </w:r>
    </w:p>
    <w:p w:rsidR="003C37D9" w:rsidRPr="003C37D9" w:rsidRDefault="00467796" w:rsidP="003C37D9">
      <w:pPr>
        <w:numPr>
          <w:ilvl w:val="12"/>
          <w:numId w:val="0"/>
        </w:numPr>
        <w:spacing w:line="480" w:lineRule="auto"/>
        <w:ind w:firstLine="720"/>
      </w:pPr>
      <w:r>
        <w:t>One of the most important</w:t>
      </w:r>
      <w:r w:rsidR="003C37D9" w:rsidRPr="003C37D9">
        <w:t xml:space="preserve"> development</w:t>
      </w:r>
      <w:r>
        <w:t>s</w:t>
      </w:r>
      <w:r w:rsidR="003C37D9" w:rsidRPr="003C37D9">
        <w:t xml:space="preserve"> of the last decade was the combination of PET and </w:t>
      </w:r>
      <w:r w:rsidR="00186591">
        <w:t xml:space="preserve">X-ray </w:t>
      </w:r>
      <w:r w:rsidR="003C37D9" w:rsidRPr="003C37D9">
        <w:t xml:space="preserve">CT into </w:t>
      </w:r>
      <w:r>
        <w:t>a single</w:t>
      </w:r>
      <w:r w:rsidR="003C37D9" w:rsidRPr="003C37D9">
        <w:t xml:space="preserve"> clinical scanner</w:t>
      </w:r>
      <w:r w:rsidR="00AA73F9">
        <w:t xml:space="preserve"> </w:t>
      </w:r>
      <w:r w:rsidR="009B6816">
        <w:fldChar w:fldCharType="begin"/>
      </w:r>
      <w:r w:rsidR="00AA73F9">
        <w:instrText xml:space="preserve"> ADDIN EN.CITE &lt;EndNote&gt;&lt;Cite&gt;&lt;Author&gt;Townsend&lt;/Author&gt;&lt;Year&gt;1998&lt;/Year&gt;&lt;RecNum&gt;222&lt;/RecNum&gt;&lt;DisplayText&gt;(Townsend, Beyer et al. 1998)&lt;/DisplayText&gt;&lt;record&gt;&lt;rec-number&gt;222&lt;/rec-number&gt;&lt;foreign-keys&gt;&lt;key app="EN" db-id="srwv9ppvvez5pgefxzi5ddeve5w2fe5x5esr"&gt;222&lt;/key&gt;&lt;/foreign-keys&gt;&lt;ref-type name="Conference Proceedings"&gt;10&lt;/ref-type&gt;&lt;contributors&gt;&lt;authors&gt;&lt;author&gt;Townsend, DW&lt;/author&gt;&lt;author&gt;Beyer, T&lt;/author&gt;&lt;author&gt;Kinahan, PE&lt;/author&gt;&lt;author&gt;Brun, T&lt;/author&gt;&lt;author&gt;Roddy, R&lt;/author&gt;&lt;author&gt;Nutt, R&lt;/author&gt;&lt;author&gt;Byars, LG&lt;/author&gt;&lt;/authors&gt;&lt;/contributors&gt;&lt;titles&gt;&lt;title&gt;The SMART scanner: a combined PET/CT tomograph for clinical oncology&lt;/title&gt;&lt;/titles&gt;&lt;pages&gt;1170-1174&lt;/pages&gt;&lt;volume&gt;2&lt;/volume&gt;&lt;dates&gt;&lt;year&gt;1998&lt;/year&gt;&lt;/dates&gt;&lt;publisher&gt;IEEE&lt;/publisher&gt;&lt;isbn&gt;0780350219&lt;/isbn&gt;&lt;urls&gt;&lt;/urls&gt;&lt;/record&gt;&lt;/Cite&gt;&lt;/EndNote&gt;</w:instrText>
      </w:r>
      <w:r w:rsidR="009B6816">
        <w:fldChar w:fldCharType="separate"/>
      </w:r>
      <w:r w:rsidR="00AA73F9">
        <w:rPr>
          <w:noProof/>
        </w:rPr>
        <w:t>(</w:t>
      </w:r>
      <w:hyperlink w:anchor="_ENREF_81" w:tooltip="Townsend, 1998 #222" w:history="1">
        <w:r w:rsidR="007704DB">
          <w:rPr>
            <w:noProof/>
          </w:rPr>
          <w:t>Townsend, Beyer et al. 1998</w:t>
        </w:r>
      </w:hyperlink>
      <w:r w:rsidR="00AA73F9">
        <w:rPr>
          <w:noProof/>
        </w:rPr>
        <w:t>)</w:t>
      </w:r>
      <w:r w:rsidR="009B6816">
        <w:fldChar w:fldCharType="end"/>
      </w:r>
      <w:r w:rsidR="003C37D9" w:rsidRPr="003C37D9">
        <w:t>.  Thi</w:t>
      </w:r>
      <w:r w:rsidR="007000BB">
        <w:t>s new combined modality provided</w:t>
      </w:r>
      <w:r w:rsidR="003C37D9" w:rsidRPr="003C37D9">
        <w:t xml:space="preserve"> the ability to use the CT </w:t>
      </w:r>
      <w:r>
        <w:t>transmission</w:t>
      </w:r>
      <w:r w:rsidR="003C37D9" w:rsidRPr="003C37D9">
        <w:t xml:space="preserve"> scan for attenuation correction</w:t>
      </w:r>
      <w:r>
        <w:t xml:space="preserve"> of the PET data</w:t>
      </w:r>
      <w:r w:rsidR="003C37D9" w:rsidRPr="003C37D9">
        <w:t>, eliminating the need for a lengthy PET transmission sc</w:t>
      </w:r>
      <w:r>
        <w:t>an.  The CT transmission data are</w:t>
      </w:r>
      <w:r w:rsidR="003C37D9" w:rsidRPr="003C37D9">
        <w:t xml:space="preserve"> also used for other corrections prior to, and within, the r</w:t>
      </w:r>
      <w:r w:rsidR="007000BB">
        <w:t xml:space="preserve">econstruction process.  Another important </w:t>
      </w:r>
      <w:r w:rsidR="003C37D9" w:rsidRPr="003C37D9">
        <w:t>benefit of the combination is</w:t>
      </w:r>
      <w:r w:rsidR="00B31923">
        <w:t xml:space="preserve"> the</w:t>
      </w:r>
      <w:r w:rsidR="009B2B85">
        <w:t xml:space="preserve"> ability to </w:t>
      </w:r>
      <w:r w:rsidR="00137692">
        <w:t>obtain</w:t>
      </w:r>
      <w:r w:rsidR="003C37D9" w:rsidRPr="003C37D9">
        <w:t xml:space="preserve"> information about tissue anatomy and physiology by </w:t>
      </w:r>
      <w:r w:rsidR="00137692">
        <w:t>acquiring</w:t>
      </w:r>
      <w:r w:rsidR="003C37D9" w:rsidRPr="003C37D9">
        <w:t xml:space="preserve"> superimposed, or “fused”, images.</w:t>
      </w:r>
    </w:p>
    <w:p w:rsidR="00C1645F" w:rsidRDefault="003C37D9" w:rsidP="003C37D9">
      <w:pPr>
        <w:numPr>
          <w:ilvl w:val="12"/>
          <w:numId w:val="0"/>
        </w:numPr>
        <w:spacing w:line="480" w:lineRule="auto"/>
        <w:ind w:firstLine="720"/>
      </w:pPr>
      <w:r w:rsidRPr="003C37D9">
        <w:t xml:space="preserve">The first </w:t>
      </w:r>
      <w:r w:rsidR="00137692">
        <w:t>fused</w:t>
      </w:r>
      <w:r w:rsidRPr="003C37D9">
        <w:t xml:space="preserve"> images came from individual systems operated </w:t>
      </w:r>
      <w:r w:rsidR="00137692">
        <w:t xml:space="preserve">independently from each other </w:t>
      </w:r>
      <w:r w:rsidRPr="003C37D9">
        <w:t>and</w:t>
      </w:r>
      <w:r w:rsidR="00137692">
        <w:t>, if required,</w:t>
      </w:r>
      <w:r w:rsidRPr="003C37D9">
        <w:t xml:space="preserve"> the images </w:t>
      </w:r>
      <w:r w:rsidR="00137692">
        <w:t>could be</w:t>
      </w:r>
      <w:r w:rsidRPr="003C37D9">
        <w:t xml:space="preserve"> registered manually</w:t>
      </w:r>
      <w:r w:rsidR="00137692">
        <w:t xml:space="preserve"> using software</w:t>
      </w:r>
      <w:r w:rsidRPr="003C37D9">
        <w:t xml:space="preserve">.  </w:t>
      </w:r>
      <w:r w:rsidR="00C1645F">
        <w:t xml:space="preserve">As shown in the figure below, </w:t>
      </w:r>
      <w:r w:rsidR="00137692">
        <w:t>the first prototype PET/CT scanner comprised</w:t>
      </w:r>
      <w:r w:rsidRPr="003C37D9">
        <w:t xml:space="preserve"> PET and CT components </w:t>
      </w:r>
      <w:r w:rsidR="00137692">
        <w:t xml:space="preserve">mounted on the same rotating support within the gantry.  The CT and PET imaging fields were </w:t>
      </w:r>
      <w:r w:rsidR="00D91190">
        <w:t>separated by 80 cm axially</w:t>
      </w:r>
      <w:r w:rsidRPr="003C37D9">
        <w:t xml:space="preserve"> </w:t>
      </w:r>
      <w:r w:rsidR="009B6816" w:rsidRPr="003C37D9">
        <w:fldChar w:fldCharType="begin"/>
      </w:r>
      <w:r w:rsidR="002D7C36">
        <w:instrText xml:space="preserve"> ADDIN EN.CITE &lt;EndNote&gt;&lt;Cite&gt;&lt;Author&gt;Townsend&lt;/Author&gt;&lt;Year&gt;2003&lt;/Year&gt;&lt;RecNum&gt;227&lt;/RecNum&gt;&lt;DisplayText&gt;(Townsend, Beyer et al. 2003)&lt;/DisplayText&gt;&lt;record&gt;&lt;rec-number&gt;227&lt;/rec-number&gt;&lt;foreign-keys&gt;&lt;key app="EN" db-id="srwv9ppvvez5pgefxzi5ddeve5w2fe5x5esr"&gt;227&lt;/key&gt;&lt;/foreign-keys&gt;&lt;ref-type name="Conference Proceedings"&gt;10&lt;/ref-type&gt;&lt;contributors&gt;&lt;authors&gt;&lt;author&gt;Townsend, DW&lt;/author&gt;&lt;author&gt;Beyer, T&lt;/author&gt;&lt;author&gt;Blodgett, TM&lt;/author&gt;&lt;/authors&gt;&lt;/contributors&gt;&lt;titles&gt;&lt;title&gt;PET/CT scanners: a hardware approach to image fusion&lt;/title&gt;&lt;/titles&gt;&lt;pages&gt;193-204&lt;/pages&gt;&lt;volume&gt;33&lt;/volume&gt;&lt;dates&gt;&lt;year&gt;2003&lt;/year&gt;&lt;/dates&gt;&lt;publisher&gt;Elsevier&lt;/publisher&gt;&lt;isbn&gt;0001-2998&lt;/isbn&gt;&lt;urls&gt;&lt;/urls&gt;&lt;/record&gt;&lt;/Cite&gt;&lt;/EndNote&gt;</w:instrText>
      </w:r>
      <w:r w:rsidR="009B6816" w:rsidRPr="003C37D9">
        <w:fldChar w:fldCharType="separate"/>
      </w:r>
      <w:r w:rsidR="00B82802">
        <w:rPr>
          <w:noProof/>
        </w:rPr>
        <w:t>(</w:t>
      </w:r>
      <w:hyperlink w:anchor="_ENREF_80" w:tooltip="Townsend, 2003 #227" w:history="1">
        <w:r w:rsidR="007704DB">
          <w:rPr>
            <w:noProof/>
          </w:rPr>
          <w:t>Townsend, Beyer et al. 2003</w:t>
        </w:r>
      </w:hyperlink>
      <w:r w:rsidR="00B82802">
        <w:rPr>
          <w:noProof/>
        </w:rPr>
        <w:t>)</w:t>
      </w:r>
      <w:r w:rsidR="009B6816" w:rsidRPr="003C37D9">
        <w:fldChar w:fldCharType="end"/>
      </w:r>
      <w:r w:rsidR="00D91190">
        <w:t>.</w:t>
      </w:r>
      <w:r w:rsidRPr="003C37D9">
        <w:t xml:space="preserve">  Software now automates </w:t>
      </w:r>
      <w:proofErr w:type="gramStart"/>
      <w:r w:rsidR="00F83173">
        <w:t xml:space="preserve">both </w:t>
      </w:r>
      <w:r w:rsidR="00F83173" w:rsidRPr="003C37D9">
        <w:t>acquisition</w:t>
      </w:r>
      <w:proofErr w:type="gramEnd"/>
      <w:r w:rsidRPr="003C37D9">
        <w:t xml:space="preserve"> processes, as well as data correction, reconstruction, and co-registration of the final images</w:t>
      </w:r>
      <w:r w:rsidR="00137692">
        <w:t>.</w:t>
      </w:r>
    </w:p>
    <w:p w:rsidR="0086578D" w:rsidRDefault="0086578D" w:rsidP="003C37D9">
      <w:pPr>
        <w:numPr>
          <w:ilvl w:val="12"/>
          <w:numId w:val="0"/>
        </w:numPr>
        <w:spacing w:line="480" w:lineRule="auto"/>
        <w:ind w:firstLine="720"/>
      </w:pPr>
    </w:p>
    <w:p w:rsidR="003C37D9" w:rsidRDefault="003C37D9" w:rsidP="00BC422B">
      <w:pPr>
        <w:numPr>
          <w:ilvl w:val="12"/>
          <w:numId w:val="0"/>
        </w:numPr>
        <w:spacing w:line="480" w:lineRule="auto"/>
        <w:ind w:firstLine="720"/>
      </w:pPr>
      <w:r w:rsidRPr="003C37D9">
        <w:rPr>
          <w:noProof/>
        </w:rPr>
        <w:lastRenderedPageBreak/>
        <w:drawing>
          <wp:inline distT="0" distB="0" distL="0" distR="0">
            <wp:extent cx="3691978" cy="2369713"/>
            <wp:effectExtent l="19050" t="0" r="3722" b="0"/>
            <wp:docPr id="1" name="Picture 102" descr="ga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gantry"/>
                    <pic:cNvPicPr>
                      <a:picLocks noChangeAspect="1" noChangeArrowheads="1"/>
                    </pic:cNvPicPr>
                  </pic:nvPicPr>
                  <pic:blipFill>
                    <a:blip r:embed="rId9" cstate="print"/>
                    <a:srcRect/>
                    <a:stretch>
                      <a:fillRect/>
                    </a:stretch>
                  </pic:blipFill>
                  <pic:spPr bwMode="auto">
                    <a:xfrm>
                      <a:off x="0" y="0"/>
                      <a:ext cx="3726439" cy="2391832"/>
                    </a:xfrm>
                    <a:prstGeom prst="rect">
                      <a:avLst/>
                    </a:prstGeom>
                    <a:noFill/>
                    <a:ln w="9525">
                      <a:noFill/>
                      <a:miter lim="800000"/>
                      <a:headEnd/>
                      <a:tailEnd/>
                    </a:ln>
                  </pic:spPr>
                </pic:pic>
              </a:graphicData>
            </a:graphic>
          </wp:inline>
        </w:drawing>
      </w:r>
    </w:p>
    <w:p w:rsidR="003C37D9" w:rsidRDefault="003C37D9" w:rsidP="0084023C">
      <w:pPr>
        <w:pStyle w:val="Caption"/>
      </w:pPr>
      <w:bookmarkStart w:id="9" w:name="_Toc304556360"/>
      <w:bookmarkStart w:id="10" w:name="_Toc351890042"/>
      <w:r>
        <w:t xml:space="preserve">Figure </w:t>
      </w:r>
      <w:r w:rsidR="009B6816">
        <w:fldChar w:fldCharType="begin"/>
      </w:r>
      <w:r>
        <w:instrText xml:space="preserve"> SEQ Figure \* ARABIC </w:instrText>
      </w:r>
      <w:r w:rsidR="009B6816">
        <w:fldChar w:fldCharType="separate"/>
      </w:r>
      <w:r w:rsidR="005B6C27">
        <w:rPr>
          <w:noProof/>
        </w:rPr>
        <w:t>1</w:t>
      </w:r>
      <w:r w:rsidR="009B6816">
        <w:fldChar w:fldCharType="end"/>
      </w:r>
      <w:r>
        <w:t xml:space="preserve">. </w:t>
      </w:r>
      <w:r w:rsidRPr="003C37D9">
        <w:rPr>
          <w:lang w:val="en-GB"/>
        </w:rPr>
        <w:t>Schematic</w:t>
      </w:r>
      <w:r w:rsidR="00CD23EB">
        <w:rPr>
          <w:lang w:val="en-GB"/>
        </w:rPr>
        <w:t xml:space="preserve"> diagram of early PET/CT concept</w:t>
      </w:r>
      <w:r w:rsidRPr="003C37D9">
        <w:t xml:space="preserve"> </w:t>
      </w:r>
      <w:r w:rsidR="009B6816" w:rsidRPr="003C37D9">
        <w:fldChar w:fldCharType="begin"/>
      </w:r>
      <w:r w:rsidR="002D7C36">
        <w:instrText xml:space="preserve"> ADDIN EN.CITE &lt;EndNote&gt;&lt;Cite&gt;&lt;Author&gt;Beyer&lt;/Author&gt;&lt;Year&gt;2000&lt;/Year&gt;&lt;RecNum&gt;210&lt;/RecNum&gt;&lt;DisplayText&gt;(Beyer, Townsend et al. 2000)&lt;/DisplayText&gt;&lt;record&gt;&lt;rec-number&gt;210&lt;/rec-number&gt;&lt;foreign-keys&gt;&lt;key app="EN" db-id="srwv9ppvvez5pgefxzi5ddeve5w2fe5x5esr"&gt;210&lt;/key&gt;&lt;/foreign-keys&gt;&lt;ref-type name="Journal Article"&gt;17&lt;/ref-type&gt;&lt;contributors&gt;&lt;authors&gt;&lt;author&gt;Beyer, T&lt;/author&gt;&lt;author&gt;Townsend, DW&lt;/author&gt;&lt;author&gt;Brun, T&lt;/author&gt;&lt;author&gt;Kinahan, PE&lt;/author&gt;&lt;author&gt;Charron, M&lt;/author&gt;&lt;author&gt;Roddy, R&lt;/author&gt;&lt;author&gt;Jerin, J&lt;/author&gt;&lt;author&gt;Young, J&lt;/author&gt;&lt;author&gt;Byars, L&lt;/author&gt;&lt;author&gt;Nutt, R&lt;/author&gt;&lt;/authors&gt;&lt;/contributors&gt;&lt;titles&gt;&lt;title&gt;A combined PET/CT scanner for clinical oncology&lt;/title&gt;&lt;secondary-title&gt;Journal of Nuclear Medicine&lt;/secondary-title&gt;&lt;/titles&gt;&lt;periodical&gt;&lt;full-title&gt;Journal of Nuclear Medicine&lt;/full-title&gt;&lt;/periodical&gt;&lt;pages&gt;1369&lt;/pages&gt;&lt;volume&gt;41&lt;/volume&gt;&lt;number&gt;8&lt;/number&gt;&lt;dates&gt;&lt;year&gt;2000&lt;/year&gt;&lt;/dates&gt;&lt;urls&gt;&lt;/urls&gt;&lt;/record&gt;&lt;/Cite&gt;&lt;/EndNote&gt;</w:instrText>
      </w:r>
      <w:r w:rsidR="009B6816" w:rsidRPr="003C37D9">
        <w:fldChar w:fldCharType="separate"/>
      </w:r>
      <w:r w:rsidR="00B82802">
        <w:rPr>
          <w:noProof/>
        </w:rPr>
        <w:t>(</w:t>
      </w:r>
      <w:hyperlink w:anchor="_ENREF_13" w:tooltip="Beyer, 2000 #210" w:history="1">
        <w:r w:rsidR="007704DB">
          <w:rPr>
            <w:noProof/>
          </w:rPr>
          <w:t>Beyer, Townsend et al. 2000</w:t>
        </w:r>
      </w:hyperlink>
      <w:r w:rsidR="00B82802">
        <w:rPr>
          <w:noProof/>
        </w:rPr>
        <w:t>)</w:t>
      </w:r>
      <w:bookmarkEnd w:id="9"/>
      <w:bookmarkEnd w:id="10"/>
      <w:r w:rsidR="009B6816" w:rsidRPr="003C37D9">
        <w:fldChar w:fldCharType="end"/>
      </w:r>
    </w:p>
    <w:p w:rsidR="0086578D" w:rsidRPr="0086578D" w:rsidRDefault="0086578D" w:rsidP="0086578D"/>
    <w:p w:rsidR="003C37D9" w:rsidRPr="00F920F6" w:rsidRDefault="003C37D9" w:rsidP="003C37D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1645F" w:rsidRPr="00F920F6" w:rsidRDefault="00C1645F" w:rsidP="00C1645F">
      <w:pPr>
        <w:pStyle w:val="Heading2"/>
      </w:pPr>
      <w:bookmarkStart w:id="11" w:name="_Toc351889986"/>
      <w:r>
        <w:t>PET as a Clinical Tool</w:t>
      </w:r>
      <w:bookmarkEnd w:id="11"/>
    </w:p>
    <w:p w:rsidR="00C1645F" w:rsidRPr="00C1645F" w:rsidRDefault="00C1645F" w:rsidP="00C1645F">
      <w:pPr>
        <w:numPr>
          <w:ilvl w:val="12"/>
          <w:numId w:val="0"/>
        </w:numPr>
        <w:spacing w:line="480" w:lineRule="auto"/>
        <w:ind w:firstLine="720"/>
        <w:rPr>
          <w:b/>
          <w:bCs/>
          <w:lang w:val="en-GB"/>
        </w:rPr>
      </w:pPr>
      <w:r w:rsidRPr="00C1645F">
        <w:t xml:space="preserve">Many developments have facilitated </w:t>
      </w:r>
      <w:r w:rsidR="007B46BC">
        <w:t>the</w:t>
      </w:r>
      <w:r w:rsidRPr="00C1645F">
        <w:t xml:space="preserve"> integration</w:t>
      </w:r>
      <w:r w:rsidR="007B46BC">
        <w:t xml:space="preserve"> of PET</w:t>
      </w:r>
      <w:r w:rsidRPr="00C1645F">
        <w:t xml:space="preserve"> into the clinic, but few as rapidly as the addition of the CT modality, and now the hybrid PET/CT.  In modern PET/CT, the CT transmission scan is integral to important calculations in the processing of the PET data.  Additionally, this configuration provides information about anatomy as well as physiology.  The </w:t>
      </w:r>
      <w:r w:rsidR="00652B78">
        <w:t>diagnostic capability of the</w:t>
      </w:r>
      <w:r w:rsidRPr="00C1645F">
        <w:t xml:space="preserve"> combined modality provides an unsurpassed level of patient care.  Physicians are abl</w:t>
      </w:r>
      <w:r w:rsidR="00936B0C">
        <w:t>e to better diagnose disease,</w:t>
      </w:r>
      <w:r w:rsidRPr="00C1645F">
        <w:t xml:space="preserve"> plan </w:t>
      </w:r>
      <w:r w:rsidR="00936B0C">
        <w:t xml:space="preserve">treatment, and monitor response </w:t>
      </w:r>
      <w:r w:rsidRPr="00C1645F">
        <w:t>more effectively.</w:t>
      </w:r>
      <w:r w:rsidRPr="00C1645F">
        <w:rPr>
          <w:b/>
          <w:bCs/>
          <w:lang w:val="en-GB"/>
        </w:rPr>
        <w:t xml:space="preserve"> </w:t>
      </w:r>
    </w:p>
    <w:p w:rsidR="00C1645F" w:rsidRDefault="00C1645F" w:rsidP="00C1645F">
      <w:pPr>
        <w:numPr>
          <w:ilvl w:val="12"/>
          <w:numId w:val="0"/>
        </w:numPr>
        <w:spacing w:line="480" w:lineRule="auto"/>
        <w:ind w:firstLine="720"/>
      </w:pPr>
      <w:r w:rsidRPr="00C1645F">
        <w:t xml:space="preserve">PET/CT has revolutionized healthcare, and it continues to expand its utility to a wide array of applications.  This is illustrated </w:t>
      </w:r>
      <w:r w:rsidR="006A5DA4">
        <w:t xml:space="preserve">below </w:t>
      </w:r>
      <w:r w:rsidRPr="00C1645F">
        <w:t xml:space="preserve">by the growing number of world-wide scanner sales.  In 2002, only a couple </w:t>
      </w:r>
      <w:r w:rsidR="00956251">
        <w:t xml:space="preserve">of </w:t>
      </w:r>
      <w:r w:rsidRPr="00C1645F">
        <w:t xml:space="preserve">years after its introduction, PET/CT systems accounted for nearly half of the total PET scanner sales, with the other half </w:t>
      </w:r>
      <w:r w:rsidR="00956251">
        <w:t>being</w:t>
      </w:r>
      <w:r w:rsidRPr="00C1645F">
        <w:t xml:space="preserve"> </w:t>
      </w:r>
      <w:r w:rsidRPr="00C1645F">
        <w:lastRenderedPageBreak/>
        <w:t>that of dedicated PET scanners.  By 2005, PET/CT systems had almost complet</w:t>
      </w:r>
      <w:r w:rsidR="00956251">
        <w:t xml:space="preserve">ely </w:t>
      </w:r>
      <w:r w:rsidRPr="00C1645F">
        <w:t>taken</w:t>
      </w:r>
      <w:r w:rsidR="00956251">
        <w:t xml:space="preserve"> over</w:t>
      </w:r>
      <w:r w:rsidRPr="00C1645F">
        <w:t xml:space="preserve"> the market</w:t>
      </w:r>
      <w:r w:rsidR="00E1223C">
        <w:t xml:space="preserve"> </w:t>
      </w:r>
      <w:r w:rsidR="009B6816">
        <w:fldChar w:fldCharType="begin"/>
      </w:r>
      <w:r w:rsidR="00E1223C">
        <w:instrText xml:space="preserve"> ADDIN EN.CITE &lt;EndNote&gt;&lt;Cite&gt;&lt;Author&gt;Townsend&lt;/Author&gt;&lt;Year&gt;2008&lt;/Year&gt;&lt;RecNum&gt;343&lt;/RecNum&gt;&lt;DisplayText&gt;(Townsend 2008)&lt;/DisplayText&gt;&lt;record&gt;&lt;rec-number&gt;343&lt;/rec-number&gt;&lt;foreign-keys&gt;&lt;key app="EN" db-id="srwv9ppvvez5pgefxzi5ddeve5w2fe5x5esr"&gt;343&lt;/key&gt;&lt;/foreign-keys&gt;&lt;ref-type name="Journal Article"&gt;17&lt;/ref-type&gt;&lt;contributors&gt;&lt;authors&gt;&lt;author&gt;Townsend, DW&lt;/author&gt;&lt;/authors&gt;&lt;/contributors&gt;&lt;titles&gt;&lt;title&gt;Multimodality imaging of structure and function&lt;/title&gt;&lt;secondary-title&gt;Physics in medicine and biology&lt;/secondary-title&gt;&lt;/titles&gt;&lt;periodical&gt;&lt;full-title&gt;Physics in medicine and biology&lt;/full-title&gt;&lt;/periodical&gt;&lt;pages&gt;R1&lt;/pages&gt;&lt;volume&gt;53&lt;/volume&gt;&lt;number&gt;4&lt;/number&gt;&lt;dates&gt;&lt;year&gt;2008&lt;/year&gt;&lt;/dates&gt;&lt;isbn&gt;0031-9155&lt;/isbn&gt;&lt;urls&gt;&lt;/urls&gt;&lt;/record&gt;&lt;/Cite&gt;&lt;/EndNote&gt;</w:instrText>
      </w:r>
      <w:r w:rsidR="009B6816">
        <w:fldChar w:fldCharType="separate"/>
      </w:r>
      <w:r w:rsidR="00E1223C">
        <w:rPr>
          <w:noProof/>
        </w:rPr>
        <w:t>(</w:t>
      </w:r>
      <w:hyperlink w:anchor="_ENREF_79" w:tooltip="Townsend, 2008 #343" w:history="1">
        <w:r w:rsidR="007704DB">
          <w:rPr>
            <w:noProof/>
          </w:rPr>
          <w:t>Townsend 2008</w:t>
        </w:r>
      </w:hyperlink>
      <w:r w:rsidR="00E1223C">
        <w:rPr>
          <w:noProof/>
        </w:rPr>
        <w:t>)</w:t>
      </w:r>
      <w:r w:rsidR="009B6816">
        <w:fldChar w:fldCharType="end"/>
      </w:r>
      <w:r w:rsidRPr="00C1645F">
        <w:t xml:space="preserve">.  </w:t>
      </w:r>
    </w:p>
    <w:p w:rsidR="006A5DA4" w:rsidRDefault="006A5DA4" w:rsidP="00C1645F">
      <w:pPr>
        <w:numPr>
          <w:ilvl w:val="12"/>
          <w:numId w:val="0"/>
        </w:numPr>
        <w:spacing w:line="480" w:lineRule="auto"/>
        <w:ind w:firstLine="720"/>
      </w:pPr>
    </w:p>
    <w:p w:rsidR="006A5DA4" w:rsidRDefault="008528BA" w:rsidP="00BC422B">
      <w:pPr>
        <w:numPr>
          <w:ilvl w:val="12"/>
          <w:numId w:val="0"/>
        </w:numPr>
        <w:spacing w:line="480" w:lineRule="auto"/>
      </w:pPr>
      <w:r>
        <w:rPr>
          <w:noProof/>
        </w:rPr>
        <w:drawing>
          <wp:inline distT="0" distB="0" distL="0" distR="0">
            <wp:extent cx="4547870" cy="3344545"/>
            <wp:effectExtent l="19050" t="0" r="508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547870" cy="3344545"/>
                    </a:xfrm>
                    <a:prstGeom prst="rect">
                      <a:avLst/>
                    </a:prstGeom>
                    <a:noFill/>
                    <a:ln w="9525">
                      <a:noFill/>
                      <a:miter lim="800000"/>
                      <a:headEnd/>
                      <a:tailEnd/>
                    </a:ln>
                  </pic:spPr>
                </pic:pic>
              </a:graphicData>
            </a:graphic>
          </wp:inline>
        </w:drawing>
      </w:r>
    </w:p>
    <w:p w:rsidR="006A5DA4" w:rsidRPr="00C1645F" w:rsidRDefault="006A5DA4" w:rsidP="006A5DA4">
      <w:pPr>
        <w:pStyle w:val="Caption"/>
      </w:pPr>
      <w:bookmarkStart w:id="12" w:name="_Toc351890043"/>
      <w:proofErr w:type="gramStart"/>
      <w:r>
        <w:t xml:space="preserve">Figure </w:t>
      </w:r>
      <w:fldSimple w:instr=" SEQ Figure \* ARABIC ">
        <w:r w:rsidR="005B6C27">
          <w:rPr>
            <w:noProof/>
          </w:rPr>
          <w:t>2</w:t>
        </w:r>
      </w:fldSimple>
      <w:r>
        <w:t>.</w:t>
      </w:r>
      <w:proofErr w:type="gramEnd"/>
      <w:r>
        <w:t xml:space="preserve"> </w:t>
      </w:r>
      <w:r w:rsidR="00585CEB">
        <w:rPr>
          <w:lang w:val="en-GB"/>
        </w:rPr>
        <w:t>Shipments of PET and PET/CT scanners for the US markets as recorded by the Nuclear Equipment Manufacturers Association</w:t>
      </w:r>
      <w:bookmarkEnd w:id="12"/>
    </w:p>
    <w:p w:rsidR="006A5DA4" w:rsidRDefault="006A5DA4" w:rsidP="00956251">
      <w:pPr>
        <w:numPr>
          <w:ilvl w:val="12"/>
          <w:numId w:val="0"/>
        </w:numPr>
        <w:spacing w:line="480" w:lineRule="auto"/>
        <w:ind w:firstLine="720"/>
      </w:pPr>
    </w:p>
    <w:p w:rsidR="00750622" w:rsidRDefault="00C1645F" w:rsidP="00691E65">
      <w:pPr>
        <w:numPr>
          <w:ilvl w:val="12"/>
          <w:numId w:val="0"/>
        </w:numPr>
        <w:spacing w:line="480" w:lineRule="auto"/>
        <w:ind w:firstLine="720"/>
      </w:pPr>
      <w:r w:rsidRPr="00C1645F">
        <w:t xml:space="preserve">The first PET scans were conducted in the 70’s at Washington University in St. Louis by Michael Phelps, et al </w:t>
      </w:r>
      <w:r w:rsidR="009B6816" w:rsidRPr="00C1645F">
        <w:fldChar w:fldCharType="begin"/>
      </w:r>
      <w:r w:rsidR="002D7C36">
        <w:instrText xml:space="preserve"> ADDIN EN.CITE &lt;EndNote&gt;&lt;Cite&gt;&lt;Author&gt;Phelps&lt;/Author&gt;&lt;Year&gt;1975&lt;/Year&gt;&lt;RecNum&gt;98&lt;/RecNum&gt;&lt;DisplayText&gt;(Phelps, Hoffman et al. 1975; Phelps, Hoffman et al. 1976)&lt;/DisplayText&gt;&lt;record&gt;&lt;rec-number&gt;98&lt;/rec-number&gt;&lt;foreign-keys&gt;&lt;key app="EN" db-id="srwv9ppvvez5pgefxzi5ddeve5w2fe5x5esr"&gt;98&lt;/key&gt;&lt;/foreign-keys&gt;&lt;ref-type name="Journal Article"&gt;17&lt;/ref-type&gt;&lt;contributors&gt;&lt;authors&gt;&lt;author&gt;Phelps, ME&lt;/author&gt;&lt;author&gt;Hoffman, EJ&lt;/author&gt;&lt;author&gt;Mullani, NA&lt;/author&gt;&lt;author&gt;Ter-Pogossian, MM&lt;/author&gt;&lt;/authors&gt;&lt;/contributors&gt;&lt;titles&gt;&lt;title&gt;Application of annihilation coincidence detection to transaxial reconstruction tomography&lt;/title&gt;&lt;secondary-title&gt;Journal of Nuclear Medicine&lt;/secondary-title&gt;&lt;/titles&gt;&lt;periodical&gt;&lt;full-title&gt;Journal of Nuclear Medicine&lt;/full-title&gt;&lt;/periodical&gt;&lt;pages&gt;210&lt;/pages&gt;&lt;volume&gt;16&lt;/volume&gt;&lt;number&gt;3&lt;/number&gt;&lt;dates&gt;&lt;year&gt;1975&lt;/year&gt;&lt;/dates&gt;&lt;urls&gt;&lt;/urls&gt;&lt;/record&gt;&lt;/Cite&gt;&lt;Cite&gt;&lt;Author&gt;Phelps&lt;/Author&gt;&lt;Year&gt;1976&lt;/Year&gt;&lt;RecNum&gt;149&lt;/RecNum&gt;&lt;record&gt;&lt;rec-number&gt;149&lt;/rec-number&gt;&lt;foreign-keys&gt;&lt;key app="EN" db-id="srwv9ppvvez5pgefxzi5ddeve5w2fe5x5esr"&gt;149&lt;/key&gt;&lt;/foreign-keys&gt;&lt;ref-type name="Journal Article"&gt;17&lt;/ref-type&gt;&lt;contributors&gt;&lt;authors&gt;&lt;author&gt;Phelps, ME&lt;/author&gt;&lt;author&gt;Hoffman, EJ&lt;/author&gt;&lt;author&gt;Coleman, RE&lt;/author&gt;&lt;author&gt;Welch, MJ&lt;/author&gt;&lt;author&gt;Raichle, ME&lt;/author&gt;&lt;author&gt;Weiss, ES&lt;/author&gt;&lt;author&gt;Sobel, BE&lt;/author&gt;&lt;author&gt;Ter-Pogossian, MM&lt;/author&gt;&lt;/authors&gt;&lt;/contributors&gt;&lt;titles&gt;&lt;title&gt;Tomographic images of blood pool and perfusion in brain and heart&lt;/title&gt;&lt;secondary-title&gt;Journal of Nuclear Medicine&lt;/secondary-title&gt;&lt;/titles&gt;&lt;periodical&gt;&lt;full-title&gt;Journal of Nuclear Medicine&lt;/full-title&gt;&lt;/periodical&gt;&lt;pages&gt;603&lt;/pages&gt;&lt;volume&gt;17&lt;/volume&gt;&lt;number&gt;7&lt;/number&gt;&lt;dates&gt;&lt;year&gt;1976&lt;/year&gt;&lt;/dates&gt;&lt;urls&gt;&lt;/urls&gt;&lt;/record&gt;&lt;/Cite&gt;&lt;/EndNote&gt;</w:instrText>
      </w:r>
      <w:r w:rsidR="009B6816" w:rsidRPr="00C1645F">
        <w:fldChar w:fldCharType="separate"/>
      </w:r>
      <w:r w:rsidR="00B82802">
        <w:rPr>
          <w:noProof/>
        </w:rPr>
        <w:t>(</w:t>
      </w:r>
      <w:hyperlink w:anchor="_ENREF_64" w:tooltip="Phelps, 1975 #98" w:history="1">
        <w:r w:rsidR="007704DB">
          <w:rPr>
            <w:noProof/>
          </w:rPr>
          <w:t>Phelps, Hoffman et al. 1975</w:t>
        </w:r>
      </w:hyperlink>
      <w:r w:rsidR="00B82802">
        <w:rPr>
          <w:noProof/>
        </w:rPr>
        <w:t xml:space="preserve">; </w:t>
      </w:r>
      <w:hyperlink w:anchor="_ENREF_63" w:tooltip="Phelps, 1976 #149" w:history="1">
        <w:r w:rsidR="007704DB">
          <w:rPr>
            <w:noProof/>
          </w:rPr>
          <w:t>Phelps, Hoffman et al. 1976</w:t>
        </w:r>
      </w:hyperlink>
      <w:r w:rsidR="00B82802">
        <w:rPr>
          <w:noProof/>
        </w:rPr>
        <w:t>)</w:t>
      </w:r>
      <w:r w:rsidR="009B6816" w:rsidRPr="00C1645F">
        <w:fldChar w:fldCharType="end"/>
      </w:r>
      <w:r w:rsidR="008E796E">
        <w:t>.</w:t>
      </w:r>
      <w:r w:rsidRPr="00C1645F">
        <w:t xml:space="preserve">  With the development of FDG later that decade, PET gained more attention for its potential clinical value; but due to the difficulties of the imaging process and the high costs of the radiopharmaceuticals, PET was strictly used for research.  However, as more PET studies were performed, its clinical utility began to emerge, specifically in the </w:t>
      </w:r>
      <w:r w:rsidRPr="00C1645F">
        <w:lastRenderedPageBreak/>
        <w:t xml:space="preserve">evaluation of disorders of the heart and brain.  This led to the first reimbursement of PET in 1995, for myocardial perfusion imaging using Rubidium-82 </w:t>
      </w:r>
      <w:r w:rsidR="009B6816" w:rsidRPr="00C1645F">
        <w:fldChar w:fldCharType="begin"/>
      </w:r>
      <w:r w:rsidR="002D7C36">
        <w:instrText xml:space="preserve"> ADDIN EN.CITE &lt;EndNote&gt;&lt;Cite&gt;&lt;Author&gt;Workman&lt;/Author&gt;&lt;Year&gt;2006&lt;/Year&gt;&lt;RecNum&gt;226&lt;/RecNum&gt;&lt;DisplayText&gt;(Workman and Coleman 2006)&lt;/DisplayText&gt;&lt;record&gt;&lt;rec-number&gt;226&lt;/rec-number&gt;&lt;foreign-keys&gt;&lt;key app="EN" db-id="srwv9ppvvez5pgefxzi5ddeve5w2fe5x5esr"&gt;226&lt;/key&gt;&lt;/foreign-keys&gt;&lt;ref-type name="Book"&gt;6&lt;/ref-type&gt;&lt;contributors&gt;&lt;authors&gt;&lt;author&gt;Workman, RB&lt;/author&gt;&lt;author&gt;Coleman, RE&lt;/author&gt;&lt;/authors&gt;&lt;/contributors&gt;&lt;titles&gt;&lt;title&gt;PET/CT essentials for clinical practice&lt;/title&gt;&lt;/titles&gt;&lt;dates&gt;&lt;year&gt;2006&lt;/year&gt;&lt;/dates&gt;&lt;publisher&gt;Springer&lt;/publisher&gt;&lt;isbn&gt;9780387321660&lt;/isbn&gt;&lt;urls&gt;&lt;related-urls&gt;&lt;url&gt;http://books.google.com/books?id=TxgZe4h8ST8C&lt;/url&gt;&lt;/related-urls&gt;&lt;/urls&gt;&lt;/record&gt;&lt;/Cite&gt;&lt;/EndNote&gt;</w:instrText>
      </w:r>
      <w:r w:rsidR="009B6816" w:rsidRPr="00C1645F">
        <w:fldChar w:fldCharType="separate"/>
      </w:r>
      <w:r w:rsidR="00B82802">
        <w:rPr>
          <w:noProof/>
        </w:rPr>
        <w:t>(</w:t>
      </w:r>
      <w:hyperlink w:anchor="_ENREF_88" w:tooltip="Workman, 2006 #226" w:history="1">
        <w:r w:rsidR="007704DB">
          <w:rPr>
            <w:noProof/>
          </w:rPr>
          <w:t>Workman and Coleman 2006</w:t>
        </w:r>
      </w:hyperlink>
      <w:r w:rsidR="00B82802">
        <w:rPr>
          <w:noProof/>
        </w:rPr>
        <w:t>)</w:t>
      </w:r>
      <w:r w:rsidR="009B6816" w:rsidRPr="00C1645F">
        <w:fldChar w:fldCharType="end"/>
      </w:r>
      <w:r w:rsidR="009A6995">
        <w:t>.</w:t>
      </w:r>
      <w:r w:rsidRPr="00C1645F">
        <w:t xml:space="preserve">  The first Medicare reimbursement of FDG-PET scans in oncology came in January of 1998 for the initial staging of non small-cell lung cancer and the characterization of single pulmonary nodules </w:t>
      </w:r>
      <w:r w:rsidR="009B6816" w:rsidRPr="00C1645F">
        <w:fldChar w:fldCharType="begin"/>
      </w:r>
      <w:r w:rsidR="002D7C36">
        <w:instrText xml:space="preserve"> ADDIN EN.CITE &lt;EndNote&gt;&lt;Cite&gt;&lt;Author&gt;Bietendorf&lt;/Author&gt;&lt;Year&gt;2004&lt;/Year&gt;&lt;RecNum&gt;121&lt;/RecNum&gt;&lt;DisplayText&gt;(Bietendorf 2004)&lt;/DisplayText&gt;&lt;record&gt;&lt;rec-number&gt;121&lt;/rec-number&gt;&lt;foreign-keys&gt;&lt;key app="EN" db-id="srwv9ppvvez5pgefxzi5ddeve5w2fe5x5esr"&gt;121&lt;/key&gt;&lt;/foreign-keys&gt;&lt;ref-type name="Journal Article"&gt;17&lt;/ref-type&gt;&lt;contributors&gt;&lt;authors&gt;&lt;author&gt;Bietendorf, J&lt;/author&gt;&lt;/authors&gt;&lt;/contributors&gt;&lt;titles&gt;&lt;title&gt;FDG PET Reimbursement&lt;/title&gt;&lt;secondary-title&gt;Journal of Nuclear Medicine Technology&lt;/secondary-title&gt;&lt;/titles&gt;&lt;pages&gt;33&lt;/pages&gt;&lt;volume&gt;32&lt;/volume&gt;&lt;number&gt;1&lt;/number&gt;&lt;dates&gt;&lt;year&gt;2004&lt;/year&gt;&lt;/dates&gt;&lt;urls&gt;&lt;/urls&gt;&lt;/record&gt;&lt;/Cite&gt;&lt;/EndNote&gt;</w:instrText>
      </w:r>
      <w:r w:rsidR="009B6816" w:rsidRPr="00C1645F">
        <w:fldChar w:fldCharType="separate"/>
      </w:r>
      <w:r w:rsidR="00B82802">
        <w:rPr>
          <w:noProof/>
        </w:rPr>
        <w:t>(</w:t>
      </w:r>
      <w:hyperlink w:anchor="_ENREF_14" w:tooltip="Bietendorf, 2004 #121" w:history="1">
        <w:r w:rsidR="007704DB">
          <w:rPr>
            <w:noProof/>
          </w:rPr>
          <w:t>Bietendorf 2004</w:t>
        </w:r>
      </w:hyperlink>
      <w:r w:rsidR="00B82802">
        <w:rPr>
          <w:noProof/>
        </w:rPr>
        <w:t>)</w:t>
      </w:r>
      <w:r w:rsidR="009B6816" w:rsidRPr="00C1645F">
        <w:fldChar w:fldCharType="end"/>
      </w:r>
      <w:r w:rsidR="009A6995">
        <w:t>.</w:t>
      </w:r>
      <w:r w:rsidRPr="00C1645F">
        <w:t xml:space="preserve">  Coverage for colorectal cancer, lymphoma, melanoma, and many others followed in the next few years.  </w:t>
      </w:r>
      <w:r>
        <w:t xml:space="preserve">The figures below illustrate the improved diagnostic </w:t>
      </w:r>
      <w:r w:rsidR="00432426">
        <w:t>capacity</w:t>
      </w:r>
      <w:r>
        <w:t xml:space="preserve"> </w:t>
      </w:r>
      <w:r w:rsidR="00432426">
        <w:t>of</w:t>
      </w:r>
      <w:r>
        <w:t xml:space="preserve"> fused images.</w:t>
      </w:r>
      <w:r w:rsidR="00432426" w:rsidRPr="00432426">
        <w:t xml:space="preserve"> </w:t>
      </w:r>
    </w:p>
    <w:p w:rsidR="00691E65" w:rsidRDefault="00691E65" w:rsidP="00691E65">
      <w:pPr>
        <w:numPr>
          <w:ilvl w:val="12"/>
          <w:numId w:val="0"/>
        </w:numPr>
        <w:spacing w:line="480" w:lineRule="auto"/>
        <w:ind w:firstLine="720"/>
      </w:pPr>
    </w:p>
    <w:p w:rsidR="00432426" w:rsidRDefault="00432426" w:rsidP="0043242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236552">
        <w:rPr>
          <w:rFonts w:ascii="Book Antiqua" w:eastAsia="Helvetica" w:hAnsi="Book Antiqua" w:cs="Helvetica"/>
          <w:noProof/>
          <w:color w:val="000000"/>
          <w:sz w:val="20"/>
          <w:szCs w:val="20"/>
        </w:rPr>
        <w:drawing>
          <wp:inline distT="0" distB="0" distL="0" distR="0">
            <wp:extent cx="1625600" cy="1365885"/>
            <wp:effectExtent l="19050" t="0" r="0" b="0"/>
            <wp:docPr id="3" name="Picture 31" descr="Axial 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xial PET"/>
                    <pic:cNvPicPr>
                      <a:picLocks noChangeAspect="1" noChangeArrowheads="1"/>
                    </pic:cNvPicPr>
                  </pic:nvPicPr>
                  <pic:blipFill>
                    <a:blip r:embed="rId11" cstate="print"/>
                    <a:srcRect/>
                    <a:stretch>
                      <a:fillRect/>
                    </a:stretch>
                  </pic:blipFill>
                  <pic:spPr bwMode="auto">
                    <a:xfrm>
                      <a:off x="0" y="0"/>
                      <a:ext cx="1625600" cy="1365885"/>
                    </a:xfrm>
                    <a:prstGeom prst="rect">
                      <a:avLst/>
                    </a:prstGeom>
                    <a:noFill/>
                    <a:ln w="9525">
                      <a:noFill/>
                      <a:miter lim="800000"/>
                      <a:headEnd/>
                      <a:tailEnd/>
                    </a:ln>
                  </pic:spPr>
                </pic:pic>
              </a:graphicData>
            </a:graphic>
          </wp:inline>
        </w:drawing>
      </w:r>
      <w:r w:rsidRPr="00236552">
        <w:rPr>
          <w:rFonts w:ascii="Book Antiqua" w:eastAsia="Helvetica" w:hAnsi="Book Antiqua" w:cs="Helvetica"/>
          <w:noProof/>
          <w:color w:val="000000"/>
          <w:sz w:val="20"/>
          <w:szCs w:val="20"/>
        </w:rPr>
        <w:drawing>
          <wp:inline distT="0" distB="0" distL="0" distR="0">
            <wp:extent cx="1625600" cy="1365885"/>
            <wp:effectExtent l="19050" t="0" r="0" b="0"/>
            <wp:docPr id="4" name="Picture 32" descr="Axial 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xial CT"/>
                    <pic:cNvPicPr>
                      <a:picLocks noChangeAspect="1" noChangeArrowheads="1"/>
                    </pic:cNvPicPr>
                  </pic:nvPicPr>
                  <pic:blipFill>
                    <a:blip r:embed="rId12" cstate="print"/>
                    <a:srcRect/>
                    <a:stretch>
                      <a:fillRect/>
                    </a:stretch>
                  </pic:blipFill>
                  <pic:spPr bwMode="auto">
                    <a:xfrm>
                      <a:off x="0" y="0"/>
                      <a:ext cx="1625600" cy="1365885"/>
                    </a:xfrm>
                    <a:prstGeom prst="rect">
                      <a:avLst/>
                    </a:prstGeom>
                    <a:noFill/>
                    <a:ln w="9525">
                      <a:noFill/>
                      <a:miter lim="800000"/>
                      <a:headEnd/>
                      <a:tailEnd/>
                    </a:ln>
                  </pic:spPr>
                </pic:pic>
              </a:graphicData>
            </a:graphic>
          </wp:inline>
        </w:drawing>
      </w:r>
      <w:r w:rsidRPr="00236552">
        <w:rPr>
          <w:rFonts w:ascii="Book Antiqua" w:eastAsia="Helvetica" w:hAnsi="Book Antiqua" w:cs="Helvetica"/>
          <w:noProof/>
          <w:color w:val="000000"/>
          <w:sz w:val="20"/>
          <w:szCs w:val="20"/>
        </w:rPr>
        <w:drawing>
          <wp:inline distT="0" distB="0" distL="0" distR="0">
            <wp:extent cx="1625600" cy="1365885"/>
            <wp:effectExtent l="19050" t="0" r="0" b="0"/>
            <wp:docPr id="5" name="Picture 33" descr="Axial F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xial Fused"/>
                    <pic:cNvPicPr>
                      <a:picLocks noChangeAspect="1" noChangeArrowheads="1"/>
                    </pic:cNvPicPr>
                  </pic:nvPicPr>
                  <pic:blipFill>
                    <a:blip r:embed="rId13" cstate="print"/>
                    <a:srcRect/>
                    <a:stretch>
                      <a:fillRect/>
                    </a:stretch>
                  </pic:blipFill>
                  <pic:spPr bwMode="auto">
                    <a:xfrm>
                      <a:off x="0" y="0"/>
                      <a:ext cx="1625600" cy="1365885"/>
                    </a:xfrm>
                    <a:prstGeom prst="rect">
                      <a:avLst/>
                    </a:prstGeom>
                    <a:noFill/>
                    <a:ln w="9525">
                      <a:noFill/>
                      <a:miter lim="800000"/>
                      <a:headEnd/>
                      <a:tailEnd/>
                    </a:ln>
                  </pic:spPr>
                </pic:pic>
              </a:graphicData>
            </a:graphic>
          </wp:inline>
        </w:drawing>
      </w:r>
      <w:r w:rsidRPr="00432426">
        <w:t xml:space="preserve"> </w:t>
      </w:r>
    </w:p>
    <w:p w:rsidR="00750622" w:rsidRDefault="00B72297" w:rsidP="00691E65">
      <w:pPr>
        <w:pStyle w:val="Caption"/>
      </w:pPr>
      <w:bookmarkStart w:id="13" w:name="_Toc304556361"/>
      <w:bookmarkStart w:id="14" w:name="_Toc351890044"/>
      <w:proofErr w:type="gramStart"/>
      <w:r>
        <w:t xml:space="preserve">Figure </w:t>
      </w:r>
      <w:r w:rsidR="009B6816">
        <w:fldChar w:fldCharType="begin"/>
      </w:r>
      <w:r>
        <w:instrText xml:space="preserve"> SEQ Figure \* ARABIC </w:instrText>
      </w:r>
      <w:r w:rsidR="009B6816">
        <w:fldChar w:fldCharType="separate"/>
      </w:r>
      <w:r w:rsidR="005B6C27">
        <w:rPr>
          <w:noProof/>
        </w:rPr>
        <w:t>3</w:t>
      </w:r>
      <w:r w:rsidR="009B6816">
        <w:fldChar w:fldCharType="end"/>
      </w:r>
      <w:r>
        <w:t>.</w:t>
      </w:r>
      <w:proofErr w:type="gramEnd"/>
      <w:r w:rsidR="00C728D3">
        <w:t xml:space="preserve"> </w:t>
      </w:r>
      <w:r w:rsidR="00432426" w:rsidRPr="00432426">
        <w:t xml:space="preserve">Transaxial PET, CT, and fused images taken from a 68 year-old male diagnosed with </w:t>
      </w:r>
      <w:proofErr w:type="spellStart"/>
      <w:r w:rsidR="00432426" w:rsidRPr="00432426">
        <w:t>cholangiocarcinoma</w:t>
      </w:r>
      <w:proofErr w:type="spellEnd"/>
      <w:r w:rsidR="00432426" w:rsidRPr="00432426">
        <w:t>. The combined modality provides physio</w:t>
      </w:r>
      <w:r w:rsidR="003F431A">
        <w:t xml:space="preserve">logical information as well as </w:t>
      </w:r>
      <w:r w:rsidR="00432426" w:rsidRPr="00432426">
        <w:t>anatomical location. The disease is not obvious in the CT image alone but the PET scan shows an intense focus of metabolic activity medial to the hepatic caudate lobe likely compatible with recurrent malignancy.</w:t>
      </w:r>
      <w:bookmarkEnd w:id="13"/>
      <w:bookmarkEnd w:id="14"/>
      <w:r w:rsidR="00432426" w:rsidRPr="00F920F6">
        <w:t xml:space="preserve"> </w:t>
      </w:r>
    </w:p>
    <w:p w:rsidR="00432426" w:rsidRDefault="006144D3" w:rsidP="0043242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ascii="Book Antiqua" w:eastAsia="Helvetica" w:hAnsi="Book Antiqua" w:cs="Helvetica"/>
          <w:noProof/>
          <w:color w:val="000000"/>
          <w:sz w:val="20"/>
          <w:szCs w:val="20"/>
        </w:rPr>
        <w:lastRenderedPageBreak/>
        <w:drawing>
          <wp:inline distT="0" distB="0" distL="0" distR="0">
            <wp:extent cx="1627632" cy="1375351"/>
            <wp:effectExtent l="19050" t="0" r="0" b="0"/>
            <wp:docPr id="27" name="Picture 1" descr="C:\Users\Josh\Desktop\chapter images\toZip\Lung P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chapter images\toZip\Lung PET.jpg"/>
                    <pic:cNvPicPr>
                      <a:picLocks noChangeAspect="1" noChangeArrowheads="1"/>
                    </pic:cNvPicPr>
                  </pic:nvPicPr>
                  <pic:blipFill>
                    <a:blip r:embed="rId14" cstate="print"/>
                    <a:srcRect/>
                    <a:stretch>
                      <a:fillRect/>
                    </a:stretch>
                  </pic:blipFill>
                  <pic:spPr bwMode="auto">
                    <a:xfrm>
                      <a:off x="0" y="0"/>
                      <a:ext cx="1627632" cy="1375351"/>
                    </a:xfrm>
                    <a:prstGeom prst="rect">
                      <a:avLst/>
                    </a:prstGeom>
                    <a:noFill/>
                    <a:ln w="9525">
                      <a:noFill/>
                      <a:miter lim="800000"/>
                      <a:headEnd/>
                      <a:tailEnd/>
                    </a:ln>
                  </pic:spPr>
                </pic:pic>
              </a:graphicData>
            </a:graphic>
          </wp:inline>
        </w:drawing>
      </w:r>
      <w:r>
        <w:rPr>
          <w:rFonts w:ascii="Book Antiqua" w:eastAsia="Helvetica" w:hAnsi="Book Antiqua" w:cs="Helvetica"/>
          <w:noProof/>
          <w:color w:val="000000"/>
          <w:sz w:val="20"/>
          <w:szCs w:val="20"/>
        </w:rPr>
        <w:drawing>
          <wp:inline distT="0" distB="0" distL="0" distR="0">
            <wp:extent cx="1627632" cy="1375352"/>
            <wp:effectExtent l="19050" t="0" r="0" b="0"/>
            <wp:docPr id="30" name="Picture 2" descr="C:\Users\Josh\Desktop\chapter images\toZip\Lung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chapter images\toZip\Lung CT.jpg"/>
                    <pic:cNvPicPr>
                      <a:picLocks noChangeAspect="1" noChangeArrowheads="1"/>
                    </pic:cNvPicPr>
                  </pic:nvPicPr>
                  <pic:blipFill>
                    <a:blip r:embed="rId15" cstate="print"/>
                    <a:srcRect/>
                    <a:stretch>
                      <a:fillRect/>
                    </a:stretch>
                  </pic:blipFill>
                  <pic:spPr bwMode="auto">
                    <a:xfrm>
                      <a:off x="0" y="0"/>
                      <a:ext cx="1627632" cy="1375352"/>
                    </a:xfrm>
                    <a:prstGeom prst="rect">
                      <a:avLst/>
                    </a:prstGeom>
                    <a:noFill/>
                    <a:ln w="9525">
                      <a:noFill/>
                      <a:miter lim="800000"/>
                      <a:headEnd/>
                      <a:tailEnd/>
                    </a:ln>
                  </pic:spPr>
                </pic:pic>
              </a:graphicData>
            </a:graphic>
          </wp:inline>
        </w:drawing>
      </w:r>
      <w:r>
        <w:rPr>
          <w:rFonts w:ascii="Book Antiqua" w:eastAsia="Helvetica" w:hAnsi="Book Antiqua" w:cs="Helvetica"/>
          <w:noProof/>
          <w:color w:val="000000"/>
          <w:sz w:val="20"/>
          <w:szCs w:val="20"/>
        </w:rPr>
        <w:drawing>
          <wp:inline distT="0" distB="0" distL="0" distR="0">
            <wp:extent cx="1627632" cy="1375351"/>
            <wp:effectExtent l="19050" t="0" r="0" b="0"/>
            <wp:docPr id="42" name="Picture 3" descr="C:\Users\Josh\Desktop\chapter images\toZip\Lung 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chapter images\toZip\Lung Fused.jpg"/>
                    <pic:cNvPicPr>
                      <a:picLocks noChangeAspect="1" noChangeArrowheads="1"/>
                    </pic:cNvPicPr>
                  </pic:nvPicPr>
                  <pic:blipFill>
                    <a:blip r:embed="rId16" cstate="print"/>
                    <a:srcRect/>
                    <a:stretch>
                      <a:fillRect/>
                    </a:stretch>
                  </pic:blipFill>
                  <pic:spPr bwMode="auto">
                    <a:xfrm>
                      <a:off x="0" y="0"/>
                      <a:ext cx="1627632" cy="1375351"/>
                    </a:xfrm>
                    <a:prstGeom prst="rect">
                      <a:avLst/>
                    </a:prstGeom>
                    <a:noFill/>
                    <a:ln w="9525">
                      <a:noFill/>
                      <a:miter lim="800000"/>
                      <a:headEnd/>
                      <a:tailEnd/>
                    </a:ln>
                  </pic:spPr>
                </pic:pic>
              </a:graphicData>
            </a:graphic>
          </wp:inline>
        </w:drawing>
      </w:r>
      <w:r w:rsidR="00432426" w:rsidRPr="00432426">
        <w:t xml:space="preserve"> </w:t>
      </w:r>
    </w:p>
    <w:p w:rsidR="002A5C8C" w:rsidRDefault="002A5C8C" w:rsidP="0084023C">
      <w:pPr>
        <w:pStyle w:val="Caption"/>
      </w:pPr>
      <w:bookmarkStart w:id="15" w:name="_Toc304556362"/>
      <w:bookmarkStart w:id="16" w:name="_Toc351890045"/>
      <w:proofErr w:type="gramStart"/>
      <w:r>
        <w:t xml:space="preserve">Figure </w:t>
      </w:r>
      <w:r w:rsidR="009B6816">
        <w:fldChar w:fldCharType="begin"/>
      </w:r>
      <w:r w:rsidR="005A0FF6">
        <w:instrText xml:space="preserve"> SEQ Figure \* ARABIC </w:instrText>
      </w:r>
      <w:r w:rsidR="009B6816">
        <w:fldChar w:fldCharType="separate"/>
      </w:r>
      <w:r w:rsidR="005B6C27">
        <w:rPr>
          <w:noProof/>
        </w:rPr>
        <w:t>4</w:t>
      </w:r>
      <w:r w:rsidR="009B6816">
        <w:fldChar w:fldCharType="end"/>
      </w:r>
      <w:r w:rsidR="00C728D3">
        <w:t>.</w:t>
      </w:r>
      <w:proofErr w:type="gramEnd"/>
      <w:r w:rsidR="00C728D3">
        <w:t xml:space="preserve"> </w:t>
      </w:r>
      <w:r w:rsidR="00432426" w:rsidRPr="00432426">
        <w:t>Transaxial PET, CT, and fused images of a 40 year-old female with a history of heavy smoking. The intense metabolic uptake illustrated by the PET scan is accompanied by a 2.2 x 2.8 cm upper lobe mass on the CT image, which was later diagnosed as non-small cell carcinoma.</w:t>
      </w:r>
      <w:bookmarkEnd w:id="15"/>
      <w:bookmarkEnd w:id="16"/>
      <w:r w:rsidR="00432426" w:rsidRPr="00F920F6">
        <w:t xml:space="preserve"> </w:t>
      </w:r>
    </w:p>
    <w:p w:rsidR="0086578D" w:rsidRDefault="0086578D" w:rsidP="0086578D"/>
    <w:p w:rsidR="0086578D" w:rsidRPr="0086578D" w:rsidRDefault="0086578D" w:rsidP="0086578D"/>
    <w:p w:rsidR="00BE1FFE" w:rsidRPr="004374C1" w:rsidRDefault="002A5C8C" w:rsidP="00367103">
      <w:pPr>
        <w:numPr>
          <w:ilvl w:val="12"/>
          <w:numId w:val="0"/>
        </w:numPr>
        <w:spacing w:line="480" w:lineRule="auto"/>
        <w:ind w:firstLine="720"/>
      </w:pPr>
      <w:r w:rsidRPr="002A5C8C">
        <w:t xml:space="preserve">Today, Medicare provides reimbursement of </w:t>
      </w:r>
      <w:r w:rsidR="000A6338">
        <w:t>FDG-</w:t>
      </w:r>
      <w:r w:rsidRPr="002A5C8C">
        <w:t xml:space="preserve">PET for </w:t>
      </w:r>
      <w:r w:rsidR="000A6338">
        <w:t xml:space="preserve">staging and, more recently, for </w:t>
      </w:r>
      <w:r w:rsidRPr="002A5C8C">
        <w:t>monitoring of nearly every form of cancer</w:t>
      </w:r>
      <w:r w:rsidR="000A6338">
        <w:t xml:space="preserve"> (</w:t>
      </w:r>
      <w:proofErr w:type="gramStart"/>
      <w:r w:rsidR="000A6338">
        <w:t>except</w:t>
      </w:r>
      <w:proofErr w:type="gramEnd"/>
      <w:r w:rsidR="000A6338">
        <w:t xml:space="preserve"> prostate)</w:t>
      </w:r>
      <w:r w:rsidRPr="002A5C8C">
        <w:t xml:space="preserve">.  </w:t>
      </w:r>
      <w:r w:rsidR="00354CAE" w:rsidRPr="00523651">
        <w:t xml:space="preserve">Although a fairly </w:t>
      </w:r>
      <w:r w:rsidR="004374C1">
        <w:t>recent development</w:t>
      </w:r>
      <w:r w:rsidR="00354CAE" w:rsidRPr="00523651">
        <w:t>, PET/CT</w:t>
      </w:r>
      <w:r w:rsidR="004374C1">
        <w:t xml:space="preserve"> in oncology</w:t>
      </w:r>
      <w:r w:rsidR="00354CAE" w:rsidRPr="00523651">
        <w:t xml:space="preserve"> is now </w:t>
      </w:r>
      <w:r w:rsidR="004374C1">
        <w:t>the primary imaging modality</w:t>
      </w:r>
      <w:r w:rsidR="00354CAE" w:rsidRPr="00523651">
        <w:t>, and the continued improvement of scanner performance promises further cli</w:t>
      </w:r>
      <w:r w:rsidR="004374C1">
        <w:t>nical integration.  However, the</w:t>
      </w:r>
      <w:r w:rsidR="00354CAE" w:rsidRPr="00523651">
        <w:t xml:space="preserve"> full potential </w:t>
      </w:r>
      <w:r w:rsidR="004374C1">
        <w:t xml:space="preserve">of PET </w:t>
      </w:r>
      <w:r w:rsidR="00354CAE" w:rsidRPr="00523651">
        <w:t xml:space="preserve">remains unrealized largely due to the relative limited availability of useful radiotracers.  As new tracers are developed and scanning protocols are further refined, the trend in patient care will become more personalized and tailored to </w:t>
      </w:r>
      <w:r w:rsidR="004374C1">
        <w:t xml:space="preserve">a </w:t>
      </w:r>
      <w:r w:rsidR="00354CAE" w:rsidRPr="00523651">
        <w:t>specific disease</w:t>
      </w:r>
      <w:r w:rsidR="004374C1">
        <w:t xml:space="preserve"> state</w:t>
      </w:r>
      <w:r w:rsidR="00354CAE" w:rsidRPr="00523651">
        <w:t xml:space="preserve">, ultimately allowing doctors to provide </w:t>
      </w:r>
      <w:r w:rsidR="004374C1">
        <w:t>improved</w:t>
      </w:r>
      <w:r w:rsidR="00354CAE" w:rsidRPr="00523651">
        <w:t xml:space="preserve"> care for their patients.</w:t>
      </w:r>
      <w:r w:rsidR="00354CAE" w:rsidRPr="00523651">
        <w:rPr>
          <w:b/>
          <w:bCs/>
          <w:lang w:val="en-GB"/>
        </w:rPr>
        <w:t xml:space="preserve"> </w:t>
      </w:r>
    </w:p>
    <w:p w:rsidR="004F7684" w:rsidRPr="00687E5C" w:rsidRDefault="004F7684" w:rsidP="004F7684">
      <w:pPr>
        <w:pStyle w:val="Heading2"/>
      </w:pPr>
      <w:bookmarkStart w:id="17" w:name="_Toc351889987"/>
      <w:r w:rsidRPr="00687E5C">
        <w:t xml:space="preserve">This </w:t>
      </w:r>
      <w:r w:rsidR="003233E1">
        <w:t>Dissertation</w:t>
      </w:r>
      <w:bookmarkEnd w:id="17"/>
    </w:p>
    <w:p w:rsidR="004F7684" w:rsidRPr="00687E5C" w:rsidRDefault="0003789B" w:rsidP="004F7684">
      <w:pPr>
        <w:numPr>
          <w:ilvl w:val="12"/>
          <w:numId w:val="0"/>
        </w:numPr>
        <w:spacing w:line="480" w:lineRule="auto"/>
        <w:ind w:firstLine="720"/>
      </w:pPr>
      <w:r>
        <w:t>Following this introduction</w:t>
      </w:r>
      <w:r w:rsidR="00AA00C4">
        <w:t>, in chapter 2,</w:t>
      </w:r>
      <w:r>
        <w:t xml:space="preserve"> </w:t>
      </w:r>
      <w:r w:rsidR="00687E5C">
        <w:t>a short review of the technical details of PET</w:t>
      </w:r>
      <w:r w:rsidR="00AA00C4">
        <w:t xml:space="preserve"> will be presented</w:t>
      </w:r>
      <w:r w:rsidR="00667924">
        <w:t xml:space="preserve">; the scope and goals of this </w:t>
      </w:r>
      <w:r>
        <w:t>dissertation</w:t>
      </w:r>
      <w:r w:rsidR="00667924">
        <w:t xml:space="preserve"> will be addressed in the </w:t>
      </w:r>
      <w:r>
        <w:t xml:space="preserve">final </w:t>
      </w:r>
      <w:r w:rsidR="00AA00C4">
        <w:t>section of that</w:t>
      </w:r>
      <w:r w:rsidR="00667924">
        <w:t xml:space="preserve"> chapter</w:t>
      </w:r>
      <w:r w:rsidR="00687E5C">
        <w:t xml:space="preserve">.  </w:t>
      </w:r>
      <w:r w:rsidR="00AA00C4">
        <w:t>Chapter 3</w:t>
      </w:r>
      <w:r w:rsidR="00687E5C">
        <w:t xml:space="preserve"> </w:t>
      </w:r>
      <w:r w:rsidR="00AA00C4">
        <w:t>addresses</w:t>
      </w:r>
      <w:r w:rsidR="00687E5C">
        <w:t xml:space="preserve"> the foundations of signal detection </w:t>
      </w:r>
      <w:r w:rsidR="00687E5C">
        <w:lastRenderedPageBreak/>
        <w:t xml:space="preserve">theory, and </w:t>
      </w:r>
      <w:r w:rsidR="00AA00C4">
        <w:t>chapter 4</w:t>
      </w:r>
      <w:r w:rsidR="00687E5C">
        <w:t xml:space="preserve"> is dedicated to </w:t>
      </w:r>
      <w:r w:rsidR="00043236">
        <w:t xml:space="preserve">the science and implementation of </w:t>
      </w:r>
      <w:r w:rsidR="0036205B">
        <w:t xml:space="preserve">mathematical observers.  </w:t>
      </w:r>
      <w:r w:rsidR="00AA00C4">
        <w:t>Chapter 5</w:t>
      </w:r>
      <w:r w:rsidR="0036205B">
        <w:t xml:space="preserve"> describes a novel lesion detection experiment designed to quantify the gains in performance of </w:t>
      </w:r>
      <w:r w:rsidR="00AA00C4">
        <w:t>various reconstruction methodologies.  Finally, chapter 6</w:t>
      </w:r>
      <w:r w:rsidR="0036205B">
        <w:t xml:space="preserve"> summarizes the research and the future prospects </w:t>
      </w:r>
      <w:r>
        <w:t xml:space="preserve">for the field of PET and possibilities </w:t>
      </w:r>
      <w:r w:rsidR="00AA00C4">
        <w:t>for extending the</w:t>
      </w:r>
      <w:r w:rsidR="0036205B">
        <w:t xml:space="preserve"> study</w:t>
      </w:r>
      <w:r w:rsidR="00AA00C4">
        <w:t xml:space="preserve"> described in this dissertation</w:t>
      </w:r>
      <w:r w:rsidR="0036205B">
        <w:t>.</w:t>
      </w:r>
    </w:p>
    <w:p w:rsidR="000B7AF9" w:rsidRPr="00F920F6" w:rsidRDefault="000B7AF9" w:rsidP="004F7684">
      <w:pPr>
        <w:numPr>
          <w:ilvl w:val="12"/>
          <w:numId w:val="0"/>
        </w:numPr>
        <w:spacing w:line="480" w:lineRule="auto"/>
      </w:pPr>
    </w:p>
    <w:p w:rsidR="00236E6D" w:rsidRPr="00D067C3" w:rsidRDefault="00236E6D" w:rsidP="005E4C89">
      <w:pPr>
        <w:pStyle w:val="Heading1"/>
      </w:pPr>
      <w:r w:rsidRPr="00F920F6">
        <w:br w:type="page"/>
      </w:r>
      <w:bookmarkStart w:id="18" w:name="_Toc351889988"/>
      <w:r w:rsidRPr="00F920F6">
        <w:lastRenderedPageBreak/>
        <w:t>C</w:t>
      </w:r>
      <w:r w:rsidR="000B7AF9" w:rsidRPr="00F920F6">
        <w:t>hapter</w:t>
      </w:r>
      <w:r w:rsidR="000B7AF9">
        <w:t xml:space="preserve"> 2</w:t>
      </w:r>
      <w:r w:rsidR="00C95439">
        <w:t xml:space="preserve"> </w:t>
      </w:r>
      <w:r w:rsidR="00C95439">
        <w:br/>
      </w:r>
      <w:r w:rsidR="008423C5">
        <w:t>PET Physics</w:t>
      </w:r>
      <w:r w:rsidR="009B6816">
        <w:fldChar w:fldCharType="begin"/>
      </w:r>
      <w:r w:rsidR="00E26AFF">
        <w:instrText xml:space="preserve"> MACROBUTTON RemoveChapterIncreaseMark \* MERGEFORMAT </w:instrText>
      </w:r>
      <w:r w:rsidR="009B6816">
        <w:fldChar w:fldCharType="begin"/>
      </w:r>
      <w:r w:rsidR="00E26AFF">
        <w:instrText xml:space="preserve"> SEQ EqnChapter \n \h \* MERGEFORMAT </w:instrText>
      </w:r>
      <w:r w:rsidR="009B6816">
        <w:fldChar w:fldCharType="end"/>
      </w:r>
      <w:r w:rsidR="009B6816">
        <w:fldChar w:fldCharType="begin"/>
      </w:r>
      <w:r w:rsidR="00E26AFF">
        <w:instrText xml:space="preserve"> SEQ EquationNumber \r0 \h \* MERGEFORMAT </w:instrText>
      </w:r>
      <w:r w:rsidR="009B6816">
        <w:fldChar w:fldCharType="end"/>
      </w:r>
      <w:r w:rsidR="009B6816">
        <w:fldChar w:fldCharType="begin"/>
      </w:r>
      <w:r w:rsidR="00E26AFF">
        <w:instrText xml:space="preserve"> SEQ TheoremNumber \r0 \h \* MERGEFORMAT </w:instrText>
      </w:r>
      <w:r w:rsidR="009B6816">
        <w:fldChar w:fldCharType="end"/>
      </w:r>
      <w:r w:rsidR="00E26AFF" w:rsidRPr="00E26AFF">
        <w:rPr>
          <w:vanish/>
        </w:rPr>
        <w:sym w:font="Wingdings" w:char="F0F6"/>
      </w:r>
      <w:r w:rsidR="009B6816">
        <w:fldChar w:fldCharType="end"/>
      </w:r>
      <w:bookmarkEnd w:id="18"/>
    </w:p>
    <w:p w:rsidR="00236E6D" w:rsidRPr="00F920F6" w:rsidRDefault="008423C5" w:rsidP="00D067C3">
      <w:pPr>
        <w:pStyle w:val="Heading2"/>
      </w:pPr>
      <w:bookmarkStart w:id="19" w:name="_Toc351889989"/>
      <w:r>
        <w:t>Fundamental Physics</w:t>
      </w:r>
      <w:bookmarkEnd w:id="19"/>
    </w:p>
    <w:p w:rsidR="003B581C" w:rsidRDefault="008423C5" w:rsidP="00926E55">
      <w:pPr>
        <w:numPr>
          <w:ilvl w:val="12"/>
          <w:numId w:val="0"/>
        </w:numPr>
        <w:spacing w:line="480" w:lineRule="auto"/>
        <w:ind w:firstLine="720"/>
      </w:pPr>
      <w:r w:rsidRPr="008423C5">
        <w:t xml:space="preserve">PET scanners </w:t>
      </w:r>
      <w:r w:rsidR="00AA00C4">
        <w:t>detect</w:t>
      </w:r>
      <w:r w:rsidRPr="008423C5">
        <w:t xml:space="preserve"> the energy released </w:t>
      </w:r>
      <w:r w:rsidR="00BB76FD">
        <w:t>from</w:t>
      </w:r>
      <w:r w:rsidRPr="008423C5">
        <w:t xml:space="preserve"> positron </w:t>
      </w:r>
      <w:r w:rsidR="00AA00C4">
        <w:t>annihilation</w:t>
      </w:r>
      <w:r w:rsidRPr="008423C5">
        <w:t>.  When</w:t>
      </w:r>
      <w:r w:rsidR="00BB76FD">
        <w:t xml:space="preserve"> an u</w:t>
      </w:r>
      <w:r w:rsidR="001D0526">
        <w:t>n</w:t>
      </w:r>
      <w:r w:rsidR="00BB76FD">
        <w:t>stable isotope</w:t>
      </w:r>
      <w:r w:rsidRPr="008423C5">
        <w:t xml:space="preserve"> </w:t>
      </w:r>
      <w:r w:rsidR="00BB76FD">
        <w:t>decays by beta plus</w:t>
      </w:r>
      <w:r w:rsidRPr="008423C5">
        <w:t xml:space="preserve"> (</w:t>
      </w:r>
      <w:r w:rsidRPr="00EC4695">
        <w:rPr>
          <w:rFonts w:ascii="Symbol" w:hAnsi="Symbol"/>
        </w:rPr>
        <w:t></w:t>
      </w:r>
      <w:r w:rsidRPr="008423C5">
        <w:rPr>
          <w:vertAlign w:val="superscript"/>
        </w:rPr>
        <w:t>+</w:t>
      </w:r>
      <w:r w:rsidRPr="008423C5">
        <w:t>)</w:t>
      </w:r>
      <w:r w:rsidR="006661A5">
        <w:t xml:space="preserve"> </w:t>
      </w:r>
      <w:r w:rsidR="00BB76FD">
        <w:t>emission</w:t>
      </w:r>
      <w:r w:rsidR="006661A5" w:rsidRPr="008423C5">
        <w:rPr>
          <w:vertAlign w:val="superscript"/>
        </w:rPr>
        <w:footnoteReference w:id="2"/>
      </w:r>
      <w:r w:rsidR="00BB76FD">
        <w:t xml:space="preserve">, </w:t>
      </w:r>
      <w:r w:rsidRPr="008423C5">
        <w:t xml:space="preserve">a proton is </w:t>
      </w:r>
      <w:r w:rsidR="006661A5">
        <w:t>transmuted</w:t>
      </w:r>
      <w:r w:rsidRPr="008423C5">
        <w:t xml:space="preserve"> into a neutron, emitting a positron and neutrino.  </w:t>
      </w:r>
      <w:r w:rsidR="003E1536">
        <w:t>As illustrated below, t</w:t>
      </w:r>
      <w:r w:rsidRPr="008423C5">
        <w:t xml:space="preserve">he positron travels along a random path where it experiences </w:t>
      </w:r>
      <w:r w:rsidR="00585CEB" w:rsidRPr="008423C5">
        <w:t>inter</w:t>
      </w:r>
      <w:r w:rsidR="00585CEB">
        <w:t>-</w:t>
      </w:r>
      <w:r w:rsidR="00585CEB" w:rsidRPr="008423C5">
        <w:t>atomic</w:t>
      </w:r>
      <w:r w:rsidRPr="008423C5">
        <w:t xml:space="preserve"> coulomb interactions which influence its course and reduce its kinetic energy before </w:t>
      </w:r>
      <w:r w:rsidR="006661A5">
        <w:t>encountering</w:t>
      </w:r>
      <w:r w:rsidRPr="008423C5">
        <w:t xml:space="preserve"> and annihilating with an electron. The mean free path of a positron in </w:t>
      </w:r>
      <w:r w:rsidR="006661A5">
        <w:t>water</w:t>
      </w:r>
      <w:r w:rsidRPr="008423C5">
        <w:t xml:space="preserve"> is 0.6mm, but the actual path depends on the initial positron energy as well as surrounding </w:t>
      </w:r>
      <w:r w:rsidR="006661A5">
        <w:t>tissue</w:t>
      </w:r>
      <w:r w:rsidRPr="008423C5">
        <w:t xml:space="preserve">.  </w:t>
      </w:r>
    </w:p>
    <w:p w:rsidR="001B0F02" w:rsidRDefault="003E1536" w:rsidP="008423C5">
      <w:pPr>
        <w:numPr>
          <w:ilvl w:val="12"/>
          <w:numId w:val="0"/>
        </w:numPr>
        <w:spacing w:line="480" w:lineRule="auto"/>
        <w:ind w:firstLine="720"/>
      </w:pPr>
      <w:r>
        <w:rPr>
          <w:noProof/>
        </w:rPr>
        <w:drawing>
          <wp:inline distT="0" distB="0" distL="0" distR="0">
            <wp:extent cx="3145790" cy="1993265"/>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3145790" cy="1993265"/>
                    </a:xfrm>
                    <a:prstGeom prst="rect">
                      <a:avLst/>
                    </a:prstGeom>
                    <a:noFill/>
                    <a:ln w="9525">
                      <a:noFill/>
                      <a:miter lim="800000"/>
                      <a:headEnd/>
                      <a:tailEnd/>
                    </a:ln>
                  </pic:spPr>
                </pic:pic>
              </a:graphicData>
            </a:graphic>
          </wp:inline>
        </w:drawing>
      </w:r>
    </w:p>
    <w:p w:rsidR="003E1536" w:rsidRPr="008423C5" w:rsidRDefault="003E1536" w:rsidP="0084023C">
      <w:pPr>
        <w:pStyle w:val="Caption"/>
      </w:pPr>
      <w:bookmarkStart w:id="20" w:name="_Toc351890046"/>
      <w:proofErr w:type="gramStart"/>
      <w:r>
        <w:t xml:space="preserve">Figure </w:t>
      </w:r>
      <w:r w:rsidR="009B6816">
        <w:fldChar w:fldCharType="begin"/>
      </w:r>
      <w:r w:rsidR="00EE0740">
        <w:instrText xml:space="preserve"> SEQ Figure \* ARABIC </w:instrText>
      </w:r>
      <w:r w:rsidR="009B6816">
        <w:fldChar w:fldCharType="separate"/>
      </w:r>
      <w:r w:rsidR="005B6C27">
        <w:rPr>
          <w:noProof/>
        </w:rPr>
        <w:t>5</w:t>
      </w:r>
      <w:r w:rsidR="009B6816">
        <w:fldChar w:fldCharType="end"/>
      </w:r>
      <w:r>
        <w:t>.</w:t>
      </w:r>
      <w:proofErr w:type="gramEnd"/>
      <w:r>
        <w:t xml:space="preserve"> </w:t>
      </w:r>
      <w:proofErr w:type="gramStart"/>
      <w:r>
        <w:t>Po</w:t>
      </w:r>
      <w:r w:rsidR="00830460">
        <w:t>sitron emission and annihilatio</w:t>
      </w:r>
      <w:r w:rsidR="003B581C">
        <w:t>n.</w:t>
      </w:r>
      <w:proofErr w:type="gramEnd"/>
      <w:r w:rsidR="003B581C">
        <w:t xml:space="preserve"> Within the atomic nucleus, a proton (blue circles) </w:t>
      </w:r>
      <w:r w:rsidR="00F00D74">
        <w:t>transmutes</w:t>
      </w:r>
      <w:r w:rsidR="003B581C">
        <w:t xml:space="preserve"> into a neutron (red circles).  This </w:t>
      </w:r>
      <w:r w:rsidR="00F00D74">
        <w:t>event</w:t>
      </w:r>
      <w:r w:rsidR="00FB56B4">
        <w:t xml:space="preserve"> </w:t>
      </w:r>
      <w:r w:rsidR="00801E35">
        <w:t>releases a neutrino and a positron</w:t>
      </w:r>
      <w:r w:rsidR="003B581C">
        <w:t xml:space="preserve"> which then encounters a nearby electron</w:t>
      </w:r>
      <w:r w:rsidR="000264EB">
        <w:t>,</w:t>
      </w:r>
      <w:r w:rsidR="003B581C">
        <w:t xml:space="preserve"> and the pair self-annihilate, releasing two 511keV photons in </w:t>
      </w:r>
      <w:r w:rsidR="00801E35">
        <w:t xml:space="preserve">approximately </w:t>
      </w:r>
      <w:r w:rsidR="003B581C">
        <w:t>opposite directions.</w:t>
      </w:r>
      <w:bookmarkEnd w:id="20"/>
    </w:p>
    <w:p w:rsidR="008423C5" w:rsidRPr="008423C5" w:rsidRDefault="008423C5" w:rsidP="008423C5">
      <w:pPr>
        <w:numPr>
          <w:ilvl w:val="12"/>
          <w:numId w:val="0"/>
        </w:numPr>
        <w:spacing w:line="480" w:lineRule="auto"/>
        <w:ind w:firstLine="720"/>
      </w:pPr>
      <w:r w:rsidRPr="008423C5">
        <w:lastRenderedPageBreak/>
        <w:t xml:space="preserve">Once the positron has </w:t>
      </w:r>
      <w:r w:rsidR="009E7042">
        <w:t xml:space="preserve">lost </w:t>
      </w:r>
      <w:r w:rsidRPr="008423C5">
        <w:t xml:space="preserve">enough kinetic energy, it will </w:t>
      </w:r>
      <w:r w:rsidR="00F444A1">
        <w:t xml:space="preserve">directly annihilate with a nearby electron or </w:t>
      </w:r>
      <w:r w:rsidRPr="008423C5">
        <w:t xml:space="preserve">combine with </w:t>
      </w:r>
      <w:r w:rsidR="00F444A1">
        <w:t>it</w:t>
      </w:r>
      <w:r w:rsidRPr="008423C5">
        <w:t xml:space="preserve"> in a temporary state called positronium, where the positron and electron are </w:t>
      </w:r>
      <w:r w:rsidR="006661A5">
        <w:t xml:space="preserve">in a </w:t>
      </w:r>
      <w:r w:rsidRPr="008423C5">
        <w:t>bound</w:t>
      </w:r>
      <w:r w:rsidR="006661A5">
        <w:t xml:space="preserve"> state</w:t>
      </w:r>
      <w:r w:rsidRPr="008423C5">
        <w:t xml:space="preserve">.  In nearly all cases the positronium is formed in the singlet state, or </w:t>
      </w:r>
      <w:proofErr w:type="spellStart"/>
      <w:r w:rsidRPr="008423C5">
        <w:t>para</w:t>
      </w:r>
      <w:proofErr w:type="spellEnd"/>
      <w:r w:rsidRPr="008423C5">
        <w:t xml:space="preserve">-positronium, one in which the two spins are </w:t>
      </w:r>
      <w:proofErr w:type="spellStart"/>
      <w:r w:rsidRPr="008423C5">
        <w:t>antiparallel</w:t>
      </w:r>
      <w:proofErr w:type="spellEnd"/>
      <w:r w:rsidRPr="008423C5">
        <w:t xml:space="preserve">.  The mean lifetime of this state is 124 picoseconds and can decay into any even number of photons, </w:t>
      </w:r>
      <w:bookmarkStart w:id="21" w:name="_GoBack"/>
      <w:bookmarkEnd w:id="21"/>
      <w:r w:rsidRPr="008423C5">
        <w:t>but the probability is drastically reduced for higher numbers</w:t>
      </w:r>
      <w:r w:rsidR="006661A5">
        <w:t xml:space="preserve"> than two</w:t>
      </w:r>
      <w:r w:rsidRPr="008423C5">
        <w:t>, i</w:t>
      </w:r>
      <w:r w:rsidR="006661A5">
        <w:t>.</w:t>
      </w:r>
      <w:r w:rsidRPr="008423C5">
        <w:t>e. the branching ratio for decay into 4 photons is 1.439(2)×10</w:t>
      </w:r>
      <w:r w:rsidRPr="008423C5">
        <w:rPr>
          <w:vertAlign w:val="superscript"/>
        </w:rPr>
        <w:t>−6</w:t>
      </w:r>
      <w:r w:rsidRPr="008423C5">
        <w:t xml:space="preserve"> </w:t>
      </w:r>
      <w:r w:rsidR="009B6816" w:rsidRPr="008423C5">
        <w:fldChar w:fldCharType="begin"/>
      </w:r>
      <w:r w:rsidR="002D7C36">
        <w:instrText xml:space="preserve"> ADDIN EN.CITE &lt;EndNote&gt;&lt;Cite&gt;&lt;Author&gt;Karshenboim&lt;/Author&gt;&lt;Year&gt;2003&lt;/Year&gt;&lt;RecNum&gt;271&lt;/RecNum&gt;&lt;DisplayText&gt;(Karshenboim 2003)&lt;/DisplayText&gt;&lt;record&gt;&lt;rec-number&gt;271&lt;/rec-number&gt;&lt;foreign-keys&gt;&lt;key app="EN" db-id="srwv9ppvvez5pgefxzi5ddeve5w2fe5x5esr"&gt;271&lt;/key&gt;&lt;/foreign-keys&gt;&lt;ref-type name="Journal Article"&gt;17&lt;/ref-type&gt;&lt;contributors&gt;&lt;authors&gt;&lt;author&gt;Karshenboim, S.G.&lt;/author&gt;&lt;/authors&gt;&lt;/contributors&gt;&lt;titles&gt;&lt;title&gt;Precision study of positronium: testing bound state QED theory&lt;/title&gt;&lt;secondary-title&gt;Arxiv preprint hep-ph/0310099&lt;/secondary-title&gt;&lt;/titles&gt;&lt;dates&gt;&lt;year&gt;2003&lt;/year&gt;&lt;/dates&gt;&lt;urls&gt;&lt;/urls&gt;&lt;/record&gt;&lt;/Cite&gt;&lt;Cite&gt;&lt;Author&gt;Karshenboim&lt;/Author&gt;&lt;Year&gt;2003&lt;/Year&gt;&lt;RecNum&gt;271&lt;/RecNum&gt;&lt;record&gt;&lt;rec-number&gt;271&lt;/rec-number&gt;&lt;foreign-keys&gt;&lt;key app="EN" db-id="srwv9ppvvez5pgefxzi5ddeve5w2fe5x5esr"&gt;271&lt;/key&gt;&lt;/foreign-keys&gt;&lt;ref-type name="Journal Article"&gt;17&lt;/ref-type&gt;&lt;contributors&gt;&lt;authors&gt;&lt;author&gt;Karshenboim, S.G.&lt;/author&gt;&lt;/authors&gt;&lt;/contributors&gt;&lt;titles&gt;&lt;title&gt;Precision study of positronium: testing bound state QED theory&lt;/title&gt;&lt;secondary-title&gt;Arxiv preprint hep-ph/0310099&lt;/secondary-title&gt;&lt;/titles&gt;&lt;dates&gt;&lt;year&gt;2003&lt;/year&gt;&lt;/dates&gt;&lt;urls&gt;&lt;/urls&gt;&lt;/record&gt;&lt;/Cite&gt;&lt;/EndNote&gt;</w:instrText>
      </w:r>
      <w:r w:rsidR="009B6816" w:rsidRPr="008423C5">
        <w:fldChar w:fldCharType="separate"/>
      </w:r>
      <w:r w:rsidR="00B82802">
        <w:rPr>
          <w:noProof/>
        </w:rPr>
        <w:t>(</w:t>
      </w:r>
      <w:hyperlink w:anchor="_ENREF_49" w:tooltip="Karshenboim, 2003 #271" w:history="1">
        <w:r w:rsidR="007704DB">
          <w:rPr>
            <w:noProof/>
          </w:rPr>
          <w:t>Karshenboim 2003</w:t>
        </w:r>
      </w:hyperlink>
      <w:r w:rsidR="00B82802">
        <w:rPr>
          <w:noProof/>
        </w:rPr>
        <w:t>)</w:t>
      </w:r>
      <w:r w:rsidR="009B6816" w:rsidRPr="008423C5">
        <w:fldChar w:fldCharType="end"/>
      </w:r>
      <w:r w:rsidR="0097562F">
        <w:t>.</w:t>
      </w:r>
      <w:r w:rsidRPr="008423C5">
        <w:t xml:space="preserve">  There is also a fractional probability that positronium will form in the triplet state, called </w:t>
      </w:r>
      <w:proofErr w:type="spellStart"/>
      <w:r w:rsidRPr="008423C5">
        <w:t>ortho</w:t>
      </w:r>
      <w:proofErr w:type="spellEnd"/>
      <w:r w:rsidRPr="008423C5">
        <w:t>-positronium.  This state has a mean lifetime of 142 nanoseconds and usually decay</w:t>
      </w:r>
      <w:r w:rsidR="0097562F">
        <w:t>s</w:t>
      </w:r>
      <w:r w:rsidRPr="008423C5">
        <w:t xml:space="preserve"> into three photons, necessary to conserve </w:t>
      </w:r>
      <w:r w:rsidR="004C3A6C">
        <w:t xml:space="preserve">the </w:t>
      </w:r>
      <w:r w:rsidRPr="008423C5">
        <w:t>charge parity</w:t>
      </w:r>
      <w:r w:rsidR="001E1C7A">
        <w:t xml:space="preserve"> of the positronium </w:t>
      </w:r>
      <w:r w:rsidR="004C3A6C">
        <w:t>state</w:t>
      </w:r>
      <w:r w:rsidRPr="008423C5">
        <w:t>.</w:t>
      </w:r>
    </w:p>
    <w:p w:rsidR="008423C5" w:rsidRDefault="008423C5" w:rsidP="008423C5">
      <w:pPr>
        <w:numPr>
          <w:ilvl w:val="12"/>
          <w:numId w:val="0"/>
        </w:numPr>
        <w:spacing w:line="480" w:lineRule="auto"/>
        <w:ind w:firstLine="720"/>
      </w:pPr>
      <w:r w:rsidRPr="008423C5">
        <w:t xml:space="preserve">Para-positronium </w:t>
      </w:r>
      <w:r w:rsidR="006661A5">
        <w:t>essentially</w:t>
      </w:r>
      <w:r w:rsidRPr="008423C5">
        <w:t xml:space="preserve"> always decays into two 511 keV photons propagating in nearly opposite directions, thus satisfying the laws of conservation of mass and momentum.</w:t>
      </w:r>
      <w:r w:rsidRPr="008423C5">
        <w:rPr>
          <w:vertAlign w:val="superscript"/>
        </w:rPr>
        <w:footnoteReference w:id="3"/>
      </w:r>
      <w:r w:rsidRPr="008423C5">
        <w:t xml:space="preserve">  The fundamental job of the PET tomograph is to detect these annihilation photons and identify </w:t>
      </w:r>
      <w:r w:rsidR="006661A5">
        <w:t xml:space="preserve">coincident </w:t>
      </w:r>
      <w:r w:rsidRPr="008423C5">
        <w:t xml:space="preserve">pairs arising from the same event.  </w:t>
      </w:r>
    </w:p>
    <w:p w:rsidR="003344CC" w:rsidRPr="00F920F6" w:rsidRDefault="003344CC" w:rsidP="003344CC">
      <w:pPr>
        <w:pStyle w:val="Heading2"/>
      </w:pPr>
      <w:bookmarkStart w:id="22" w:name="_Toc351889990"/>
      <w:r>
        <w:t>Event Detection</w:t>
      </w:r>
      <w:bookmarkEnd w:id="22"/>
    </w:p>
    <w:p w:rsidR="004A043B" w:rsidRDefault="004A043B" w:rsidP="004B12A1">
      <w:pPr>
        <w:numPr>
          <w:ilvl w:val="12"/>
          <w:numId w:val="0"/>
        </w:numPr>
        <w:spacing w:line="480" w:lineRule="auto"/>
        <w:ind w:firstLine="720"/>
      </w:pPr>
      <w:r>
        <w:t xml:space="preserve">PET detectors are sensitive to photons incident on the scintillator, although a certain fraction may pass through without interacting.  Photons that stop within the scintillator are converted to light that is captured by the four </w:t>
      </w:r>
      <w:proofErr w:type="spellStart"/>
      <w:r>
        <w:t>PMTs.</w:t>
      </w:r>
      <w:proofErr w:type="spellEnd"/>
      <w:r>
        <w:t xml:space="preserve"> The distribution of light among the PMTs enables the position of the incident photon to be localized. The sum of the signals from the four PMTs is proportional to the energy deposited in the </w:t>
      </w:r>
      <w:r>
        <w:lastRenderedPageBreak/>
        <w:t xml:space="preserve">crystal by the incident photon. The summed signal is required to lie within an energy window for the event to be accepted by the electronics. The width of the window is related to the energy resolution of the scintillators, and photons with a measured energy below the lower discriminator setting are generally scattered. </w:t>
      </w:r>
    </w:p>
    <w:p w:rsidR="0022546E" w:rsidRDefault="00387A8D" w:rsidP="004B12A1">
      <w:pPr>
        <w:numPr>
          <w:ilvl w:val="12"/>
          <w:numId w:val="0"/>
        </w:numPr>
        <w:spacing w:line="480" w:lineRule="auto"/>
        <w:ind w:firstLine="720"/>
      </w:pPr>
      <w:r>
        <w:t xml:space="preserve">As mentioned previously, </w:t>
      </w:r>
      <w:r w:rsidR="008869B9" w:rsidRPr="00AE4690">
        <w:t>PET acquisition is based on detection of coincident pairs of photons</w:t>
      </w:r>
      <w:r w:rsidR="008869B9">
        <w:t>, which it accomplishes through</w:t>
      </w:r>
      <w:r w:rsidR="00A0625B">
        <w:t xml:space="preserve"> online</w:t>
      </w:r>
      <w:r w:rsidR="008869B9">
        <w:t xml:space="preserve"> electronic collimation.  With every single photon detected, a timing window of a few nanoseconds is triggered.  If a second detection is registered in an opposing detector within the timing window</w:t>
      </w:r>
      <w:r w:rsidR="008A50F0">
        <w:t>,</w:t>
      </w:r>
      <w:r w:rsidR="008869B9">
        <w:t xml:space="preserve"> it is recorded as</w:t>
      </w:r>
      <w:r w:rsidR="008A50F0">
        <w:t xml:space="preserve"> a coincident, or prompt, event</w:t>
      </w:r>
      <w:r>
        <w:t xml:space="preserve"> and attributed</w:t>
      </w:r>
      <w:r w:rsidR="00232A9B">
        <w:t xml:space="preserve"> to</w:t>
      </w:r>
      <w:r w:rsidR="003F33DD">
        <w:t xml:space="preserve"> the LOR between the two detectors</w:t>
      </w:r>
      <w:r w:rsidR="001248C4">
        <w:t xml:space="preserve">.  </w:t>
      </w:r>
      <w:r w:rsidR="002A4FE2">
        <w:t>P</w:t>
      </w:r>
      <w:r w:rsidR="001248C4">
        <w:t>rompt events are</w:t>
      </w:r>
      <w:r w:rsidR="008A50F0">
        <w:t xml:space="preserve"> </w:t>
      </w:r>
      <w:r w:rsidR="001248C4">
        <w:t>relatively</w:t>
      </w:r>
      <w:r w:rsidR="008A50F0">
        <w:t xml:space="preserve"> </w:t>
      </w:r>
      <w:r w:rsidR="002A4FE2">
        <w:t>scarce</w:t>
      </w:r>
      <w:r w:rsidR="008A50F0">
        <w:t xml:space="preserve">, and the singles rate is generally 2 orders of magnitude higher than </w:t>
      </w:r>
      <w:r w:rsidR="00E65480">
        <w:t xml:space="preserve">that of </w:t>
      </w:r>
      <w:r w:rsidR="008A50F0">
        <w:t>the prom</w:t>
      </w:r>
      <w:r w:rsidR="00E65480">
        <w:t>pts</w:t>
      </w:r>
      <w:r w:rsidR="008A50F0">
        <w:t>.</w:t>
      </w:r>
      <w:r w:rsidR="00E90C4B">
        <w:t xml:space="preserve"> </w:t>
      </w:r>
      <w:r>
        <w:t xml:space="preserve"> </w:t>
      </w:r>
      <w:r w:rsidR="00FA3FD4">
        <w:t>Further</w:t>
      </w:r>
      <w:r w:rsidR="00146A1F">
        <w:t xml:space="preserve"> confounding the problem</w:t>
      </w:r>
      <w:r>
        <w:t xml:space="preserve">, </w:t>
      </w:r>
      <w:r w:rsidR="00FA3FD4">
        <w:t xml:space="preserve">not all </w:t>
      </w:r>
      <w:r>
        <w:t xml:space="preserve">prompt </w:t>
      </w:r>
      <w:r w:rsidR="00AE4690" w:rsidRPr="00AE4690">
        <w:t>event</w:t>
      </w:r>
      <w:r w:rsidR="004A043B">
        <w:t>s are true coincidences</w:t>
      </w:r>
      <w:r w:rsidR="004B12A1">
        <w:t>.</w:t>
      </w:r>
      <w:r w:rsidR="00AE4690" w:rsidRPr="00AE4690">
        <w:t xml:space="preserve"> </w:t>
      </w:r>
      <w:r w:rsidR="004B12A1">
        <w:t xml:space="preserve"> </w:t>
      </w:r>
      <w:r w:rsidR="00AE4690" w:rsidRPr="00AE4690">
        <w:t>The</w:t>
      </w:r>
      <w:r w:rsidR="00830460">
        <w:t xml:space="preserve"> </w:t>
      </w:r>
      <w:r w:rsidR="00523B34">
        <w:t>figure</w:t>
      </w:r>
      <w:r w:rsidR="00830460">
        <w:t xml:space="preserve"> below shows the</w:t>
      </w:r>
      <w:r w:rsidR="00AE4690" w:rsidRPr="00AE4690">
        <w:t xml:space="preserve"> three types of prompt events that are recorded: trues, randoms, and scattered coincidences.  </w:t>
      </w:r>
    </w:p>
    <w:p w:rsidR="00AE4690" w:rsidRDefault="00AE4690" w:rsidP="00AE4690">
      <w:pPr>
        <w:numPr>
          <w:ilvl w:val="12"/>
          <w:numId w:val="0"/>
        </w:numPr>
        <w:spacing w:line="480" w:lineRule="auto"/>
        <w:ind w:firstLine="720"/>
      </w:pPr>
      <w:r w:rsidRPr="00AE4690">
        <w:t xml:space="preserve">Trues are events in which both annihilation photons travel through the body and are detected without interaction in the surrounding medium.  Randoms occur when two photons from different annihilations strike opposing detectors within the time window.  The system incorrectly assigns the event to the LOR connecting the two detectors, one that may be far from the actual </w:t>
      </w:r>
      <w:r w:rsidR="002A4FE2">
        <w:t>LOR</w:t>
      </w:r>
      <w:r w:rsidRPr="00AE4690">
        <w:t>.  Scattered event dete</w:t>
      </w:r>
      <w:r w:rsidR="00BE0BF8">
        <w:t>ction happens when one (or both)</w:t>
      </w:r>
      <w:r w:rsidRPr="00AE4690">
        <w:t xml:space="preserve"> of the photons</w:t>
      </w:r>
      <w:r w:rsidR="00E6370F">
        <w:t xml:space="preserve"> scatters and</w:t>
      </w:r>
      <w:r w:rsidRPr="00AE4690">
        <w:t xml:space="preserve"> </w:t>
      </w:r>
      <w:r w:rsidR="00BE0BF8">
        <w:t>is</w:t>
      </w:r>
      <w:r w:rsidRPr="00AE4690">
        <w:t xml:space="preserve"> slightly deflected so that it maintains enough of its energy to be accepted within the energy window.  For the present case, where a lower-level energy discriminator (LLD) of 435 keV is used, a photon can be deflected by 34 degrees and still satisfy the energy requirement, according to the Klein-Nishina formula.  </w:t>
      </w:r>
      <w:r w:rsidR="007829F6">
        <w:lastRenderedPageBreak/>
        <w:t xml:space="preserve">Similar to the </w:t>
      </w:r>
      <w:r w:rsidR="002A4FE2">
        <w:t>situation with randoms</w:t>
      </w:r>
      <w:r w:rsidRPr="00AE4690">
        <w:t xml:space="preserve">, this results in large errors because the system assigns the event to an incorrect LOR.  If the scattered photon is deflected enough so that its final energy does </w:t>
      </w:r>
      <w:r w:rsidR="00EA4448">
        <w:t>not fall within</w:t>
      </w:r>
      <w:r w:rsidRPr="00AE4690">
        <w:t xml:space="preserve"> the energy </w:t>
      </w:r>
      <w:r w:rsidR="00EA4448">
        <w:t xml:space="preserve">window, the event is </w:t>
      </w:r>
      <w:r w:rsidR="002A4FE2">
        <w:t>rejected by the electronics</w:t>
      </w:r>
      <w:r w:rsidR="00EA4448">
        <w:t>.  This</w:t>
      </w:r>
      <w:r w:rsidR="002934AF">
        <w:t xml:space="preserve"> loss of signal along the LOR is </w:t>
      </w:r>
      <w:r w:rsidR="00EA4448">
        <w:t>termed</w:t>
      </w:r>
      <w:r w:rsidR="002934AF">
        <w:t xml:space="preserve"> attenuation.</w:t>
      </w:r>
    </w:p>
    <w:p w:rsidR="0086578D" w:rsidRDefault="0086578D" w:rsidP="00AE4690">
      <w:pPr>
        <w:numPr>
          <w:ilvl w:val="12"/>
          <w:numId w:val="0"/>
        </w:numPr>
        <w:spacing w:line="480" w:lineRule="auto"/>
        <w:ind w:firstLine="720"/>
      </w:pPr>
    </w:p>
    <w:p w:rsidR="00830460" w:rsidRDefault="003D5641" w:rsidP="003D5641">
      <w:pPr>
        <w:numPr>
          <w:ilvl w:val="12"/>
          <w:numId w:val="0"/>
        </w:numPr>
        <w:spacing w:line="480" w:lineRule="auto"/>
      </w:pPr>
      <w:r>
        <w:rPr>
          <w:noProof/>
        </w:rPr>
        <w:drawing>
          <wp:inline distT="0" distB="0" distL="0" distR="0">
            <wp:extent cx="4952365" cy="2479675"/>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952365" cy="2479675"/>
                    </a:xfrm>
                    <a:prstGeom prst="rect">
                      <a:avLst/>
                    </a:prstGeom>
                    <a:noFill/>
                    <a:ln w="9525">
                      <a:noFill/>
                      <a:miter lim="800000"/>
                      <a:headEnd/>
                      <a:tailEnd/>
                    </a:ln>
                  </pic:spPr>
                </pic:pic>
              </a:graphicData>
            </a:graphic>
          </wp:inline>
        </w:drawing>
      </w:r>
    </w:p>
    <w:p w:rsidR="00830460" w:rsidRPr="00AE4690" w:rsidRDefault="00830460" w:rsidP="0084023C">
      <w:pPr>
        <w:pStyle w:val="Caption"/>
      </w:pPr>
      <w:bookmarkStart w:id="23" w:name="_Toc351890047"/>
      <w:proofErr w:type="gramStart"/>
      <w:r>
        <w:t xml:space="preserve">Figure </w:t>
      </w:r>
      <w:r w:rsidR="009B6816">
        <w:fldChar w:fldCharType="begin"/>
      </w:r>
      <w:r w:rsidR="00EE0740">
        <w:instrText xml:space="preserve"> SEQ Figure \* ARABIC </w:instrText>
      </w:r>
      <w:r w:rsidR="009B6816">
        <w:fldChar w:fldCharType="separate"/>
      </w:r>
      <w:r w:rsidR="005B6C27">
        <w:rPr>
          <w:noProof/>
        </w:rPr>
        <w:t>6</w:t>
      </w:r>
      <w:r w:rsidR="009B6816">
        <w:fldChar w:fldCharType="end"/>
      </w:r>
      <w:r>
        <w:t>.</w:t>
      </w:r>
      <w:proofErr w:type="gramEnd"/>
      <w:r>
        <w:t xml:space="preserve"> </w:t>
      </w:r>
      <w:proofErr w:type="gramStart"/>
      <w:r>
        <w:t>Diagram showing the 3 types of prompt detections</w:t>
      </w:r>
      <w:r w:rsidR="003D5641">
        <w:t>: scatter, random, and true.</w:t>
      </w:r>
      <w:bookmarkEnd w:id="23"/>
      <w:proofErr w:type="gramEnd"/>
    </w:p>
    <w:p w:rsidR="00EA4448" w:rsidRDefault="00EA4448" w:rsidP="00070E86">
      <w:pPr>
        <w:numPr>
          <w:ilvl w:val="12"/>
          <w:numId w:val="0"/>
        </w:numPr>
        <w:spacing w:line="480" w:lineRule="auto"/>
        <w:ind w:firstLine="720"/>
      </w:pPr>
    </w:p>
    <w:p w:rsidR="0086578D" w:rsidRDefault="00585CEB" w:rsidP="00070E86">
      <w:pPr>
        <w:numPr>
          <w:ilvl w:val="12"/>
          <w:numId w:val="0"/>
        </w:numPr>
        <w:spacing w:line="480" w:lineRule="auto"/>
        <w:ind w:firstLine="720"/>
      </w:pPr>
      <w:r>
        <w:t>Corrections for attenuation, scatter, and randoms are necessary for the reconstruction process and are addressed further in a later section.</w:t>
      </w:r>
    </w:p>
    <w:p w:rsidR="00AE4690" w:rsidRDefault="00AE4690" w:rsidP="00AE4690">
      <w:pPr>
        <w:pStyle w:val="Heading2"/>
      </w:pPr>
      <w:bookmarkStart w:id="24" w:name="_Toc351889991"/>
      <w:r>
        <w:t>Acquisition Data</w:t>
      </w:r>
      <w:bookmarkEnd w:id="24"/>
    </w:p>
    <w:p w:rsidR="002E7402" w:rsidRDefault="00521252" w:rsidP="00600D96">
      <w:pPr>
        <w:numPr>
          <w:ilvl w:val="12"/>
          <w:numId w:val="0"/>
        </w:numPr>
        <w:spacing w:line="480" w:lineRule="auto"/>
        <w:ind w:firstLine="720"/>
      </w:pPr>
      <w:r>
        <w:t xml:space="preserve">Historically, every prompt event from a scan </w:t>
      </w:r>
      <w:r w:rsidR="00FC5F9D">
        <w:t>wa</w:t>
      </w:r>
      <w:r w:rsidR="000E4A6D">
        <w:t>s</w:t>
      </w:r>
      <w:r>
        <w:t xml:space="preserve"> recorded in a long list</w:t>
      </w:r>
      <w:r w:rsidR="002E7402">
        <w:t>. Originally</w:t>
      </w:r>
      <w:r>
        <w:t>, each prompt list entry included only the address of the respective LOR</w:t>
      </w:r>
      <w:r w:rsidR="00DF0BE1">
        <w:t xml:space="preserve">, but later, each prompt entry incorporated the relative arrival time of each coincident photon.  </w:t>
      </w:r>
      <w:r w:rsidR="00DF0BE1">
        <w:lastRenderedPageBreak/>
        <w:t xml:space="preserve">Additionally, timing tags (marking the time progression of the entire scan) and singles rates were added to the list.  </w:t>
      </w:r>
      <w:r>
        <w:t xml:space="preserve">This storage mode is, not surprisingly, called </w:t>
      </w:r>
      <w:r w:rsidR="00BC6FFB">
        <w:t>list-mode</w:t>
      </w:r>
      <w:r>
        <w:t xml:space="preserve">.  </w:t>
      </w:r>
      <w:r w:rsidR="00BC6FFB" w:rsidRPr="00AE4690">
        <w:t xml:space="preserve">Storing the data in this way is beneficial for </w:t>
      </w:r>
      <w:r w:rsidR="004A043B">
        <w:t>several</w:t>
      </w:r>
      <w:r w:rsidR="00BC6FFB" w:rsidRPr="00AE4690">
        <w:t xml:space="preserve"> reasons,</w:t>
      </w:r>
      <w:r w:rsidR="004A043B">
        <w:t xml:space="preserve"> particularly for dynamic scans where the list-mode data can be rebinned into appropriate time frames after the acquisition is complete</w:t>
      </w:r>
      <w:r w:rsidR="002E7402">
        <w:t>d</w:t>
      </w:r>
      <w:r w:rsidR="004A043B">
        <w:t>.</w:t>
      </w:r>
      <w:r w:rsidR="002E7402">
        <w:t xml:space="preserve"> The rebinned frames are then input into the reconstruction algorithm.</w:t>
      </w:r>
    </w:p>
    <w:p w:rsidR="00AE4690" w:rsidRDefault="00AE4690" w:rsidP="00600D96">
      <w:pPr>
        <w:numPr>
          <w:ilvl w:val="12"/>
          <w:numId w:val="0"/>
        </w:numPr>
        <w:spacing w:line="480" w:lineRule="auto"/>
        <w:ind w:firstLine="720"/>
      </w:pPr>
      <w:r w:rsidRPr="00AE4690">
        <w:t xml:space="preserve">As previously mentioned, the </w:t>
      </w:r>
      <w:r w:rsidR="002E7402">
        <w:t xml:space="preserve">data acquired during </w:t>
      </w:r>
      <w:r w:rsidRPr="00AE4690">
        <w:t xml:space="preserve">a PET scan </w:t>
      </w:r>
      <w:r w:rsidR="00D60078">
        <w:t>are</w:t>
      </w:r>
      <w:r w:rsidRPr="00AE4690">
        <w:t xml:space="preserve"> recorded as </w:t>
      </w:r>
      <w:r w:rsidR="00A130D0">
        <w:t>integrals</w:t>
      </w:r>
      <w:r w:rsidR="00AA42AE">
        <w:t xml:space="preserve"> of the total activity lying </w:t>
      </w:r>
      <w:r w:rsidR="00A130D0">
        <w:t xml:space="preserve">along all </w:t>
      </w:r>
      <w:r w:rsidR="00AA42AE">
        <w:t>LOR</w:t>
      </w:r>
      <w:r w:rsidR="009659EA">
        <w:t xml:space="preserve">s.  The LORs </w:t>
      </w:r>
      <w:r w:rsidR="000F6405">
        <w:t xml:space="preserve">are sorted into groups </w:t>
      </w:r>
      <w:r w:rsidR="009659EA">
        <w:t>orient</w:t>
      </w:r>
      <w:r w:rsidR="000F6405">
        <w:t>ed at the same transaxial angle, forming</w:t>
      </w:r>
      <w:r w:rsidR="009659EA">
        <w:t xml:space="preserve"> parallel projections. </w:t>
      </w:r>
      <w:r w:rsidRPr="00AE4690">
        <w:t xml:space="preserve"> For a given angle</w:t>
      </w:r>
      <w:r w:rsidRPr="00AE4690">
        <w:rPr>
          <w:rFonts w:ascii="Symbol" w:hAnsi="Symbol"/>
        </w:rPr>
        <w:t></w:t>
      </w:r>
      <w:r w:rsidRPr="00AE4690">
        <w:rPr>
          <w:rFonts w:ascii="Symbol" w:hAnsi="Symbol"/>
        </w:rPr>
        <w:t></w:t>
      </w:r>
      <w:r w:rsidRPr="00AE4690">
        <w:rPr>
          <w:rFonts w:ascii="Symbol" w:hAnsi="Symbol"/>
        </w:rPr>
        <w:t></w:t>
      </w:r>
      <w:r w:rsidRPr="00AE4690">
        <w:rPr>
          <w:rFonts w:ascii="Symbol" w:hAnsi="Symbol"/>
        </w:rPr>
        <w:t></w:t>
      </w:r>
      <w:r w:rsidRPr="00AE4690">
        <w:t xml:space="preserve">there </w:t>
      </w:r>
      <w:proofErr w:type="gramStart"/>
      <w:r w:rsidRPr="00AE4690">
        <w:t>exist</w:t>
      </w:r>
      <w:proofErr w:type="gramEnd"/>
      <w:r w:rsidRPr="00AE4690">
        <w:t xml:space="preserve"> a se</w:t>
      </w:r>
      <w:r w:rsidR="009659EA">
        <w:t>t number</w:t>
      </w:r>
      <w:r w:rsidR="00065E4F">
        <w:t xml:space="preserve"> </w:t>
      </w:r>
      <w:r w:rsidR="009659EA">
        <w:t xml:space="preserve">of parallel projections.  </w:t>
      </w:r>
      <w:r w:rsidR="00600D96">
        <w:t xml:space="preserve"> </w:t>
      </w:r>
      <w:r w:rsidR="00585CEB">
        <w:t>A</w:t>
      </w:r>
      <w:r w:rsidR="002E7402">
        <w:t xml:space="preserve"> matrix</w:t>
      </w:r>
      <w:r w:rsidR="00600D96">
        <w:t xml:space="preserve"> </w:t>
      </w:r>
      <w:r w:rsidR="002E7402">
        <w:t>comprising</w:t>
      </w:r>
      <w:r w:rsidR="00600D96">
        <w:t xml:space="preserve"> the projections for </w:t>
      </w:r>
      <w:r w:rsidR="00065E4F">
        <w:t>the</w:t>
      </w:r>
      <w:r w:rsidR="00600D96">
        <w:t xml:space="preserve"> complete set of </w:t>
      </w:r>
      <w:r w:rsidR="00600D96" w:rsidRPr="009659EA">
        <w:rPr>
          <w:i/>
        </w:rPr>
        <w:t>N</w:t>
      </w:r>
      <w:r w:rsidR="00600D96">
        <w:t xml:space="preserve"> angles, sampled from 0 to </w:t>
      </w:r>
      <w:r w:rsidR="00600D96">
        <w:rPr>
          <w:rFonts w:ascii="Symbol" w:hAnsi="Symbol"/>
        </w:rPr>
        <w:t></w:t>
      </w:r>
      <w:r w:rsidR="002E7402">
        <w:rPr>
          <w:rFonts w:ascii="Symbol" w:hAnsi="Symbol"/>
        </w:rPr>
        <w:t></w:t>
      </w:r>
      <w:r w:rsidR="00600D96">
        <w:t xml:space="preserve"> </w:t>
      </w:r>
      <w:r w:rsidR="002E7402">
        <w:t>is termed a sinogram.</w:t>
      </w:r>
      <w:r w:rsidR="00600D96">
        <w:t xml:space="preserve"> </w:t>
      </w:r>
      <w:r w:rsidR="00585CEB">
        <w:t xml:space="preserve">The first row of the sinogram matrix will be the projection for angle </w:t>
      </w:r>
      <w:r w:rsidR="00585CEB" w:rsidRPr="00AE4690">
        <w:rPr>
          <w:rFonts w:ascii="Symbol" w:hAnsi="Symbol"/>
        </w:rPr>
        <w:t></w:t>
      </w:r>
      <w:r w:rsidR="00585CEB">
        <w:t xml:space="preserve">, and the next row will be for </w:t>
      </w:r>
      <w:r w:rsidR="00585CEB" w:rsidRPr="00AE4690">
        <w:rPr>
          <w:rFonts w:ascii="Symbol" w:hAnsi="Symbol"/>
        </w:rPr>
        <w:t></w:t>
      </w:r>
      <w:proofErr w:type="gramStart"/>
      <w:r w:rsidR="00585CEB">
        <w:t>+(</w:t>
      </w:r>
      <w:proofErr w:type="gramEnd"/>
      <w:r w:rsidR="00585CEB">
        <w:t>1/</w:t>
      </w:r>
      <w:r w:rsidR="00585CEB" w:rsidRPr="00052710">
        <w:rPr>
          <w:i/>
        </w:rPr>
        <w:t>N</w:t>
      </w:r>
      <w:r w:rsidR="00585CEB">
        <w:t>)</w:t>
      </w:r>
      <w:r w:rsidR="00585CEB">
        <w:rPr>
          <w:rFonts w:ascii="Symbol" w:hAnsi="Symbol"/>
        </w:rPr>
        <w:t></w:t>
      </w:r>
      <w:r w:rsidR="00585CEB">
        <w:t xml:space="preserve">, etc.  </w:t>
      </w:r>
      <w:r w:rsidR="00935603">
        <w:t>The matrix</w:t>
      </w:r>
      <w:r w:rsidR="0020346B" w:rsidRPr="00AE4690">
        <w:t xml:space="preserve"> </w:t>
      </w:r>
      <w:r w:rsidR="0020346B">
        <w:t>ha</w:t>
      </w:r>
      <w:r w:rsidR="00935603">
        <w:t>s</w:t>
      </w:r>
      <w:r w:rsidR="0020346B" w:rsidRPr="00AE4690">
        <w:t xml:space="preserve"> dimensions </w:t>
      </w:r>
      <w:r w:rsidR="0020346B">
        <w:t>equal to</w:t>
      </w:r>
      <w:r w:rsidR="0020346B" w:rsidRPr="00AE4690">
        <w:t xml:space="preserve"> the </w:t>
      </w:r>
      <w:r w:rsidR="002E7402">
        <w:t>number of sampled projections times</w:t>
      </w:r>
      <w:r w:rsidR="0020346B" w:rsidRPr="00AE4690">
        <w:t xml:space="preserve"> the number of sampled angles</w:t>
      </w:r>
      <w:r w:rsidR="0020346B">
        <w:t>.</w:t>
      </w:r>
      <w:r w:rsidR="00935603">
        <w:t xml:space="preserve">  </w:t>
      </w:r>
      <w:r w:rsidR="00600D96">
        <w:t>The term s</w:t>
      </w:r>
      <w:r w:rsidR="00A02FF5">
        <w:t xml:space="preserve">inogram follows the fact that an off-center </w:t>
      </w:r>
      <w:r w:rsidR="00600D96">
        <w:t xml:space="preserve">point source </w:t>
      </w:r>
      <w:r w:rsidR="00065E4F">
        <w:t>histogrammed this way</w:t>
      </w:r>
      <w:r w:rsidRPr="00AE4690">
        <w:t xml:space="preserve"> </w:t>
      </w:r>
      <w:r w:rsidR="00A02FF5">
        <w:t>will appear as a sinusoid</w:t>
      </w:r>
      <w:r w:rsidRPr="00AE4690">
        <w:t>.</w:t>
      </w:r>
    </w:p>
    <w:p w:rsidR="0020346B" w:rsidRDefault="00065E4F" w:rsidP="00600D96">
      <w:pPr>
        <w:numPr>
          <w:ilvl w:val="12"/>
          <w:numId w:val="0"/>
        </w:numPr>
        <w:spacing w:line="480" w:lineRule="auto"/>
        <w:ind w:firstLine="720"/>
      </w:pPr>
      <w:r>
        <w:t xml:space="preserve">The early PET systems were designed to acquire </w:t>
      </w:r>
      <w:r w:rsidR="00E25B24">
        <w:t xml:space="preserve">only </w:t>
      </w:r>
      <w:r>
        <w:t xml:space="preserve">projections at orientations orthogonal to the </w:t>
      </w:r>
      <w:r w:rsidR="0048390C">
        <w:t>axis</w:t>
      </w:r>
      <w:r w:rsidR="000E4A6D">
        <w:t xml:space="preserve">.  These include the direct </w:t>
      </w:r>
      <w:r w:rsidR="00E25B24">
        <w:t xml:space="preserve">planes, which intersect crystals within the same detector ring, and the cross planes, interpolated from adjacent rings and </w:t>
      </w:r>
      <w:r w:rsidR="0048390C">
        <w:t>interleaved</w:t>
      </w:r>
      <w:r w:rsidR="00E25B24">
        <w:t xml:space="preserve"> between the direct planes.  For a simplified example, a 2D PET system with two rings of crystals would a acquire a</w:t>
      </w:r>
      <w:r w:rsidR="002E780F">
        <w:t xml:space="preserve"> set of</w:t>
      </w:r>
      <w:r w:rsidR="00E25B24">
        <w:t xml:space="preserve"> plane projection</w:t>
      </w:r>
      <w:r w:rsidR="002E780F">
        <w:t>s</w:t>
      </w:r>
      <w:r w:rsidR="00E25B24">
        <w:t xml:space="preserve"> for each direct ring and one for the </w:t>
      </w:r>
      <w:r w:rsidR="002E780F">
        <w:t>pseudo-</w:t>
      </w:r>
      <w:r w:rsidR="00E25B24">
        <w:t xml:space="preserve">plane between the rings, </w:t>
      </w:r>
      <w:r w:rsidR="002E780F">
        <w:t>calculated</w:t>
      </w:r>
      <w:r w:rsidR="00E25B24">
        <w:t xml:space="preserve"> from</w:t>
      </w:r>
      <w:r w:rsidR="002E780F">
        <w:t xml:space="preserve"> the events with</w:t>
      </w:r>
      <w:r w:rsidR="008116AC">
        <w:t xml:space="preserve"> detections in both rings.  </w:t>
      </w:r>
      <w:r w:rsidR="008116AC">
        <w:lastRenderedPageBreak/>
        <w:t>This schema</w:t>
      </w:r>
      <w:r w:rsidR="002E780F">
        <w:t xml:space="preserve"> increase</w:t>
      </w:r>
      <w:r w:rsidR="008116AC">
        <w:t>s</w:t>
      </w:r>
      <w:r w:rsidR="002E780F">
        <w:t xml:space="preserve"> the axial sampling</w:t>
      </w:r>
      <w:r w:rsidR="008116AC">
        <w:t xml:space="preserve">, </w:t>
      </w:r>
      <w:r w:rsidR="002E780F">
        <w:t>produc</w:t>
      </w:r>
      <w:r w:rsidR="008116AC">
        <w:t>ing</w:t>
      </w:r>
      <w:r w:rsidR="002E780F">
        <w:t xml:space="preserve"> 3 slices</w:t>
      </w:r>
      <w:r w:rsidR="008116AC">
        <w:t>,</w:t>
      </w:r>
      <w:r w:rsidR="002E780F">
        <w:t xml:space="preserve"> and is directly extendable </w:t>
      </w:r>
      <w:r w:rsidR="008116AC">
        <w:t>to</w:t>
      </w:r>
      <w:r w:rsidR="002E780F">
        <w:t xml:space="preserve"> any number </w:t>
      </w:r>
      <w:r w:rsidR="002E780F" w:rsidRPr="002E780F">
        <w:rPr>
          <w:i/>
        </w:rPr>
        <w:t>D</w:t>
      </w:r>
      <w:r w:rsidR="002E780F">
        <w:t xml:space="preserve"> rings</w:t>
      </w:r>
      <w:r w:rsidR="0020346B">
        <w:t>;</w:t>
      </w:r>
      <w:r w:rsidR="002E780F">
        <w:t xml:space="preserve"> the number of </w:t>
      </w:r>
      <w:r w:rsidR="0020346B">
        <w:t xml:space="preserve">sampled </w:t>
      </w:r>
      <w:r w:rsidR="002E780F">
        <w:t xml:space="preserve">slices is </w:t>
      </w:r>
      <w:r w:rsidR="0048390C">
        <w:t>equal to</w:t>
      </w:r>
      <w:r w:rsidR="002E780F">
        <w:t xml:space="preserve"> 2</w:t>
      </w:r>
      <w:r w:rsidR="002E780F" w:rsidRPr="002E780F">
        <w:rPr>
          <w:i/>
        </w:rPr>
        <w:t>D</w:t>
      </w:r>
      <w:r w:rsidR="002E780F">
        <w:t>-1.</w:t>
      </w:r>
      <w:r w:rsidR="008116AC">
        <w:t xml:space="preserve">  </w:t>
      </w:r>
    </w:p>
    <w:p w:rsidR="00E25B24" w:rsidRDefault="008116AC" w:rsidP="00AE4690">
      <w:pPr>
        <w:numPr>
          <w:ilvl w:val="12"/>
          <w:numId w:val="0"/>
        </w:numPr>
        <w:spacing w:line="480" w:lineRule="auto"/>
        <w:ind w:firstLine="720"/>
      </w:pPr>
      <w:r>
        <w:t xml:space="preserve">It is appropriate to introduce here the concept of detector span, which defines the </w:t>
      </w:r>
      <w:r w:rsidR="0020346B">
        <w:t xml:space="preserve">acceptance </w:t>
      </w:r>
      <w:r>
        <w:t xml:space="preserve">range </w:t>
      </w:r>
      <w:r w:rsidR="0020346B">
        <w:t>in</w:t>
      </w:r>
      <w:r>
        <w:t xml:space="preserve"> axial ring difference</w:t>
      </w:r>
      <w:r w:rsidR="0020346B">
        <w:t xml:space="preserve"> of coincident photons.  In the previous example, the span was 3, i.e. 0, which refers to the direct planes, and +/- 1, which contribute to the cross plane</w:t>
      </w:r>
      <w:r w:rsidR="00DA38AE">
        <w:t xml:space="preserve"> calculations</w:t>
      </w:r>
      <w:r w:rsidR="0020346B">
        <w:t xml:space="preserve">.  </w:t>
      </w:r>
      <w:r w:rsidR="00F40B40">
        <w:t>Th</w:t>
      </w:r>
      <w:r w:rsidR="0041198A">
        <w:t>e case for span 7</w:t>
      </w:r>
      <w:r w:rsidR="00F40B40">
        <w:t xml:space="preserve"> is illustrated in the diagram below.</w:t>
      </w:r>
      <w:r w:rsidR="00345ECD">
        <w:t xml:space="preserve">  </w:t>
      </w:r>
    </w:p>
    <w:p w:rsidR="0020346B" w:rsidRDefault="0020346B" w:rsidP="00AE4690">
      <w:pPr>
        <w:numPr>
          <w:ilvl w:val="12"/>
          <w:numId w:val="0"/>
        </w:numPr>
        <w:spacing w:line="480" w:lineRule="auto"/>
        <w:ind w:firstLine="720"/>
      </w:pPr>
    </w:p>
    <w:p w:rsidR="00F40B40" w:rsidRDefault="00F40B40" w:rsidP="00AE4690">
      <w:pPr>
        <w:numPr>
          <w:ilvl w:val="12"/>
          <w:numId w:val="0"/>
        </w:numPr>
        <w:spacing w:line="480" w:lineRule="auto"/>
        <w:ind w:firstLine="720"/>
      </w:pPr>
      <w:r>
        <w:rPr>
          <w:noProof/>
        </w:rPr>
        <w:drawing>
          <wp:inline distT="0" distB="0" distL="0" distR="0">
            <wp:extent cx="1598413" cy="1508760"/>
            <wp:effectExtent l="19050" t="0" r="1787"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1598413" cy="1508760"/>
                    </a:xfrm>
                    <a:prstGeom prst="rect">
                      <a:avLst/>
                    </a:prstGeom>
                    <a:noFill/>
                    <a:ln w="9525">
                      <a:noFill/>
                      <a:miter lim="800000"/>
                      <a:headEnd/>
                      <a:tailEnd/>
                    </a:ln>
                  </pic:spPr>
                </pic:pic>
              </a:graphicData>
            </a:graphic>
          </wp:inline>
        </w:drawing>
      </w:r>
    </w:p>
    <w:p w:rsidR="00F40B40" w:rsidRDefault="00F40B40" w:rsidP="0084023C">
      <w:pPr>
        <w:pStyle w:val="Caption"/>
      </w:pPr>
      <w:bookmarkStart w:id="25" w:name="_Toc351890048"/>
      <w:proofErr w:type="gramStart"/>
      <w:r>
        <w:t xml:space="preserve">Figure </w:t>
      </w:r>
      <w:r w:rsidR="009B6816">
        <w:fldChar w:fldCharType="begin"/>
      </w:r>
      <w:r w:rsidR="00EE0740">
        <w:instrText xml:space="preserve"> SEQ Figure \* ARABIC </w:instrText>
      </w:r>
      <w:r w:rsidR="009B6816">
        <w:fldChar w:fldCharType="separate"/>
      </w:r>
      <w:r w:rsidR="005B6C27">
        <w:rPr>
          <w:noProof/>
        </w:rPr>
        <w:t>7</w:t>
      </w:r>
      <w:r w:rsidR="009B6816">
        <w:fldChar w:fldCharType="end"/>
      </w:r>
      <w:r>
        <w:t>.</w:t>
      </w:r>
      <w:proofErr w:type="gramEnd"/>
      <w:r>
        <w:t xml:space="preserve"> The detector elements in a system with span 7 only accept coincident data from those elements with locations ranging</w:t>
      </w:r>
      <w:r w:rsidR="00345ECD">
        <w:t xml:space="preserve"> +/- 3 </w:t>
      </w:r>
      <w:r>
        <w:t>axially.</w:t>
      </w:r>
      <w:bookmarkEnd w:id="25"/>
    </w:p>
    <w:p w:rsidR="0086578D" w:rsidRDefault="0086578D" w:rsidP="00EF61F9">
      <w:pPr>
        <w:numPr>
          <w:ilvl w:val="12"/>
          <w:numId w:val="0"/>
        </w:numPr>
        <w:spacing w:line="480" w:lineRule="auto"/>
        <w:ind w:firstLine="720"/>
      </w:pPr>
    </w:p>
    <w:p w:rsidR="00D33DAF" w:rsidRDefault="006D17A1" w:rsidP="00EF61F9">
      <w:pPr>
        <w:numPr>
          <w:ilvl w:val="12"/>
          <w:numId w:val="0"/>
        </w:numPr>
        <w:spacing w:line="480" w:lineRule="auto"/>
        <w:ind w:firstLine="720"/>
      </w:pPr>
      <w:r w:rsidRPr="00AE4690">
        <w:t xml:space="preserve">3D </w:t>
      </w:r>
      <w:r>
        <w:t>acquisition</w:t>
      </w:r>
      <w:r w:rsidRPr="00AE4690">
        <w:t xml:space="preserve"> extends this concept to include oblique planes, or non-</w:t>
      </w:r>
      <w:r w:rsidR="000D010E">
        <w:t>orthogonal</w:t>
      </w:r>
      <w:r w:rsidRPr="00AE4690">
        <w:t xml:space="preserve"> planes that exist between crystal elements that lie in </w:t>
      </w:r>
      <w:r w:rsidR="000D010E">
        <w:t>rings with difference</w:t>
      </w:r>
      <w:r w:rsidRPr="00AE4690">
        <w:t xml:space="preserve"> greater than the span.  </w:t>
      </w:r>
      <w:r>
        <w:t>This involves the removal of inter-ring septa and can increase the system sensitivity by a factor of</w:t>
      </w:r>
      <w:r w:rsidR="008A4056">
        <w:t xml:space="preserve"> around</w:t>
      </w:r>
      <w:r>
        <w:t xml:space="preserve"> 5 </w:t>
      </w:r>
      <w:r w:rsidR="009B6816">
        <w:fldChar w:fldCharType="begin"/>
      </w:r>
      <w:r w:rsidR="00C40417">
        <w:instrText xml:space="preserve"> ADDIN EN.CITE &lt;EndNote&gt;&lt;Cite&gt;&lt;Author&gt;Tarantola&lt;/Author&gt;&lt;Year&gt;2003&lt;/Year&gt;&lt;RecNum&gt;281&lt;/RecNum&gt;&lt;DisplayText&gt;(Bendriem and Townsend 1998; Tarantola, Zito et al. 2003)&lt;/DisplayText&gt;&lt;record&gt;&lt;rec-number&gt;281&lt;/rec-number&gt;&lt;foreign-keys&gt;&lt;key app="EN" db-id="srwv9ppvvez5pgefxzi5ddeve5w2fe5x5esr"&gt;281&lt;/key&gt;&lt;/foreign-keys&gt;&lt;ref-type name="Journal Article"&gt;17&lt;/ref-type&gt;&lt;contributors&gt;&lt;authors&gt;&lt;author&gt;Tarantola, G.&lt;/author&gt;&lt;author&gt;Zito, F.&lt;/author&gt;&lt;author&gt;Gerundini, P.&lt;/author&gt;&lt;/authors&gt;&lt;/contributors&gt;&lt;titles&gt;&lt;title&gt;PET instrumentation and reconstruction algorithms in whole-body applications&lt;/title&gt;&lt;secondary-title&gt;Journal of Nuclear Medicine&lt;/secondary-title&gt;&lt;/titles&gt;&lt;periodical&gt;&lt;full-title&gt;Journal of Nuclear Medicine&lt;/full-title&gt;&lt;/periodical&gt;&lt;pages&gt;756&lt;/pages&gt;&lt;volume&gt;44&lt;/volume&gt;&lt;number&gt;5&lt;/number&gt;&lt;dates&gt;&lt;year&gt;2003&lt;/year&gt;&lt;/dates&gt;&lt;isbn&gt;0161-5505&lt;/isbn&gt;&lt;urls&gt;&lt;/urls&gt;&lt;/record&gt;&lt;/Cite&gt;&lt;Cite&gt;&lt;Author&gt;Bendriem&lt;/Author&gt;&lt;Year&gt;1998&lt;/Year&gt;&lt;RecNum&gt;344&lt;/RecNum&gt;&lt;record&gt;&lt;rec-number&gt;344&lt;/rec-number&gt;&lt;foreign-keys&gt;&lt;key app="EN" db-id="srwv9ppvvez5pgefxzi5ddeve5w2fe5x5esr"&gt;344&lt;/key&gt;&lt;/foreign-keys&gt;&lt;ref-type name="Book"&gt;6&lt;/ref-type&gt;&lt;contributors&gt;&lt;authors&gt;&lt;author&gt;Bendriem, Bernard&lt;/author&gt;&lt;author&gt;Townsend, David W&lt;/author&gt;&lt;/authors&gt;&lt;/contributors&gt;&lt;titles&gt;&lt;title&gt;The theory and practice of 3D PET&lt;/title&gt;&lt;/titles&gt;&lt;volume&gt;32&lt;/volume&gt;&lt;dates&gt;&lt;year&gt;1998&lt;/year&gt;&lt;/dates&gt;&lt;publisher&gt;Springer&lt;/publisher&gt;&lt;isbn&gt;0792351088&lt;/isbn&gt;&lt;urls&gt;&lt;/urls&gt;&lt;/record&gt;&lt;/Cite&gt;&lt;/EndNote&gt;</w:instrText>
      </w:r>
      <w:r w:rsidR="009B6816">
        <w:fldChar w:fldCharType="separate"/>
      </w:r>
      <w:r w:rsidR="00C40417">
        <w:rPr>
          <w:noProof/>
        </w:rPr>
        <w:t>(</w:t>
      </w:r>
      <w:hyperlink w:anchor="_ENREF_10" w:tooltip="Bendriem, 1998 #344" w:history="1">
        <w:r w:rsidR="007704DB">
          <w:rPr>
            <w:noProof/>
          </w:rPr>
          <w:t>Bendriem and Townsend 1998</w:t>
        </w:r>
      </w:hyperlink>
      <w:r w:rsidR="00C40417">
        <w:rPr>
          <w:noProof/>
        </w:rPr>
        <w:t xml:space="preserve">; </w:t>
      </w:r>
      <w:hyperlink w:anchor="_ENREF_75" w:tooltip="Tarantola, 2003 #281" w:history="1">
        <w:r w:rsidR="007704DB">
          <w:rPr>
            <w:noProof/>
          </w:rPr>
          <w:t>Tarantola, Zito et al. 2003</w:t>
        </w:r>
      </w:hyperlink>
      <w:r w:rsidR="00C40417">
        <w:rPr>
          <w:noProof/>
        </w:rPr>
        <w:t>)</w:t>
      </w:r>
      <w:r w:rsidR="009B6816">
        <w:fldChar w:fldCharType="end"/>
      </w:r>
      <w:r w:rsidR="002E2F11">
        <w:t>.</w:t>
      </w:r>
      <w:r>
        <w:t xml:space="preserve">  </w:t>
      </w:r>
      <w:r w:rsidRPr="00AE4690">
        <w:t xml:space="preserve">A 3D sinogram is an ordered collection of smaller sinograms corresponding to different detector difference groupings, called segments.  </w:t>
      </w:r>
    </w:p>
    <w:p w:rsidR="00EF61F9" w:rsidRDefault="00AE4690" w:rsidP="00EF61F9">
      <w:pPr>
        <w:numPr>
          <w:ilvl w:val="12"/>
          <w:numId w:val="0"/>
        </w:numPr>
        <w:spacing w:line="480" w:lineRule="auto"/>
        <w:ind w:firstLine="720"/>
      </w:pPr>
      <w:r w:rsidRPr="00AE4690">
        <w:lastRenderedPageBreak/>
        <w:t>T</w:t>
      </w:r>
      <w:r w:rsidR="00EF61F9">
        <w:t>he figure below</w:t>
      </w:r>
      <w:r w:rsidRPr="00AE4690">
        <w:t xml:space="preserve"> expand</w:t>
      </w:r>
      <w:r w:rsidR="00EF61F9">
        <w:t>s</w:t>
      </w:r>
      <w:r w:rsidRPr="00AE4690">
        <w:t xml:space="preserve"> on our earlier example</w:t>
      </w:r>
      <w:r w:rsidR="00DF6016">
        <w:t xml:space="preserve">. </w:t>
      </w:r>
      <w:r w:rsidRPr="00AE4690">
        <w:t xml:space="preserve"> </w:t>
      </w:r>
      <w:r w:rsidR="00DF6016">
        <w:t>A</w:t>
      </w:r>
      <w:r w:rsidRPr="00AE4690">
        <w:t xml:space="preserve"> coincident event registered in two detectors</w:t>
      </w:r>
      <w:r w:rsidR="006D17A1">
        <w:t>, within the 7 element span</w:t>
      </w:r>
      <w:r w:rsidR="00DF6016">
        <w:t xml:space="preserve"> (centered on the direct plane)</w:t>
      </w:r>
      <w:r w:rsidR="006D17A1">
        <w:t xml:space="preserve">, </w:t>
      </w:r>
      <w:r w:rsidRPr="00AE4690">
        <w:t xml:space="preserve">will belong to </w:t>
      </w:r>
      <w:r w:rsidR="00DF6016">
        <w:t>segment 0</w:t>
      </w:r>
      <w:r w:rsidRPr="00AE4690">
        <w:t xml:space="preserve">.  The second segment (+1) sinogram will include events from elements where the difference is greater than or equal to </w:t>
      </w:r>
      <w:r w:rsidR="00AE4A3F">
        <w:t>4</w:t>
      </w:r>
      <w:r w:rsidRPr="00AE4690">
        <w:t xml:space="preserve"> but less than 1</w:t>
      </w:r>
      <w:r w:rsidR="00AE4A3F">
        <w:t>1</w:t>
      </w:r>
      <w:r w:rsidRPr="00AE4690">
        <w:t>.  The next segment (</w:t>
      </w:r>
      <w:r w:rsidR="00EF61F9">
        <w:t>not shown below</w:t>
      </w:r>
      <w:r w:rsidRPr="00AE4690">
        <w:t>) will be composed of events from detectors whose difference is less than or equal to -</w:t>
      </w:r>
      <w:r w:rsidR="006D17A1">
        <w:t>4</w:t>
      </w:r>
      <w:r w:rsidRPr="00AE4690">
        <w:t xml:space="preserve"> but greater than -1</w:t>
      </w:r>
      <w:r w:rsidR="006D17A1">
        <w:t>1</w:t>
      </w:r>
      <w:r w:rsidRPr="00AE4690">
        <w:t xml:space="preserve">.  </w:t>
      </w:r>
      <w:r w:rsidR="003462D9">
        <w:t>The final segment shown below includes the events from elements where the difference is greater than or equal to 11.</w:t>
      </w:r>
    </w:p>
    <w:p w:rsidR="0086578D" w:rsidRDefault="0086578D" w:rsidP="00EF61F9">
      <w:pPr>
        <w:numPr>
          <w:ilvl w:val="12"/>
          <w:numId w:val="0"/>
        </w:numPr>
        <w:spacing w:line="480" w:lineRule="auto"/>
        <w:ind w:firstLine="720"/>
      </w:pPr>
    </w:p>
    <w:p w:rsidR="00EF61F9" w:rsidRDefault="00EF61F9" w:rsidP="00EF61F9">
      <w:pPr>
        <w:numPr>
          <w:ilvl w:val="12"/>
          <w:numId w:val="0"/>
        </w:numPr>
        <w:spacing w:line="480" w:lineRule="auto"/>
        <w:ind w:firstLine="720"/>
      </w:pPr>
      <w:r>
        <w:rPr>
          <w:noProof/>
        </w:rPr>
        <w:drawing>
          <wp:inline distT="0" distB="0" distL="0" distR="0">
            <wp:extent cx="1601412" cy="1508760"/>
            <wp:effectExtent l="19050" t="0" r="0" b="0"/>
            <wp:docPr id="31" name="Picture 8" descr="C:\Users\Josh\Documents\PETCT\thesis stuff\span_seg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Documents\PETCT\thesis stuff\span_seg0.tif"/>
                    <pic:cNvPicPr>
                      <a:picLocks noChangeAspect="1" noChangeArrowheads="1"/>
                    </pic:cNvPicPr>
                  </pic:nvPicPr>
                  <pic:blipFill>
                    <a:blip r:embed="rId20" cstate="print"/>
                    <a:srcRect/>
                    <a:stretch>
                      <a:fillRect/>
                    </a:stretch>
                  </pic:blipFill>
                  <pic:spPr bwMode="auto">
                    <a:xfrm>
                      <a:off x="0" y="0"/>
                      <a:ext cx="1601412" cy="1508760"/>
                    </a:xfrm>
                    <a:prstGeom prst="rect">
                      <a:avLst/>
                    </a:prstGeom>
                    <a:noFill/>
                    <a:ln w="9525">
                      <a:noFill/>
                      <a:miter lim="800000"/>
                      <a:headEnd/>
                      <a:tailEnd/>
                    </a:ln>
                  </pic:spPr>
                </pic:pic>
              </a:graphicData>
            </a:graphic>
          </wp:inline>
        </w:drawing>
      </w:r>
      <w:r>
        <w:rPr>
          <w:noProof/>
        </w:rPr>
        <w:drawing>
          <wp:inline distT="0" distB="0" distL="0" distR="0">
            <wp:extent cx="1601412" cy="1508760"/>
            <wp:effectExtent l="19050" t="0" r="0" b="0"/>
            <wp:docPr id="32" name="Picture 7" descr="C:\Users\Josh\Documents\PETCT\thesis stuff\span_se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h\Documents\PETCT\thesis stuff\span_seg1.tif"/>
                    <pic:cNvPicPr>
                      <a:picLocks noChangeAspect="1" noChangeArrowheads="1"/>
                    </pic:cNvPicPr>
                  </pic:nvPicPr>
                  <pic:blipFill>
                    <a:blip r:embed="rId21" cstate="print"/>
                    <a:srcRect/>
                    <a:stretch>
                      <a:fillRect/>
                    </a:stretch>
                  </pic:blipFill>
                  <pic:spPr bwMode="auto">
                    <a:xfrm>
                      <a:off x="0" y="0"/>
                      <a:ext cx="1601412" cy="1508760"/>
                    </a:xfrm>
                    <a:prstGeom prst="rect">
                      <a:avLst/>
                    </a:prstGeom>
                    <a:noFill/>
                    <a:ln w="9525">
                      <a:noFill/>
                      <a:miter lim="800000"/>
                      <a:headEnd/>
                      <a:tailEnd/>
                    </a:ln>
                  </pic:spPr>
                </pic:pic>
              </a:graphicData>
            </a:graphic>
          </wp:inline>
        </w:drawing>
      </w:r>
      <w:r>
        <w:rPr>
          <w:noProof/>
        </w:rPr>
        <w:drawing>
          <wp:inline distT="0" distB="0" distL="0" distR="0">
            <wp:extent cx="1598266" cy="1508760"/>
            <wp:effectExtent l="19050" t="0" r="1934" b="0"/>
            <wp:docPr id="33" name="Picture 6" descr="C:\Users\Josh\Documents\PETCT\thesis stuff\span_seg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h\Documents\PETCT\thesis stuff\span_seg2.tif"/>
                    <pic:cNvPicPr>
                      <a:picLocks noChangeAspect="1" noChangeArrowheads="1"/>
                    </pic:cNvPicPr>
                  </pic:nvPicPr>
                  <pic:blipFill>
                    <a:blip r:embed="rId22" cstate="print"/>
                    <a:srcRect/>
                    <a:stretch>
                      <a:fillRect/>
                    </a:stretch>
                  </pic:blipFill>
                  <pic:spPr bwMode="auto">
                    <a:xfrm>
                      <a:off x="0" y="0"/>
                      <a:ext cx="1598266" cy="1508760"/>
                    </a:xfrm>
                    <a:prstGeom prst="rect">
                      <a:avLst/>
                    </a:prstGeom>
                    <a:noFill/>
                    <a:ln w="9525">
                      <a:noFill/>
                      <a:miter lim="800000"/>
                      <a:headEnd/>
                      <a:tailEnd/>
                    </a:ln>
                  </pic:spPr>
                </pic:pic>
              </a:graphicData>
            </a:graphic>
          </wp:inline>
        </w:drawing>
      </w:r>
    </w:p>
    <w:p w:rsidR="00AE4690" w:rsidRPr="00AE4690" w:rsidRDefault="00EF61F9" w:rsidP="0084023C">
      <w:pPr>
        <w:pStyle w:val="Caption"/>
      </w:pPr>
      <w:bookmarkStart w:id="26" w:name="_Toc351890049"/>
      <w:proofErr w:type="gramStart"/>
      <w:r>
        <w:t xml:space="preserve">Figure </w:t>
      </w:r>
      <w:r w:rsidR="009B6816">
        <w:fldChar w:fldCharType="begin"/>
      </w:r>
      <w:r w:rsidR="00EE0740">
        <w:instrText xml:space="preserve"> SEQ Figure \* ARABIC </w:instrText>
      </w:r>
      <w:r w:rsidR="009B6816">
        <w:fldChar w:fldCharType="separate"/>
      </w:r>
      <w:r w:rsidR="005B6C27">
        <w:rPr>
          <w:noProof/>
        </w:rPr>
        <w:t>8</w:t>
      </w:r>
      <w:r w:rsidR="009B6816">
        <w:fldChar w:fldCharType="end"/>
      </w:r>
      <w:r>
        <w:t>.</w:t>
      </w:r>
      <w:proofErr w:type="gramEnd"/>
      <w:r>
        <w:t xml:space="preserve"> </w:t>
      </w:r>
      <w:r w:rsidR="002A4BE1">
        <w:t>R</w:t>
      </w:r>
      <w:r>
        <w:t>epresentation of the different segments acquired in 3D acquisition.</w:t>
      </w:r>
      <w:bookmarkEnd w:id="26"/>
      <w:r>
        <w:t xml:space="preserve">  </w:t>
      </w:r>
    </w:p>
    <w:p w:rsidR="0086578D" w:rsidRDefault="0086578D" w:rsidP="001B159A">
      <w:pPr>
        <w:numPr>
          <w:ilvl w:val="12"/>
          <w:numId w:val="0"/>
        </w:numPr>
        <w:spacing w:line="480" w:lineRule="auto"/>
        <w:ind w:firstLine="720"/>
      </w:pPr>
    </w:p>
    <w:p w:rsidR="000A3BB1" w:rsidRDefault="006D17A1" w:rsidP="0050514A">
      <w:pPr>
        <w:numPr>
          <w:ilvl w:val="12"/>
          <w:numId w:val="0"/>
        </w:numPr>
        <w:spacing w:line="480" w:lineRule="auto"/>
      </w:pPr>
      <w:r w:rsidRPr="00AE4690">
        <w:t xml:space="preserve">A 3D sinogram will follow this trend </w:t>
      </w:r>
      <w:r w:rsidR="005135E0">
        <w:t>including</w:t>
      </w:r>
      <w:r w:rsidR="00AA65FB">
        <w:t xml:space="preserve"> the</w:t>
      </w:r>
      <w:r w:rsidRPr="00AE4690">
        <w:t xml:space="preserve"> associated sinograms</w:t>
      </w:r>
      <w:r w:rsidR="00EA2E2C">
        <w:t xml:space="preserve"> from each segment</w:t>
      </w:r>
      <w:r w:rsidRPr="00AE4690">
        <w:t xml:space="preserve">. </w:t>
      </w:r>
    </w:p>
    <w:p w:rsidR="000A3BB1" w:rsidRDefault="000A3BB1" w:rsidP="000A3BB1">
      <w:pPr>
        <w:pStyle w:val="Heading2"/>
      </w:pPr>
      <w:bookmarkStart w:id="27" w:name="_Toc351889992"/>
      <w:r>
        <w:t>Data Corrections</w:t>
      </w:r>
      <w:bookmarkEnd w:id="27"/>
    </w:p>
    <w:p w:rsidR="00A4609D" w:rsidRDefault="000A3BB1" w:rsidP="00A4609D">
      <w:pPr>
        <w:numPr>
          <w:ilvl w:val="12"/>
          <w:numId w:val="0"/>
        </w:numPr>
        <w:spacing w:line="480" w:lineRule="auto"/>
        <w:ind w:firstLine="720"/>
      </w:pPr>
      <w:r w:rsidRPr="000A3BB1">
        <w:t>Radioactive decay is a random process whi</w:t>
      </w:r>
      <w:r w:rsidR="00967111">
        <w:t>ch follows Poisson distribution</w:t>
      </w:r>
      <w:r w:rsidRPr="000A3BB1">
        <w:t xml:space="preserve">, </w:t>
      </w:r>
      <w:r w:rsidR="00967111">
        <w:t xml:space="preserve">i.e. </w:t>
      </w:r>
      <w:r w:rsidRPr="000A3BB1">
        <w:t>there is a discrete probability that an event takes place in a given time interval, a probability that is temporally and spatiall</w:t>
      </w:r>
      <w:r w:rsidR="00967111">
        <w:t>y independent from other events</w:t>
      </w:r>
      <w:r w:rsidRPr="000A3BB1">
        <w:t xml:space="preserve">.  Most reconstruction algorithms model this Poisson process and treat the data as if they are free </w:t>
      </w:r>
      <w:r w:rsidRPr="000A3BB1">
        <w:lastRenderedPageBreak/>
        <w:t xml:space="preserve">of noise or error, but in reality, the PET acquisition </w:t>
      </w:r>
      <w:r w:rsidR="00967111">
        <w:t xml:space="preserve">is an intrinsically noisy </w:t>
      </w:r>
      <w:r w:rsidRPr="000A3BB1">
        <w:t xml:space="preserve">process.  There are many physical effects that can corrupt the integrity of the data, including </w:t>
      </w:r>
      <w:r w:rsidR="0068579E">
        <w:t xml:space="preserve">detector normalization, </w:t>
      </w:r>
      <w:r w:rsidRPr="000A3BB1">
        <w:t xml:space="preserve">photon attenuation, </w:t>
      </w:r>
      <w:r w:rsidR="0068579E">
        <w:t xml:space="preserve">and </w:t>
      </w:r>
      <w:r w:rsidRPr="000A3BB1">
        <w:t>random</w:t>
      </w:r>
      <w:r w:rsidR="0068579E">
        <w:t>s</w:t>
      </w:r>
      <w:r w:rsidR="009A6603">
        <w:t xml:space="preserve"> and scatter </w:t>
      </w:r>
      <w:r w:rsidR="0068579E">
        <w:t>registration</w:t>
      </w:r>
      <w:r w:rsidRPr="000A3BB1">
        <w:t>.  These errors degrade image quality by adding noise to the PET data and must typically be corrected prior to</w:t>
      </w:r>
      <w:r w:rsidR="000F1959">
        <w:t xml:space="preserve"> (or incorporated within)</w:t>
      </w:r>
      <w:r w:rsidRPr="000A3BB1">
        <w:t xml:space="preserve"> </w:t>
      </w:r>
      <w:r w:rsidR="000F1959">
        <w:t xml:space="preserve">the </w:t>
      </w:r>
      <w:r w:rsidRPr="000A3BB1">
        <w:t>reconstruction</w:t>
      </w:r>
      <w:r w:rsidR="00967111">
        <w:t>,</w:t>
      </w:r>
      <w:r w:rsidRPr="000A3BB1">
        <w:t xml:space="preserve"> for accurate image </w:t>
      </w:r>
      <w:r w:rsidR="0068579E">
        <w:t>quantification</w:t>
      </w:r>
      <w:r w:rsidR="00967111">
        <w:t>.</w:t>
      </w:r>
    </w:p>
    <w:p w:rsidR="007D4649" w:rsidRDefault="004E3787" w:rsidP="00456B77">
      <w:pPr>
        <w:pStyle w:val="Heading3"/>
      </w:pPr>
      <w:bookmarkStart w:id="28" w:name="_Toc351889993"/>
      <w:r>
        <w:t>Randoms</w:t>
      </w:r>
      <w:bookmarkEnd w:id="28"/>
    </w:p>
    <w:p w:rsidR="007D4649" w:rsidRPr="007D4649" w:rsidRDefault="007D4649" w:rsidP="007D4649"/>
    <w:p w:rsidR="006D283E" w:rsidRPr="006D283E" w:rsidRDefault="005B2BE8" w:rsidP="006D283E">
      <w:pPr>
        <w:spacing w:line="480" w:lineRule="auto"/>
        <w:ind w:firstLine="720"/>
        <w:outlineLvl w:val="2"/>
      </w:pPr>
      <w:r>
        <w:t>Continuing from the previous section</w:t>
      </w:r>
      <w:r w:rsidR="00B1602A">
        <w:t>, r</w:t>
      </w:r>
      <w:r w:rsidR="006D283E" w:rsidRPr="006D283E">
        <w:t xml:space="preserve">andom coincidences </w:t>
      </w:r>
      <w:r w:rsidR="00B1602A">
        <w:t>are recorded</w:t>
      </w:r>
      <w:r w:rsidR="006D283E" w:rsidRPr="006D283E">
        <w:t xml:space="preserve"> when two photons from different events hit two detectors within the timing window.  These events contain no useful information about the tracer distribution and, because they are random in nature, add smooth background noise to the data.  The random coincidence rate is related to the size of the timing window and the singles rates on the detectors. </w:t>
      </w:r>
    </w:p>
    <w:p w:rsidR="007D4649" w:rsidRDefault="006D283E" w:rsidP="007D4649">
      <w:pPr>
        <w:numPr>
          <w:ilvl w:val="12"/>
          <w:numId w:val="0"/>
        </w:numPr>
        <w:spacing w:line="480" w:lineRule="auto"/>
        <w:ind w:firstLine="720"/>
      </w:pPr>
      <w:r w:rsidRPr="006D283E">
        <w:t xml:space="preserve">A few methods have been proposed to model the randoms distribution, including detector singles-based calculations and tail-fitted, Gaussian estimations </w:t>
      </w:r>
      <w:r w:rsidR="009B6816" w:rsidRPr="006D283E">
        <w:fldChar w:fldCharType="begin"/>
      </w:r>
      <w:r w:rsidR="002D7C36">
        <w:instrText xml:space="preserve"> ADDIN EN.CITE &lt;EndNote&gt;&lt;Cite&gt;&lt;Author&gt;Valk&lt;/Author&gt;&lt;Year&gt;2003&lt;/Year&gt;&lt;RecNum&gt;191&lt;/RecNum&gt;&lt;DisplayText&gt;(Valk 2003)&lt;/DisplayText&gt;&lt;record&gt;&lt;rec-number&gt;191&lt;/rec-number&gt;&lt;foreign-keys&gt;&lt;key app="EN" db-id="srwv9ppvvez5pgefxzi5ddeve5w2fe5x5esr"&gt;191&lt;/key&gt;&lt;/foreign-keys&gt;&lt;ref-type name="Book"&gt;6&lt;/ref-type&gt;&lt;contributors&gt;&lt;authors&gt;&lt;author&gt;Valk, Peter E.&lt;/author&gt;&lt;/authors&gt;&lt;/contributors&gt;&lt;titles&gt;&lt;title&gt;Positron emission tomography : basic science and clinical practice&lt;/title&gt;&lt;/titles&gt;&lt;dates&gt;&lt;year&gt;2003&lt;/year&gt;&lt;/dates&gt;&lt;pub-location&gt;London; New York&lt;/pub-location&gt;&lt;publisher&gt;Springer&lt;/publisher&gt;&lt;isbn&gt;1852334851 9781852334857&lt;/isbn&gt;&lt;urls&gt;&lt;/urls&gt;&lt;remote-database-name&gt;/z-wcorg/&lt;/remote-database-name&gt;&lt;remote-database-provider&gt;http://worldcat.org&lt;/remote-database-provider&gt;&lt;language&gt;English&lt;/language&gt;&lt;/record&gt;&lt;/Cite&gt;&lt;Cite&gt;&lt;Author&gt;Valk&lt;/Author&gt;&lt;Year&gt;2003&lt;/Year&gt;&lt;RecNum&gt;191&lt;/RecNum&gt;&lt;record&gt;&lt;rec-number&gt;191&lt;/rec-number&gt;&lt;foreign-keys&gt;&lt;key app="EN" db-id="srwv9ppvvez5pgefxzi5ddeve5w2fe5x5esr"&gt;191&lt;/key&gt;&lt;/foreign-keys&gt;&lt;ref-type name="Book"&gt;6&lt;/ref-type&gt;&lt;contributors&gt;&lt;authors&gt;&lt;author&gt;Valk, Peter E.&lt;/author&gt;&lt;/authors&gt;&lt;/contributors&gt;&lt;titles&gt;&lt;title&gt;Positron emission tomography : basic science and clinical practice&lt;/title&gt;&lt;/titles&gt;&lt;dates&gt;&lt;year&gt;2003&lt;/year&gt;&lt;/dates&gt;&lt;pub-location&gt;London; New York&lt;/pub-location&gt;&lt;publisher&gt;Springer&lt;/publisher&gt;&lt;isbn&gt;1852334851 9781852334857&lt;/isbn&gt;&lt;urls&gt;&lt;/urls&gt;&lt;remote-database-name&gt;/z-wcorg/&lt;/remote-database-name&gt;&lt;remote-database-provider&gt;http://worldcat.org&lt;/remote-database-provider&gt;&lt;language&gt;English&lt;/language&gt;&lt;/record&gt;&lt;/Cite&gt;&lt;/EndNote&gt;</w:instrText>
      </w:r>
      <w:r w:rsidR="009B6816" w:rsidRPr="006D283E">
        <w:fldChar w:fldCharType="separate"/>
      </w:r>
      <w:r w:rsidR="00B82802">
        <w:rPr>
          <w:noProof/>
        </w:rPr>
        <w:t>(</w:t>
      </w:r>
      <w:hyperlink w:anchor="_ENREF_83" w:tooltip="Valk, 2003 #191" w:history="1">
        <w:r w:rsidR="007704DB">
          <w:rPr>
            <w:noProof/>
          </w:rPr>
          <w:t>Valk 2003</w:t>
        </w:r>
      </w:hyperlink>
      <w:r w:rsidR="00B82802">
        <w:rPr>
          <w:noProof/>
        </w:rPr>
        <w:t>)</w:t>
      </w:r>
      <w:r w:rsidR="009B6816" w:rsidRPr="006D283E">
        <w:fldChar w:fldCharType="end"/>
      </w:r>
      <w:r w:rsidR="00D85D76">
        <w:t>.</w:t>
      </w:r>
      <w:r w:rsidRPr="006D283E">
        <w:t xml:space="preserve">  Currently however, the most commonly implemented technique is the delayed channel </w:t>
      </w:r>
      <w:r w:rsidR="00913B19">
        <w:t xml:space="preserve">or delayed-window subtraction (DWS) </w:t>
      </w:r>
      <w:r w:rsidRPr="006D283E">
        <w:t xml:space="preserve">method.  Here, a timing window is delayed (a few times the timing window length) to acquire a duplicate data stream in parallel to the prompts.  The delayed timing window guarantees that any recorded coincident photon pair </w:t>
      </w:r>
      <w:r w:rsidR="0068579E">
        <w:t>does</w:t>
      </w:r>
      <w:r w:rsidRPr="006D283E">
        <w:t xml:space="preserve"> </w:t>
      </w:r>
      <w:r w:rsidRPr="006D283E">
        <w:rPr>
          <w:i/>
        </w:rPr>
        <w:t>not</w:t>
      </w:r>
      <w:r w:rsidRPr="006D283E">
        <w:t xml:space="preserve"> belong to the same annihilation event.  These delayed data provide accurate representation of the randoms rate</w:t>
      </w:r>
      <w:r w:rsidR="0068579E">
        <w:t xml:space="preserve"> within the prompts window</w:t>
      </w:r>
      <w:r w:rsidRPr="006D283E">
        <w:t xml:space="preserve"> and can be stored independently, allowing post-processing the randoms data to reduce noise. </w:t>
      </w:r>
    </w:p>
    <w:p w:rsidR="007D4649" w:rsidRDefault="007D4649" w:rsidP="00456B77">
      <w:pPr>
        <w:pStyle w:val="Heading3"/>
      </w:pPr>
      <w:bookmarkStart w:id="29" w:name="_Toc351889994"/>
      <w:r>
        <w:t>Scatter</w:t>
      </w:r>
      <w:bookmarkEnd w:id="29"/>
    </w:p>
    <w:p w:rsidR="007D4649" w:rsidRPr="007D4649" w:rsidRDefault="007D4649" w:rsidP="007D4649"/>
    <w:p w:rsidR="006D283E" w:rsidRDefault="005B2BE8" w:rsidP="007D4649">
      <w:pPr>
        <w:numPr>
          <w:ilvl w:val="12"/>
          <w:numId w:val="0"/>
        </w:numPr>
        <w:spacing w:line="480" w:lineRule="auto"/>
        <w:ind w:firstLine="720"/>
      </w:pPr>
      <w:r>
        <w:lastRenderedPageBreak/>
        <w:t>As previously mentioned, s</w:t>
      </w:r>
      <w:r w:rsidR="006D283E" w:rsidRPr="006D283E">
        <w:t xml:space="preserve">cattered events occur when at least one photon of the coincident pair is Compton scattered, deflecting it before hitting the detector ring.  Scattering decreases the energy of a photon, so this effect is addressed by acquiring only the photons lying within the </w:t>
      </w:r>
      <w:r w:rsidR="00FA43CB">
        <w:t>photo-peak</w:t>
      </w:r>
      <w:r w:rsidR="006D283E" w:rsidRPr="006D283E">
        <w:t xml:space="preserve"> energies</w:t>
      </w:r>
      <w:r w:rsidR="00DD07F3">
        <w:t>, shown below</w:t>
      </w:r>
      <w:r w:rsidR="006D283E" w:rsidRPr="006D283E">
        <w:t>.  This is accomplished with an appropriate energy-acceptance window (typically 450-650 keV for LSO-based scanners).  However, a photon can scatter through a relatively large angle and still have enough energy to be accepted</w:t>
      </w:r>
      <w:r w:rsidR="00D74A1B">
        <w:t>.  Thus,</w:t>
      </w:r>
      <w:r w:rsidR="006D283E" w:rsidRPr="006D283E">
        <w:t xml:space="preserve"> many scattered events are not rejected by the energy discriminator.    </w:t>
      </w:r>
    </w:p>
    <w:p w:rsidR="0086578D" w:rsidRDefault="0086578D" w:rsidP="007D4649">
      <w:pPr>
        <w:numPr>
          <w:ilvl w:val="12"/>
          <w:numId w:val="0"/>
        </w:numPr>
        <w:spacing w:line="480" w:lineRule="auto"/>
        <w:ind w:firstLine="720"/>
      </w:pPr>
    </w:p>
    <w:p w:rsidR="00DD07F3" w:rsidRDefault="009447E3" w:rsidP="00BC422B">
      <w:pPr>
        <w:numPr>
          <w:ilvl w:val="12"/>
          <w:numId w:val="0"/>
        </w:numPr>
        <w:spacing w:line="480" w:lineRule="auto"/>
        <w:ind w:firstLine="720"/>
      </w:pPr>
      <w:r>
        <w:rPr>
          <w:noProof/>
        </w:rPr>
        <w:drawing>
          <wp:inline distT="0" distB="0" distL="0" distR="0">
            <wp:extent cx="3689350" cy="2979420"/>
            <wp:effectExtent l="19050" t="0" r="6350" b="0"/>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3689350" cy="2979420"/>
                    </a:xfrm>
                    <a:prstGeom prst="rect">
                      <a:avLst/>
                    </a:prstGeom>
                    <a:noFill/>
                    <a:ln w="9525">
                      <a:noFill/>
                      <a:miter lim="800000"/>
                      <a:headEnd/>
                      <a:tailEnd/>
                    </a:ln>
                  </pic:spPr>
                </pic:pic>
              </a:graphicData>
            </a:graphic>
          </wp:inline>
        </w:drawing>
      </w:r>
    </w:p>
    <w:p w:rsidR="00DD07F3" w:rsidRPr="006D283E" w:rsidRDefault="00DD07F3" w:rsidP="0084023C">
      <w:pPr>
        <w:pStyle w:val="Caption"/>
      </w:pPr>
      <w:bookmarkStart w:id="30" w:name="_Toc351890050"/>
      <w:proofErr w:type="gramStart"/>
      <w:r>
        <w:t xml:space="preserve">Figure </w:t>
      </w:r>
      <w:r w:rsidR="009B6816">
        <w:fldChar w:fldCharType="begin"/>
      </w:r>
      <w:r w:rsidR="00EE0740">
        <w:instrText xml:space="preserve"> SEQ Figure \* ARABIC </w:instrText>
      </w:r>
      <w:r w:rsidR="009B6816">
        <w:fldChar w:fldCharType="separate"/>
      </w:r>
      <w:r w:rsidR="005B6C27">
        <w:rPr>
          <w:noProof/>
        </w:rPr>
        <w:t>9</w:t>
      </w:r>
      <w:r w:rsidR="009B6816">
        <w:fldChar w:fldCharType="end"/>
      </w:r>
      <w:r>
        <w:t>.</w:t>
      </w:r>
      <w:proofErr w:type="gramEnd"/>
      <w:r>
        <w:t xml:space="preserve"> </w:t>
      </w:r>
      <w:r w:rsidR="009447E3" w:rsidRPr="009447E3">
        <w:t xml:space="preserve">Typical energy distribution </w:t>
      </w:r>
      <w:r w:rsidR="000B3B3B">
        <w:t xml:space="preserve">of scintillation detected </w:t>
      </w:r>
      <w:r>
        <w:t>energies.</w:t>
      </w:r>
      <w:bookmarkEnd w:id="30"/>
    </w:p>
    <w:p w:rsidR="0086578D" w:rsidRDefault="0086578D" w:rsidP="006D283E">
      <w:pPr>
        <w:spacing w:line="480" w:lineRule="auto"/>
        <w:ind w:firstLine="720"/>
        <w:outlineLvl w:val="2"/>
      </w:pPr>
    </w:p>
    <w:p w:rsidR="006D283E" w:rsidRDefault="0068579E" w:rsidP="006D283E">
      <w:pPr>
        <w:spacing w:line="480" w:lineRule="auto"/>
        <w:ind w:firstLine="720"/>
        <w:outlineLvl w:val="2"/>
      </w:pPr>
      <w:r>
        <w:t xml:space="preserve">Scatter is an </w:t>
      </w:r>
      <w:r w:rsidRPr="000E53CF">
        <w:t>important problem in 3D PET, as</w:t>
      </w:r>
      <w:r w:rsidR="006D283E" w:rsidRPr="000E53CF">
        <w:t xml:space="preserve"> in a clinical scan, </w:t>
      </w:r>
      <w:r w:rsidRPr="000E53CF">
        <w:t>30-50</w:t>
      </w:r>
      <w:r w:rsidR="006D283E" w:rsidRPr="000E53CF">
        <w:t>% of the data may be</w:t>
      </w:r>
      <w:r w:rsidR="002E283C" w:rsidRPr="000E53CF">
        <w:t xml:space="preserve"> from scattered photon events </w:t>
      </w:r>
      <w:r w:rsidR="009B6816" w:rsidRPr="000E53CF">
        <w:fldChar w:fldCharType="begin"/>
      </w:r>
      <w:r w:rsidR="002D7C36" w:rsidRPr="000E53CF">
        <w:instrText xml:space="preserve"> ADDIN EN.CITE &lt;EndNote&gt;&lt;Cite&gt;&lt;Author&gt;Cherry&lt;/Author&gt;&lt;Year&gt;1991&lt;/Year&gt;&lt;RecNum&gt;219&lt;/RecNum&gt;&lt;DisplayText&gt;(Cherry, Dahlbom et al. 1991)&lt;/DisplayText&gt;&lt;record&gt;&lt;rec-number&gt;219&lt;/rec-number&gt;&lt;foreign-keys&gt;&lt;key app="EN" db-id="srwv9ppvvez5pgefxzi5ddeve5w2fe5x5esr"&gt;219&lt;/key&gt;&lt;/foreign-keys&gt;&lt;ref-type name="Journal Article"&gt;17&lt;/ref-type&gt;&lt;contributors&gt;&lt;authors&gt;&lt;author&gt;Cherry, SR&lt;/author&gt;&lt;author&gt;Dahlbom, M&lt;/author&gt;&lt;author&gt;Hoffman, EJ&lt;/author&gt;&lt;/authors&gt;&lt;/contributors&gt;&lt;titles&gt;&lt;title&gt;3D PET using a conventional multislice tomograph without septa&lt;/title&gt;&lt;secondary-title&gt;Journal of Computer Assisted Tomography&lt;/secondary-title&gt;&lt;/titles&gt;&lt;pages&gt;655&lt;/pages&gt;&lt;volume&gt;15&lt;/volume&gt;&lt;number&gt;4&lt;/number&gt;&lt;dates&gt;&lt;year&gt;1991&lt;/year&gt;&lt;/dates&gt;&lt;isbn&gt;0363-8715&lt;/isbn&gt;&lt;urls&gt;&lt;/urls&gt;&lt;/record&gt;&lt;/Cite&gt;&lt;/EndNote&gt;</w:instrText>
      </w:r>
      <w:r w:rsidR="009B6816" w:rsidRPr="000E53CF">
        <w:fldChar w:fldCharType="separate"/>
      </w:r>
      <w:r w:rsidR="002E283C" w:rsidRPr="000E53CF">
        <w:rPr>
          <w:noProof/>
        </w:rPr>
        <w:t>(</w:t>
      </w:r>
      <w:hyperlink w:anchor="_ENREF_26" w:tooltip="Cherry, 1991 #219" w:history="1">
        <w:r w:rsidR="007704DB" w:rsidRPr="000E53CF">
          <w:rPr>
            <w:noProof/>
          </w:rPr>
          <w:t>Cherry, Dahlbom et al. 1991</w:t>
        </w:r>
      </w:hyperlink>
      <w:r w:rsidR="002E283C" w:rsidRPr="000E53CF">
        <w:rPr>
          <w:noProof/>
        </w:rPr>
        <w:t>)</w:t>
      </w:r>
      <w:r w:rsidR="009B6816" w:rsidRPr="000E53CF">
        <w:fldChar w:fldCharType="end"/>
      </w:r>
      <w:r w:rsidR="002D07DA" w:rsidRPr="000E53CF">
        <w:t>.</w:t>
      </w:r>
    </w:p>
    <w:p w:rsidR="006D283E" w:rsidRPr="006D283E" w:rsidRDefault="00454F50" w:rsidP="006D283E">
      <w:pPr>
        <w:spacing w:line="480" w:lineRule="auto"/>
        <w:ind w:firstLine="720"/>
        <w:outlineLvl w:val="2"/>
      </w:pPr>
      <w:r>
        <w:lastRenderedPageBreak/>
        <w:t xml:space="preserve">Modern PET scanners </w:t>
      </w:r>
      <w:r w:rsidR="0068579E">
        <w:t xml:space="preserve">acquire </w:t>
      </w:r>
      <w:r>
        <w:t>data</w:t>
      </w:r>
      <w:r w:rsidR="0068579E">
        <w:t xml:space="preserve"> almost exclusively</w:t>
      </w:r>
      <w:r>
        <w:t xml:space="preserve"> in 3D mode</w:t>
      </w:r>
      <w:r w:rsidR="0068579E">
        <w:t xml:space="preserve"> where t</w:t>
      </w:r>
      <w:r>
        <w:t>he added sensitivity to noise,</w:t>
      </w:r>
      <w:r w:rsidR="0068579E">
        <w:t xml:space="preserve"> and</w:t>
      </w:r>
      <w:r>
        <w:t xml:space="preserve"> especially scattered events, </w:t>
      </w:r>
      <w:r w:rsidR="0068579E">
        <w:t>requires</w:t>
      </w:r>
      <w:r>
        <w:t xml:space="preserve"> more sophisticated correction methods</w:t>
      </w:r>
      <w:r w:rsidR="006D283E" w:rsidRPr="006D283E">
        <w:t xml:space="preserve">.  Empirical schemes have been used that measure auxiliary data, such as the coincidence rates </w:t>
      </w:r>
      <w:r w:rsidR="00D26AE8">
        <w:t xml:space="preserve">at energies </w:t>
      </w:r>
      <w:r w:rsidR="006D283E" w:rsidRPr="006D283E">
        <w:t>below 511keV, under the assumption that these lower energy photons must be the result of scattering.  By employ</w:t>
      </w:r>
      <w:r w:rsidR="00D26AE8">
        <w:t>ing multiple energy windows, these</w:t>
      </w:r>
      <w:r w:rsidR="006D283E" w:rsidRPr="006D283E">
        <w:t xml:space="preserve"> auxiliary data </w:t>
      </w:r>
      <w:r w:rsidR="00D26AE8">
        <w:t>are</w:t>
      </w:r>
      <w:r w:rsidR="006D283E" w:rsidRPr="006D283E">
        <w:t xml:space="preserve"> scaled and subtracted from the data in the photo</w:t>
      </w:r>
      <w:r w:rsidR="00503880">
        <w:t>-</w:t>
      </w:r>
      <w:r w:rsidR="006D283E" w:rsidRPr="006D283E">
        <w:t xml:space="preserve">peak window </w:t>
      </w:r>
      <w:r w:rsidR="009B6816" w:rsidRPr="006D283E">
        <w:fldChar w:fldCharType="begin"/>
      </w:r>
      <w:r w:rsidR="002D7C36">
        <w:instrText xml:space="preserve"> ADDIN EN.CITE &lt;EndNote&gt;&lt;Cite&gt;&lt;Author&gt;Grootoonk&lt;/Author&gt;&lt;Year&gt;1996&lt;/Year&gt;&lt;RecNum&gt;218&lt;/RecNum&gt;&lt;DisplayText&gt;(Grootoonk, Spinks et al. 1996)&lt;/DisplayText&gt;&lt;record&gt;&lt;rec-number&gt;218&lt;/rec-number&gt;&lt;foreign-keys&gt;&lt;key app="EN" db-id="srwv9ppvvez5pgefxzi5ddeve5w2fe5x5esr"&gt;218&lt;/key&gt;&lt;/foreign-keys&gt;&lt;ref-type name="Journal Article"&gt;17&lt;/ref-type&gt;&lt;contributors&gt;&lt;authors&gt;&lt;author&gt;Grootoonk, S&lt;/author&gt;&lt;author&gt;Spinks, TJ&lt;/author&gt;&lt;author&gt;Sashin, D&lt;/author&gt;&lt;author&gt;Spyrou, NM&lt;/author&gt;&lt;author&gt;Jones, T&lt;/author&gt;&lt;/authors&gt;&lt;/contributors&gt;&lt;titles&gt;&lt;title&gt;Correction for scatter in 3D brain PET using a dual energy window method&lt;/title&gt;&lt;secondary-title&gt;Physics in Medicine and Biology&lt;/secondary-title&gt;&lt;/titles&gt;&lt;periodical&gt;&lt;full-title&gt;Physics in medicine and biology&lt;/full-title&gt;&lt;/periodical&gt;&lt;pages&gt;2757&lt;/pages&gt;&lt;volume&gt;41&lt;/volume&gt;&lt;dates&gt;&lt;year&gt;1996&lt;/year&gt;&lt;/dates&gt;&lt;urls&gt;&lt;/urls&gt;&lt;/record&gt;&lt;/Cite&gt;&lt;Cite&gt;&lt;Author&gt;Grootoonk&lt;/Author&gt;&lt;Year&gt;1996&lt;/Year&gt;&lt;RecNum&gt;218&lt;/RecNum&gt;&lt;record&gt;&lt;rec-number&gt;218&lt;/rec-number&gt;&lt;foreign-keys&gt;&lt;key app="EN" db-id="srwv9ppvvez5pgefxzi5ddeve5w2fe5x5esr"&gt;218&lt;/key&gt;&lt;/foreign-keys&gt;&lt;ref-type name="Journal Article"&gt;17&lt;/ref-type&gt;&lt;contributors&gt;&lt;authors&gt;&lt;author&gt;Grootoonk, S&lt;/author&gt;&lt;author&gt;Spinks, TJ&lt;/author&gt;&lt;author&gt;Sashin, D&lt;/author&gt;&lt;author&gt;Spyrou, NM&lt;/author&gt;&lt;author&gt;Jones, T&lt;/author&gt;&lt;/authors&gt;&lt;/contributors&gt;&lt;titles&gt;&lt;title&gt;Correction for scatter in 3D brain PET using a dual energy window method&lt;/title&gt;&lt;secondary-title&gt;Physics in Medicine and Biology&lt;/secondary-title&gt;&lt;/titles&gt;&lt;periodical&gt;&lt;full-title&gt;Physics in medicine and biology&lt;/full-title&gt;&lt;/periodical&gt;&lt;pages&gt;2757&lt;/pages&gt;&lt;volume&gt;41&lt;/volume&gt;&lt;dates&gt;&lt;year&gt;1996&lt;/year&gt;&lt;/dates&gt;&lt;urls&gt;&lt;/urls&gt;&lt;/record&gt;&lt;/Cite&gt;&lt;/EndNote&gt;</w:instrText>
      </w:r>
      <w:r w:rsidR="009B6816" w:rsidRPr="006D283E">
        <w:fldChar w:fldCharType="separate"/>
      </w:r>
      <w:r w:rsidR="00B82802">
        <w:rPr>
          <w:noProof/>
        </w:rPr>
        <w:t>(</w:t>
      </w:r>
      <w:hyperlink w:anchor="_ENREF_38" w:tooltip="Grootoonk, 1996 #218" w:history="1">
        <w:r w:rsidR="007704DB">
          <w:rPr>
            <w:noProof/>
          </w:rPr>
          <w:t>Grootoonk, Spinks et al. 1996</w:t>
        </w:r>
      </w:hyperlink>
      <w:r w:rsidR="00B82802">
        <w:rPr>
          <w:noProof/>
        </w:rPr>
        <w:t>)</w:t>
      </w:r>
      <w:r w:rsidR="009B6816" w:rsidRPr="006D283E">
        <w:fldChar w:fldCharType="end"/>
      </w:r>
      <w:r w:rsidR="006D3552">
        <w:t>.</w:t>
      </w:r>
      <w:r w:rsidR="006D283E" w:rsidRPr="006D283E">
        <w:t xml:space="preserve">  Scatter correction based on multiple energy measurements has the advantage of accounting for scatter arising from activity outside the field of view.  However, the auxiliary data are noisy and their processing requires more computing power.  Another technique is to estimate the scatter distribution from prompt counts registered at places known to contain no activity.  Scatter has a low frequency, broad distribution with tails that extend beyond the boundaries of the object.  These tails can be used to fit a smooth Gaussian function to the scatter distribution </w:t>
      </w:r>
      <w:r w:rsidR="009B6816" w:rsidRPr="006D283E">
        <w:fldChar w:fldCharType="begin"/>
      </w:r>
      <w:r w:rsidR="002D7C36">
        <w:instrText xml:space="preserve"> ADDIN EN.CITE &lt;EndNote&gt;&lt;Cite&gt;&lt;Author&gt;Stearns&lt;/Author&gt;&lt;Year&gt;1995&lt;/Year&gt;&lt;RecNum&gt;216&lt;/RecNum&gt;&lt;DisplayText&gt;(Stearns 1995)&lt;/DisplayText&gt;&lt;record&gt;&lt;rec-number&gt;216&lt;/rec-number&gt;&lt;foreign-keys&gt;&lt;key app="EN" db-id="srwv9ppvvez5pgefxzi5ddeve5w2fe5x5esr"&gt;216&lt;/key&gt;&lt;/foreign-keys&gt;&lt;ref-type name="Journal Article"&gt;17&lt;/ref-type&gt;&lt;contributors&gt;&lt;authors&gt;&lt;author&gt;Stearns, CW&lt;/author&gt;&lt;/authors&gt;&lt;/contributors&gt;&lt;titles&gt;&lt;title&gt;Scatter correction method for 3D PET using 2D fitted Gaussian functions&lt;/title&gt;&lt;secondary-title&gt;J Nucl Med&lt;/secondary-title&gt;&lt;/titles&gt;&lt;pages&gt;105&lt;/pages&gt;&lt;volume&gt;36&lt;/volume&gt;&lt;dates&gt;&lt;year&gt;1995&lt;/year&gt;&lt;/dates&gt;&lt;urls&gt;&lt;/urls&gt;&lt;/record&gt;&lt;/Cite&gt;&lt;/EndNote&gt;</w:instrText>
      </w:r>
      <w:r w:rsidR="009B6816" w:rsidRPr="006D283E">
        <w:fldChar w:fldCharType="separate"/>
      </w:r>
      <w:r w:rsidR="00B82802">
        <w:rPr>
          <w:noProof/>
        </w:rPr>
        <w:t>(</w:t>
      </w:r>
      <w:hyperlink w:anchor="_ENREF_71" w:tooltip="Stearns, 1995 #216" w:history="1">
        <w:r w:rsidR="007704DB">
          <w:rPr>
            <w:noProof/>
          </w:rPr>
          <w:t>Stearns 1995</w:t>
        </w:r>
      </w:hyperlink>
      <w:r w:rsidR="00B82802">
        <w:rPr>
          <w:noProof/>
        </w:rPr>
        <w:t>)</w:t>
      </w:r>
      <w:r w:rsidR="009B6816" w:rsidRPr="006D283E">
        <w:fldChar w:fldCharType="end"/>
      </w:r>
      <w:r w:rsidR="004D6F9C">
        <w:t>.</w:t>
      </w:r>
      <w:r w:rsidR="006D283E" w:rsidRPr="006D283E">
        <w:t xml:space="preserve">  This model performs reasonably well in brain studies, but can lead to errors in whole-body scans where the thorax occupies a larger portion of the FOV, resulting in relatively small scatter tails to fit.</w:t>
      </w:r>
    </w:p>
    <w:p w:rsidR="006D283E" w:rsidRPr="006D283E" w:rsidRDefault="006D283E" w:rsidP="006D283E">
      <w:pPr>
        <w:spacing w:line="480" w:lineRule="auto"/>
        <w:ind w:firstLine="720"/>
        <w:outlineLvl w:val="2"/>
      </w:pPr>
      <w:r w:rsidRPr="006D283E">
        <w:t xml:space="preserve">Some approaches used in 2D PET (with inter-ring septa) are convolution-based integral transformations of the projections </w:t>
      </w:r>
      <w:r w:rsidR="009B6816" w:rsidRPr="006D283E">
        <w:fldChar w:fldCharType="begin"/>
      </w:r>
      <w:r w:rsidR="002D7C36">
        <w:instrText xml:space="preserve"> ADDIN EN.CITE &lt;EndNote&gt;&lt;Cite&gt;&lt;Author&gt;Bergström&lt;/Author&gt;&lt;Year&gt;1983&lt;/Year&gt;&lt;RecNum&gt;214&lt;/RecNum&gt;&lt;DisplayText&gt;(Bergström, Eriksson et al. 1983)&lt;/DisplayText&gt;&lt;record&gt;&lt;rec-number&gt;214&lt;/rec-number&gt;&lt;foreign-keys&gt;&lt;key app="EN" db-id="srwv9ppvvez5pgefxzi5ddeve5w2fe5x5esr"&gt;214&lt;/key&gt;&lt;/foreign-keys&gt;&lt;ref-type name="Journal Article"&gt;17&lt;/ref-type&gt;&lt;contributors&gt;&lt;authors&gt;&lt;author&gt;Bergström, M&lt;/author&gt;&lt;author&gt;Eriksson, L&lt;/author&gt;&lt;author&gt;Bohm, C&lt;/author&gt;&lt;author&gt;Blomqvist, G&lt;/author&gt;&lt;author&gt;Litton, J&lt;/author&gt;&lt;/authors&gt;&lt;/contributors&gt;&lt;titles&gt;&lt;title&gt;Correction for scattered radiation in a ring detector positron camera by integral transformation of the projections&lt;/title&gt;&lt;secondary-title&gt;Journal of Computer Assisted Tomography&lt;/secondary-title&gt;&lt;/titles&gt;&lt;pages&gt;42&lt;/pages&gt;&lt;volume&gt;7&lt;/volume&gt;&lt;number&gt;1&lt;/number&gt;&lt;dates&gt;&lt;year&gt;1983&lt;/year&gt;&lt;/dates&gt;&lt;isbn&gt;0363-8715&lt;/isbn&gt;&lt;urls&gt;&lt;/urls&gt;&lt;/record&gt;&lt;/Cite&gt;&lt;/EndNote&gt;</w:instrText>
      </w:r>
      <w:r w:rsidR="009B6816" w:rsidRPr="006D283E">
        <w:fldChar w:fldCharType="separate"/>
      </w:r>
      <w:r w:rsidR="00B82802">
        <w:rPr>
          <w:noProof/>
        </w:rPr>
        <w:t>(</w:t>
      </w:r>
      <w:hyperlink w:anchor="_ENREF_11" w:tooltip="Bergström, 1983 #214" w:history="1">
        <w:r w:rsidR="007704DB">
          <w:rPr>
            <w:noProof/>
          </w:rPr>
          <w:t>Bergström, Eriksson et al. 1983</w:t>
        </w:r>
      </w:hyperlink>
      <w:r w:rsidR="00B82802">
        <w:rPr>
          <w:noProof/>
        </w:rPr>
        <w:t>)</w:t>
      </w:r>
      <w:r w:rsidR="009B6816" w:rsidRPr="006D283E">
        <w:fldChar w:fldCharType="end"/>
      </w:r>
      <w:r w:rsidR="003174BE">
        <w:t>.</w:t>
      </w:r>
      <w:r w:rsidRPr="006D283E">
        <w:t xml:space="preserve">  In this method, the scatter distribution is estimated through the convolution of a spatially dependent scatter “kernel” with the linear projections of the prompt </w:t>
      </w:r>
      <w:r w:rsidR="00FA43CB">
        <w:t>photo-peak</w:t>
      </w:r>
      <w:r w:rsidRPr="006D283E">
        <w:t xml:space="preserve"> data.  The resulting distribution profiles are then subtracted from the projections to yield scatter-free estimates of the data.  It works well in regions of relatively homogeneous density like the </w:t>
      </w:r>
      <w:r w:rsidRPr="006D283E">
        <w:lastRenderedPageBreak/>
        <w:t xml:space="preserve">brain.  This method was developed for 2D PET but </w:t>
      </w:r>
      <w:r w:rsidR="0033767A">
        <w:t>has been extended to 3D systems</w:t>
      </w:r>
      <w:r w:rsidRPr="006D283E">
        <w:t xml:space="preserve"> </w:t>
      </w:r>
      <w:r w:rsidR="009B6816" w:rsidRPr="006D283E">
        <w:fldChar w:fldCharType="begin"/>
      </w:r>
      <w:r w:rsidR="002D7C36">
        <w:instrText xml:space="preserve"> ADDIN EN.CITE &lt;EndNote&gt;&lt;Cite&gt;&lt;Author&gt;Bailey&lt;/Author&gt;&lt;Year&gt;1994&lt;/Year&gt;&lt;RecNum&gt;217&lt;/RecNum&gt;&lt;DisplayText&gt;(Bailey and Meikle 1994)&lt;/DisplayText&gt;&lt;record&gt;&lt;rec-number&gt;217&lt;/rec-number&gt;&lt;foreign-keys&gt;&lt;key app="EN" db-id="srwv9ppvvez5pgefxzi5ddeve5w2fe5x5esr"&gt;217&lt;/key&gt;&lt;/foreign-keys&gt;&lt;ref-type name="Journal Article"&gt;17&lt;/ref-type&gt;&lt;contributors&gt;&lt;authors&gt;&lt;author&gt;Bailey, DL&lt;/author&gt;&lt;author&gt;Meikle, SR&lt;/author&gt;&lt;/authors&gt;&lt;/contributors&gt;&lt;titles&gt;&lt;title&gt;A convolution-subtraction scatter correction method for 3D PET&lt;/title&gt;&lt;secondary-title&gt;Physics in Medicine and Biology&lt;/secondary-title&gt;&lt;/titles&gt;&lt;periodical&gt;&lt;full-title&gt;Physics in medicine and biology&lt;/full-title&gt;&lt;/periodical&gt;&lt;pages&gt;411&lt;/pages&gt;&lt;volume&gt;39&lt;/volume&gt;&lt;dates&gt;&lt;year&gt;1994&lt;/year&gt;&lt;/dates&gt;&lt;urls&gt;&lt;/urls&gt;&lt;/record&gt;&lt;/Cite&gt;&lt;/EndNote&gt;</w:instrText>
      </w:r>
      <w:r w:rsidR="009B6816" w:rsidRPr="006D283E">
        <w:fldChar w:fldCharType="separate"/>
      </w:r>
      <w:r w:rsidR="00B82802">
        <w:rPr>
          <w:noProof/>
        </w:rPr>
        <w:t>(</w:t>
      </w:r>
      <w:hyperlink w:anchor="_ENREF_5" w:tooltip="Bailey, 1994 #217" w:history="1">
        <w:r w:rsidR="007704DB">
          <w:rPr>
            <w:noProof/>
          </w:rPr>
          <w:t>Bailey and Meikle 1994</w:t>
        </w:r>
      </w:hyperlink>
      <w:r w:rsidR="00B82802">
        <w:rPr>
          <w:noProof/>
        </w:rPr>
        <w:t>)</w:t>
      </w:r>
      <w:r w:rsidR="009B6816" w:rsidRPr="006D283E">
        <w:fldChar w:fldCharType="end"/>
      </w:r>
      <w:r w:rsidR="0033767A">
        <w:t>.</w:t>
      </w:r>
    </w:p>
    <w:p w:rsidR="006D283E" w:rsidRPr="006D283E" w:rsidRDefault="006D283E" w:rsidP="006D283E">
      <w:pPr>
        <w:spacing w:line="480" w:lineRule="auto"/>
        <w:ind w:firstLine="720"/>
        <w:outlineLvl w:val="2"/>
      </w:pPr>
      <w:r w:rsidRPr="006D283E">
        <w:t xml:space="preserve">Modern 3D PET algorithms, however, most commonly use theoretical simulation techniques to correct for scatter.  They are arguably the most accurate scatter corrections, in that they attempt to realistically simulate the scattering process.  Scatter simulations model the distribution based on the underlying physics of </w:t>
      </w:r>
      <w:smartTag w:uri="urn:schemas-microsoft-com:office:smarttags" w:element="place">
        <w:smartTag w:uri="urn:schemas-microsoft-com:office:smarttags" w:element="City">
          <w:r w:rsidRPr="006D283E">
            <w:t>Compton</w:t>
          </w:r>
        </w:smartTag>
      </w:smartTag>
      <w:r w:rsidRPr="006D283E">
        <w:t xml:space="preserve"> scattering.  With an initial estimate of the emitter distribution and a map of the</w:t>
      </w:r>
      <w:r w:rsidR="00A7603F">
        <w:t xml:space="preserve"> linear attenuation coefficients of the</w:t>
      </w:r>
      <w:r w:rsidRPr="006D283E">
        <w:t xml:space="preserve"> attenuating material, Klein-Nishina calculations are used to accurately compute the scatter distribution </w:t>
      </w:r>
      <w:r w:rsidR="009B6816" w:rsidRPr="006D283E">
        <w:fldChar w:fldCharType="begin"/>
      </w:r>
      <w:r w:rsidR="002D7C36">
        <w:instrText xml:space="preserve"> ADDIN EN.CITE &lt;EndNote&gt;&lt;Cite&gt;&lt;Author&gt;Ollinger&lt;/Author&gt;&lt;Year&gt;1996&lt;/Year&gt;&lt;RecNum&gt;203&lt;/RecNum&gt;&lt;DisplayText&gt;(Ollinger 1996)&lt;/DisplayText&gt;&lt;record&gt;&lt;rec-number&gt;203&lt;/rec-number&gt;&lt;foreign-keys&gt;&lt;key app="EN" db-id="srwv9ppvvez5pgefxzi5ddeve5w2fe5x5esr"&gt;203&lt;/key&gt;&lt;/foreign-keys&gt;&lt;ref-type name="Journal Article"&gt;17&lt;/ref-type&gt;&lt;contributors&gt;&lt;authors&gt;&lt;author&gt;Ollinger, JM&lt;/author&gt;&lt;/authors&gt;&lt;/contributors&gt;&lt;titles&gt;&lt;title&gt;Model-based scatter correction for fully 3D PET&lt;/title&gt;&lt;secondary-title&gt;Physics in Medicine and Biology&lt;/secondary-title&gt;&lt;/titles&gt;&lt;periodical&gt;&lt;full-title&gt;Physics in medicine and biology&lt;/full-title&gt;&lt;/periodical&gt;&lt;pages&gt;153&lt;/pages&gt;&lt;volume&gt;41&lt;/volume&gt;&lt;dates&gt;&lt;year&gt;1996&lt;/year&gt;&lt;/dates&gt;&lt;urls&gt;&lt;/urls&gt;&lt;/record&gt;&lt;/Cite&gt;&lt;/EndNote&gt;</w:instrText>
      </w:r>
      <w:r w:rsidR="009B6816" w:rsidRPr="006D283E">
        <w:fldChar w:fldCharType="separate"/>
      </w:r>
      <w:r w:rsidR="00B82802">
        <w:rPr>
          <w:noProof/>
        </w:rPr>
        <w:t>(</w:t>
      </w:r>
      <w:hyperlink w:anchor="_ENREF_59" w:tooltip="Ollinger, 1996 #203" w:history="1">
        <w:r w:rsidR="007704DB">
          <w:rPr>
            <w:noProof/>
          </w:rPr>
          <w:t>Ollinger 1996</w:t>
        </w:r>
      </w:hyperlink>
      <w:r w:rsidR="00B82802">
        <w:rPr>
          <w:noProof/>
        </w:rPr>
        <w:t>)</w:t>
      </w:r>
      <w:r w:rsidR="009B6816" w:rsidRPr="006D283E">
        <w:fldChar w:fldCharType="end"/>
      </w:r>
      <w:r w:rsidR="001A53EE">
        <w:t>.</w:t>
      </w:r>
      <w:r w:rsidR="00A7603F">
        <w:t xml:space="preserve"> This map can be obtained by scaling the </w:t>
      </w:r>
      <w:r w:rsidR="005D07D1">
        <w:t>transmission images from the CT</w:t>
      </w:r>
      <w:r w:rsidR="0040191F">
        <w:t xml:space="preserve"> </w:t>
      </w:r>
      <w:r w:rsidR="009B6816">
        <w:fldChar w:fldCharType="begin"/>
      </w:r>
      <w:r w:rsidR="005D07D1">
        <w:instrText xml:space="preserve"> ADDIN EN.CITE &lt;EndNote&gt;&lt;Cite&gt;&lt;Author&gt;Beyer&lt;/Author&gt;&lt;Year&gt;1994&lt;/Year&gt;&lt;RecNum&gt;211&lt;/RecNum&gt;&lt;DisplayText&gt;(Beyer, Kinahan et al. 1994)&lt;/DisplayText&gt;&lt;record&gt;&lt;rec-number&gt;211&lt;/rec-number&gt;&lt;foreign-keys&gt;&lt;key app="EN" db-id="srwv9ppvvez5pgefxzi5ddeve5w2fe5x5esr"&gt;211&lt;/key&gt;&lt;/foreign-keys&gt;&lt;ref-type name="Conference Proceedings"&gt;10&lt;/ref-type&gt;&lt;contributors&gt;&lt;authors&gt;&lt;author&gt;Beyer, T&lt;/author&gt;&lt;author&gt;Kinahan, PE&lt;/author&gt;&lt;author&gt;Townsend, DW&lt;/author&gt;&lt;author&gt;Sashin, D&lt;/author&gt;&lt;/authors&gt;&lt;/contributors&gt;&lt;titles&gt;&lt;title&gt;The use of X-ray CT for attenuation correction of PET data&lt;/title&gt;&lt;/titles&gt;&lt;pages&gt;1573-1577&lt;/pages&gt;&lt;volume&gt;4&lt;/volume&gt;&lt;dates&gt;&lt;year&gt;1994&lt;/year&gt;&lt;/dates&gt;&lt;publisher&gt;IEEE&lt;/publisher&gt;&lt;isbn&gt;0780325443&lt;/isbn&gt;&lt;urls&gt;&lt;/urls&gt;&lt;/record&gt;&lt;/Cite&gt;&lt;/EndNote&gt;</w:instrText>
      </w:r>
      <w:r w:rsidR="009B6816">
        <w:fldChar w:fldCharType="separate"/>
      </w:r>
      <w:r w:rsidR="005D07D1">
        <w:rPr>
          <w:noProof/>
        </w:rPr>
        <w:t>(</w:t>
      </w:r>
      <w:hyperlink w:anchor="_ENREF_12" w:tooltip="Beyer, 1994 #211" w:history="1">
        <w:r w:rsidR="007704DB">
          <w:rPr>
            <w:noProof/>
          </w:rPr>
          <w:t>Beyer, Kinahan et al. 1994</w:t>
        </w:r>
      </w:hyperlink>
      <w:r w:rsidR="005D07D1">
        <w:rPr>
          <w:noProof/>
        </w:rPr>
        <w:t>)</w:t>
      </w:r>
      <w:r w:rsidR="009B6816">
        <w:fldChar w:fldCharType="end"/>
      </w:r>
      <w:r w:rsidR="005D07D1">
        <w:t>.</w:t>
      </w:r>
    </w:p>
    <w:p w:rsidR="006D283E" w:rsidRPr="006D283E" w:rsidRDefault="006D283E" w:rsidP="006D283E">
      <w:pPr>
        <w:spacing w:line="480" w:lineRule="auto"/>
        <w:ind w:firstLine="720"/>
        <w:outlineLvl w:val="2"/>
      </w:pPr>
      <w:r w:rsidRPr="006D283E">
        <w:t xml:space="preserve">Monte Carlo simulation is widely used to model scatter and provides the most complete realization of the physical effects associated with it.  This technique </w:t>
      </w:r>
      <w:r w:rsidR="00250C0D">
        <w:t xml:space="preserve">is used for both </w:t>
      </w:r>
      <w:r w:rsidRPr="006D283E">
        <w:t>for the correction</w:t>
      </w:r>
      <w:r w:rsidR="00250C0D">
        <w:t xml:space="preserve"> and for the evaluation of the correction</w:t>
      </w:r>
      <w:r w:rsidRPr="006D283E">
        <w:t xml:space="preserve">, but it is currently too slow to be used clinically and is limited to research applications.  Instead of accounting for all scattering interactions, the model can be simplified by considering only single scatter events, i.e. events where just one photon of the pair is scattered only once </w:t>
      </w:r>
      <w:r w:rsidR="009B6816" w:rsidRPr="006D283E">
        <w:fldChar w:fldCharType="begin"/>
      </w:r>
      <w:r w:rsidR="002D7C36">
        <w:instrText xml:space="preserve"> ADDIN EN.CITE &lt;EndNote&gt;&lt;Cite&gt;&lt;Author&gt;Watson&lt;/Author&gt;&lt;Year&gt;1996&lt;/Year&gt;&lt;RecNum&gt;153&lt;/RecNum&gt;&lt;DisplayText&gt;(Watson, Newport et al. 1996)&lt;/DisplayText&gt;&lt;record&gt;&lt;rec-number&gt;153&lt;/rec-number&gt;&lt;foreign-keys&gt;&lt;key app="EN" db-id="srwv9ppvvez5pgefxzi5ddeve5w2fe5x5esr"&gt;153&lt;/key&gt;&lt;/foreign-keys&gt;&lt;ref-type name="Journal Article"&gt;17&lt;/ref-type&gt;&lt;contributors&gt;&lt;authors&gt;&lt;author&gt;Watson, CC&lt;/author&gt;&lt;author&gt;Newport, D&lt;/author&gt;&lt;author&gt;Casey, ME&lt;/author&gt;&lt;/authors&gt;&lt;/contributors&gt;&lt;titles&gt;&lt;title&gt;A single scatter simulation technique for scatter correction in 3D PET&lt;/title&gt;&lt;secondary-title&gt;Three-Dimensional Image Reconstruction in Radiology and Nuclear Medicine&lt;/secondary-title&gt;&lt;/titles&gt;&lt;pages&gt;255–68&lt;/pages&gt;&lt;volume&gt;4&lt;/volume&gt;&lt;dates&gt;&lt;year&gt;1996&lt;/year&gt;&lt;/dates&gt;&lt;urls&gt;&lt;/urls&gt;&lt;/record&gt;&lt;/Cite&gt;&lt;/EndNote&gt;</w:instrText>
      </w:r>
      <w:r w:rsidR="009B6816" w:rsidRPr="006D283E">
        <w:fldChar w:fldCharType="separate"/>
      </w:r>
      <w:r w:rsidR="00B82802">
        <w:rPr>
          <w:noProof/>
        </w:rPr>
        <w:t>(</w:t>
      </w:r>
      <w:hyperlink w:anchor="_ENREF_87" w:tooltip="Watson, 1996 #153" w:history="1">
        <w:r w:rsidR="007704DB">
          <w:rPr>
            <w:noProof/>
          </w:rPr>
          <w:t>Watson, Newport et al. 1996</w:t>
        </w:r>
      </w:hyperlink>
      <w:r w:rsidR="00B82802">
        <w:rPr>
          <w:noProof/>
        </w:rPr>
        <w:t>)</w:t>
      </w:r>
      <w:r w:rsidR="009B6816" w:rsidRPr="006D283E">
        <w:fldChar w:fldCharType="end"/>
      </w:r>
      <w:r w:rsidR="00E71602">
        <w:t>.</w:t>
      </w:r>
      <w:r w:rsidRPr="006D283E">
        <w:t xml:space="preserve">  This simplification is reasonable since it has been shown that 75-80% of scattered coincidences are due to these single scatter events </w:t>
      </w:r>
      <w:r w:rsidR="009B6816" w:rsidRPr="006D283E">
        <w:fldChar w:fldCharType="begin"/>
      </w:r>
      <w:r w:rsidR="002D7C36">
        <w:instrText xml:space="preserve"> ADDIN EN.CITE &lt;EndNote&gt;&lt;Cite&gt;&lt;Author&gt;Barney&lt;/Author&gt;&lt;Year&gt;1991&lt;/Year&gt;&lt;RecNum&gt;220&lt;/RecNum&gt;&lt;DisplayText&gt;(Barney, Rogers et al. 1991)&lt;/DisplayText&gt;&lt;record&gt;&lt;rec-number&gt;220&lt;/rec-number&gt;&lt;foreign-keys&gt;&lt;key app="EN" db-id="srwv9ppvvez5pgefxzi5ddeve5w2fe5x5esr"&gt;220&lt;/key&gt;&lt;/foreign-keys&gt;&lt;ref-type name="Journal Article"&gt;17&lt;/ref-type&gt;&lt;contributors&gt;&lt;authors&gt;&lt;author&gt;Barney, JS&lt;/author&gt;&lt;author&gt;Rogers, JG&lt;/author&gt;&lt;author&gt;Harrop, R&lt;/author&gt;&lt;author&gt;Hoverath, H&lt;/author&gt;&lt;/authors&gt;&lt;/contributors&gt;&lt;titles&gt;&lt;title&gt;Object shape dependent scatter simulations for PET&lt;/title&gt;&lt;secondary-title&gt;Nuclear Science, IEEE Transactions on&lt;/secondary-title&gt;&lt;/titles&gt;&lt;periodical&gt;&lt;full-title&gt;Nuclear Science, IEEE Transactions on&lt;/full-title&gt;&lt;/periodical&gt;&lt;pages&gt;719-725&lt;/pages&gt;&lt;volume&gt;38&lt;/volume&gt;&lt;number&gt;2&lt;/number&gt;&lt;dates&gt;&lt;year&gt;1991&lt;/year&gt;&lt;/dates&gt;&lt;isbn&gt;0018-9499&lt;/isbn&gt;&lt;urls&gt;&lt;/urls&gt;&lt;/record&gt;&lt;/Cite&gt;&lt;/EndNote&gt;</w:instrText>
      </w:r>
      <w:r w:rsidR="009B6816" w:rsidRPr="006D283E">
        <w:fldChar w:fldCharType="separate"/>
      </w:r>
      <w:r w:rsidR="00B82802">
        <w:rPr>
          <w:noProof/>
        </w:rPr>
        <w:t>(</w:t>
      </w:r>
      <w:hyperlink w:anchor="_ENREF_6" w:tooltip="Barney, 1991 #220" w:history="1">
        <w:r w:rsidR="007704DB">
          <w:rPr>
            <w:noProof/>
          </w:rPr>
          <w:t>Barney, Rogers et al. 1991</w:t>
        </w:r>
      </w:hyperlink>
      <w:r w:rsidR="00B82802">
        <w:rPr>
          <w:noProof/>
        </w:rPr>
        <w:t>)</w:t>
      </w:r>
      <w:r w:rsidR="009B6816" w:rsidRPr="006D283E">
        <w:fldChar w:fldCharType="end"/>
      </w:r>
      <w:r w:rsidR="00816F81">
        <w:t>.</w:t>
      </w:r>
      <w:r w:rsidRPr="006D283E">
        <w:t xml:space="preserve">  It is further justified b</w:t>
      </w:r>
      <w:r w:rsidR="00250C0D">
        <w:t>y the fact that multiple scatters, unlike single scatter, are not highly correlated with the underlying emission distribution</w:t>
      </w:r>
      <w:r w:rsidRPr="006D283E">
        <w:t>.</w:t>
      </w:r>
    </w:p>
    <w:p w:rsidR="007D4649" w:rsidRDefault="006D283E" w:rsidP="007D4649">
      <w:pPr>
        <w:numPr>
          <w:ilvl w:val="12"/>
          <w:numId w:val="0"/>
        </w:numPr>
        <w:spacing w:line="480" w:lineRule="auto"/>
        <w:ind w:firstLine="720"/>
      </w:pPr>
      <w:r w:rsidRPr="006D283E">
        <w:t xml:space="preserve">The single scatter simulation (SSS) calculation relies on a volume integral of a scattering kernel over the body, using the relationship between an initial </w:t>
      </w:r>
      <w:proofErr w:type="gramStart"/>
      <w:r w:rsidRPr="006D283E">
        <w:t>estimate</w:t>
      </w:r>
      <w:proofErr w:type="gramEnd"/>
      <w:r w:rsidRPr="006D283E">
        <w:t xml:space="preserve"> of the </w:t>
      </w:r>
      <w:r w:rsidRPr="006D283E">
        <w:lastRenderedPageBreak/>
        <w:t>activity distribution volume,</w:t>
      </w:r>
      <w:r w:rsidRPr="006D283E">
        <w:rPr>
          <w:vertAlign w:val="superscript"/>
        </w:rPr>
        <w:footnoteReference w:id="4"/>
      </w:r>
      <w:r w:rsidRPr="006D283E">
        <w:t xml:space="preserve"> the reconstructed attenuation volume, and </w:t>
      </w:r>
      <w:smartTag w:uri="urn:schemas-microsoft-com:office:smarttags" w:element="place">
        <w:smartTag w:uri="urn:schemas-microsoft-com:office:smarttags" w:element="City">
          <w:r w:rsidRPr="006D283E">
            <w:t>Compton</w:t>
          </w:r>
        </w:smartTag>
      </w:smartTag>
      <w:r w:rsidRPr="006D283E">
        <w:t xml:space="preserve"> scattering cross-sections calculated from the Klein-Nishina formula.  The scatter contribution is calculated for every LOR across all possible scattering points in the FOV.  A faster method has been proposed that is better suited to clinical application </w:t>
      </w:r>
      <w:r w:rsidR="009B6816" w:rsidRPr="006D283E">
        <w:fldChar w:fldCharType="begin"/>
      </w:r>
      <w:r w:rsidR="002D7C36">
        <w:instrText xml:space="preserve"> ADDIN EN.CITE &lt;EndNote&gt;&lt;Cite&gt;&lt;Author&gt;Watson&lt;/Author&gt;&lt;Year&gt;2000&lt;/Year&gt;&lt;RecNum&gt;204&lt;/RecNum&gt;&lt;DisplayText&gt;(Watson 2000)&lt;/DisplayText&gt;&lt;record&gt;&lt;rec-number&gt;204&lt;/rec-number&gt;&lt;foreign-keys&gt;&lt;key app="EN" db-id="srwv9ppvvez5pgefxzi5ddeve5w2fe5x5esr"&gt;204&lt;/key&gt;&lt;/foreign-keys&gt;&lt;ref-type name="Journal Article"&gt;17&lt;/ref-type&gt;&lt;contributors&gt;&lt;authors&gt;&lt;author&gt;Watson, CC&lt;/author&gt;&lt;/authors&gt;&lt;/contributors&gt;&lt;titles&gt;&lt;title&gt;New, faster, image-based scatter correction for 3D PET&lt;/title&gt;&lt;secondary-title&gt;Nuclear Science, IEEE Transactions on&lt;/secondary-title&gt;&lt;/titles&gt;&lt;periodical&gt;&lt;full-title&gt;Nuclear Science, IEEE Transactions on&lt;/full-title&gt;&lt;/periodical&gt;&lt;pages&gt;1587-1594&lt;/pages&gt;&lt;volume&gt;47&lt;/volume&gt;&lt;number&gt;4&lt;/number&gt;&lt;dates&gt;&lt;year&gt;2000&lt;/year&gt;&lt;/dates&gt;&lt;isbn&gt;0018-9499&lt;/isbn&gt;&lt;urls&gt;&lt;/urls&gt;&lt;/record&gt;&lt;/Cite&gt;&lt;/EndNote&gt;</w:instrText>
      </w:r>
      <w:r w:rsidR="009B6816" w:rsidRPr="006D283E">
        <w:fldChar w:fldCharType="separate"/>
      </w:r>
      <w:r w:rsidR="00B82802">
        <w:rPr>
          <w:noProof/>
        </w:rPr>
        <w:t>(</w:t>
      </w:r>
      <w:hyperlink w:anchor="_ENREF_86" w:tooltip="Watson, 2000 #204" w:history="1">
        <w:r w:rsidR="007704DB">
          <w:rPr>
            <w:noProof/>
          </w:rPr>
          <w:t>Watson 2000</w:t>
        </w:r>
      </w:hyperlink>
      <w:r w:rsidR="00B82802">
        <w:rPr>
          <w:noProof/>
        </w:rPr>
        <w:t>)</w:t>
      </w:r>
      <w:r w:rsidR="009B6816" w:rsidRPr="006D283E">
        <w:fldChar w:fldCharType="end"/>
      </w:r>
      <w:r w:rsidR="006E1167">
        <w:t>.</w:t>
      </w:r>
      <w:r w:rsidRPr="006D283E">
        <w:t xml:space="preserve">  With this method, fewer LORs are used in the calculation and continuity is replaced by discrete sampling of the volume data.  The sample points are relative to the transaxial FOV (not the patient) and, since the scatter distribution is relatively smooth, the sampling can be fairly coarse (around 2 cm) without much loss of accuracy.  This coarse-scatter sinogram is then interpolated to account for the missing data.  Speed is further improved by reusing computed ray sums through the object since scatter calculations in multiple LORs may involve the same photon travel paths </w:t>
      </w:r>
      <w:r w:rsidR="009B6816" w:rsidRPr="006D283E">
        <w:fldChar w:fldCharType="begin"/>
      </w:r>
      <w:r w:rsidR="002D7C36">
        <w:instrText xml:space="preserve"> ADDIN EN.CITE &lt;EndNote&gt;&lt;Cite&gt;&lt;Author&gt;Mumcuoglu&lt;/Author&gt;&lt;Year&gt;1996&lt;/Year&gt;&lt;RecNum&gt;221&lt;/RecNum&gt;&lt;DisplayText&gt;(Mumcuoglu, Leahy et al. 1996)&lt;/DisplayText&gt;&lt;record&gt;&lt;rec-number&gt;221&lt;/rec-number&gt;&lt;foreign-keys&gt;&lt;key app="EN" db-id="srwv9ppvvez5pgefxzi5ddeve5w2fe5x5esr"&gt;221&lt;/key&gt;&lt;/foreign-keys&gt;&lt;ref-type name="Journal Article"&gt;17&lt;/ref-type&gt;&lt;contributors&gt;&lt;authors&gt;&lt;author&gt;Mumcuoglu, EÜ&lt;/author&gt;&lt;author&gt;Leahy, RM&lt;/author&gt;&lt;author&gt;Cherry, SR&lt;/author&gt;&lt;/authors&gt;&lt;/contributors&gt;&lt;titles&gt;&lt;title&gt;Bayesian reconstruction of PET images: methodology and performance analysis&lt;/title&gt;&lt;secondary-title&gt;Physics in Medicine and Biology&lt;/secondary-title&gt;&lt;/titles&gt;&lt;periodical&gt;&lt;full-title&gt;Physics in medicine and biology&lt;/full-title&gt;&lt;/periodical&gt;&lt;pages&gt;1777&lt;/pages&gt;&lt;volume&gt;41&lt;/volume&gt;&lt;dates&gt;&lt;year&gt;1996&lt;/year&gt;&lt;/dates&gt;&lt;urls&gt;&lt;/urls&gt;&lt;/record&gt;&lt;/Cite&gt;&lt;Cite&gt;&lt;Author&gt;Mumcuoglu&lt;/Author&gt;&lt;Year&gt;1996&lt;/Year&gt;&lt;RecNum&gt;221&lt;/RecNum&gt;&lt;record&gt;&lt;rec-number&gt;221&lt;/rec-number&gt;&lt;foreign-keys&gt;&lt;key app="EN" db-id="srwv9ppvvez5pgefxzi5ddeve5w2fe5x5esr"&gt;221&lt;/key&gt;&lt;/foreign-keys&gt;&lt;ref-type name="Journal Article"&gt;17&lt;/ref-type&gt;&lt;contributors&gt;&lt;authors&gt;&lt;author&gt;Mumcuoglu, EÜ&lt;/author&gt;&lt;author&gt;Leahy, RM&lt;/author&gt;&lt;author&gt;Cherry, SR&lt;/author&gt;&lt;/authors&gt;&lt;/contributors&gt;&lt;titles&gt;&lt;title&gt;Bayesian reconstruction of PET images: methodology and performance analysis&lt;/title&gt;&lt;secondary-title&gt;Physics in Medicine and Biology&lt;/secondary-title&gt;&lt;/titles&gt;&lt;periodical&gt;&lt;full-title&gt;Physics in medicine and biology&lt;/full-title&gt;&lt;/periodical&gt;&lt;pages&gt;1777&lt;/pages&gt;&lt;volume&gt;41&lt;/volume&gt;&lt;dates&gt;&lt;year&gt;1996&lt;/year&gt;&lt;/dates&gt;&lt;urls&gt;&lt;/urls&gt;&lt;/record&gt;&lt;/Cite&gt;&lt;/EndNote&gt;</w:instrText>
      </w:r>
      <w:r w:rsidR="009B6816" w:rsidRPr="006D283E">
        <w:fldChar w:fldCharType="separate"/>
      </w:r>
      <w:r w:rsidR="00B82802">
        <w:rPr>
          <w:noProof/>
        </w:rPr>
        <w:t>(</w:t>
      </w:r>
      <w:hyperlink w:anchor="_ENREF_56" w:tooltip="Mumcuoglu, 1996 #221" w:history="1">
        <w:r w:rsidR="007704DB">
          <w:rPr>
            <w:noProof/>
          </w:rPr>
          <w:t>Mumcuoglu, Leahy et al. 1996</w:t>
        </w:r>
      </w:hyperlink>
      <w:r w:rsidR="00B82802">
        <w:rPr>
          <w:noProof/>
        </w:rPr>
        <w:t>)</w:t>
      </w:r>
      <w:r w:rsidR="009B6816" w:rsidRPr="006D283E">
        <w:fldChar w:fldCharType="end"/>
      </w:r>
      <w:r w:rsidR="006E1167">
        <w:t>.</w:t>
      </w:r>
      <w:r w:rsidRPr="006D283E">
        <w:t xml:space="preserve">  Accuracy is further improved by iterating the scatter calculation, i.e. with each </w:t>
      </w:r>
      <w:proofErr w:type="gramStart"/>
      <w:r w:rsidRPr="006D283E">
        <w:t>iteration,</w:t>
      </w:r>
      <w:proofErr w:type="gramEnd"/>
      <w:r w:rsidRPr="006D283E">
        <w:t xml:space="preserve"> the previously corrected emission is used in the calculation. </w:t>
      </w:r>
    </w:p>
    <w:p w:rsidR="007D4649" w:rsidRPr="00456B77" w:rsidRDefault="007D4649" w:rsidP="00456B77">
      <w:pPr>
        <w:pStyle w:val="Heading3"/>
      </w:pPr>
      <w:bookmarkStart w:id="31" w:name="_Toc351889995"/>
      <w:r w:rsidRPr="00456B77">
        <w:t>Attenuation</w:t>
      </w:r>
      <w:bookmarkEnd w:id="31"/>
    </w:p>
    <w:p w:rsidR="007D4649" w:rsidRPr="007D4649" w:rsidRDefault="007D4649" w:rsidP="007D4649"/>
    <w:p w:rsidR="00D341DC" w:rsidRDefault="006D283E" w:rsidP="006D283E">
      <w:pPr>
        <w:spacing w:line="480" w:lineRule="auto"/>
        <w:ind w:firstLine="720"/>
        <w:outlineLvl w:val="2"/>
      </w:pPr>
      <w:proofErr w:type="gramStart"/>
      <w:r w:rsidRPr="006D283E">
        <w:t xml:space="preserve">Compton scattering results in </w:t>
      </w:r>
      <w:r w:rsidR="00AE3DA3">
        <w:t xml:space="preserve">511keV </w:t>
      </w:r>
      <w:r w:rsidRPr="006D283E">
        <w:t>photon attenuation along each LOR.</w:t>
      </w:r>
      <w:proofErr w:type="gramEnd"/>
      <w:r w:rsidRPr="006D283E">
        <w:t xml:space="preserve">  It is directly related to the amount of matter (tissue) along the LOR, so attenuation is a bigger problem in larger patients.  </w:t>
      </w:r>
      <w:r w:rsidR="00D341DC">
        <w:t>Illustrated below, the</w:t>
      </w:r>
      <w:r w:rsidRPr="006D283E">
        <w:t xml:space="preserve"> loss of count data results in reduced image contrast and detail for internal features, especially those lying deep inside the subject.  </w:t>
      </w:r>
    </w:p>
    <w:p w:rsidR="0086578D" w:rsidRDefault="0086578D" w:rsidP="006D283E">
      <w:pPr>
        <w:spacing w:line="480" w:lineRule="auto"/>
        <w:ind w:firstLine="720"/>
        <w:outlineLvl w:val="2"/>
      </w:pPr>
    </w:p>
    <w:p w:rsidR="00D341DC" w:rsidRDefault="00AA6E06" w:rsidP="00BC422B">
      <w:pPr>
        <w:spacing w:line="480" w:lineRule="auto"/>
        <w:ind w:firstLine="720"/>
        <w:outlineLvl w:val="2"/>
      </w:pPr>
      <w:r>
        <w:rPr>
          <w:noProof/>
        </w:rPr>
        <w:lastRenderedPageBreak/>
        <w:drawing>
          <wp:inline distT="0" distB="0" distL="0" distR="0">
            <wp:extent cx="2988945" cy="2115185"/>
            <wp:effectExtent l="19050" t="0" r="1905"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2988945" cy="2115185"/>
                    </a:xfrm>
                    <a:prstGeom prst="rect">
                      <a:avLst/>
                    </a:prstGeom>
                    <a:noFill/>
                    <a:ln w="9525">
                      <a:noFill/>
                      <a:miter lim="800000"/>
                      <a:headEnd/>
                      <a:tailEnd/>
                    </a:ln>
                  </pic:spPr>
                </pic:pic>
              </a:graphicData>
            </a:graphic>
          </wp:inline>
        </w:drawing>
      </w:r>
    </w:p>
    <w:p w:rsidR="00D341DC" w:rsidRDefault="00D341DC" w:rsidP="0084023C">
      <w:pPr>
        <w:pStyle w:val="Caption"/>
      </w:pPr>
      <w:bookmarkStart w:id="32" w:name="_Toc351890051"/>
      <w:proofErr w:type="gramStart"/>
      <w:r>
        <w:t xml:space="preserve">Figure </w:t>
      </w:r>
      <w:r w:rsidR="009B6816">
        <w:fldChar w:fldCharType="begin"/>
      </w:r>
      <w:r w:rsidR="00EE0740">
        <w:instrText xml:space="preserve"> SEQ Figure \* ARABIC </w:instrText>
      </w:r>
      <w:r w:rsidR="009B6816">
        <w:fldChar w:fldCharType="separate"/>
      </w:r>
      <w:r w:rsidR="005B6C27">
        <w:rPr>
          <w:noProof/>
        </w:rPr>
        <w:t>10</w:t>
      </w:r>
      <w:r w:rsidR="009B6816">
        <w:fldChar w:fldCharType="end"/>
      </w:r>
      <w:r>
        <w:t>.</w:t>
      </w:r>
      <w:proofErr w:type="gramEnd"/>
      <w:r>
        <w:t xml:space="preserve"> </w:t>
      </w:r>
      <w:r w:rsidR="00585CEB">
        <w:t>Attenuation reduces information about internal structure; the image reconstructed with corrected data is shown on the right</w:t>
      </w:r>
      <w:bookmarkEnd w:id="32"/>
    </w:p>
    <w:p w:rsidR="0086578D" w:rsidRDefault="0086578D" w:rsidP="006D283E">
      <w:pPr>
        <w:spacing w:line="480" w:lineRule="auto"/>
        <w:ind w:firstLine="720"/>
        <w:outlineLvl w:val="2"/>
      </w:pPr>
    </w:p>
    <w:p w:rsidR="00D57E8C" w:rsidRDefault="00D57E8C" w:rsidP="006D283E">
      <w:pPr>
        <w:spacing w:line="480" w:lineRule="auto"/>
        <w:ind w:firstLine="720"/>
        <w:outlineLvl w:val="2"/>
      </w:pPr>
      <w:r>
        <w:t xml:space="preserve">With PET, the photon attenuation for each LOR is independent of the location of the </w:t>
      </w:r>
      <w:r w:rsidR="00296609">
        <w:t>annihilation</w:t>
      </w:r>
      <w:r w:rsidR="00BC34A2">
        <w:t xml:space="preserve">.  A correction factor </w:t>
      </w:r>
      <w:r w:rsidR="005737DC">
        <w:t>is</w:t>
      </w:r>
      <w:r w:rsidR="00BC34A2">
        <w:t xml:space="preserve"> therefore assigned to each LOR, proportional to the total attenuation along that line</w:t>
      </w:r>
      <w:r w:rsidR="0030235C">
        <w:t xml:space="preserve">.  The coefficients are </w:t>
      </w:r>
      <w:r w:rsidR="005737DC">
        <w:t xml:space="preserve">termed </w:t>
      </w:r>
      <w:r w:rsidR="0030235C">
        <w:t>attenuation correction factors (ACF) and</w:t>
      </w:r>
      <w:r w:rsidR="00BC34A2">
        <w:t xml:space="preserve"> </w:t>
      </w:r>
      <w:r w:rsidR="0030235C">
        <w:t>stored</w:t>
      </w:r>
      <w:r w:rsidR="00BC34A2">
        <w:t xml:space="preserve"> in a matrix similar to the emission sinogram.  </w:t>
      </w:r>
      <w:r w:rsidR="00BC34A2" w:rsidRPr="00BC34A2">
        <w:t xml:space="preserve">In the simplest sense, attenuation correction is the multiplication of the PET projection data with the ACF </w:t>
      </w:r>
      <w:r w:rsidR="00BC34A2">
        <w:t>sinogram</w:t>
      </w:r>
      <w:r w:rsidR="00BC34A2" w:rsidRPr="00BC34A2">
        <w:t xml:space="preserve">.  </w:t>
      </w:r>
    </w:p>
    <w:p w:rsidR="006D283E" w:rsidRPr="006D283E" w:rsidRDefault="006D283E" w:rsidP="006D283E">
      <w:pPr>
        <w:spacing w:line="480" w:lineRule="auto"/>
        <w:ind w:firstLine="720"/>
        <w:outlineLvl w:val="2"/>
      </w:pPr>
      <w:r w:rsidRPr="006D283E">
        <w:t xml:space="preserve">Before the introduction of hybrid PET/CT, ACF </w:t>
      </w:r>
      <w:r w:rsidR="00637857">
        <w:t>sinograms</w:t>
      </w:r>
      <w:r w:rsidRPr="006D283E">
        <w:t xml:space="preserve"> were generated using a 511keV photon transmission scan of the subject prior to the emission measurement.</w:t>
      </w:r>
      <w:r w:rsidR="00637857">
        <w:t xml:space="preserve"> The ACFs are calculated as the ratio of the transmission scan to a blank scan - a scan acquired with no patient in the field-of-view.  The blank and transmission scans were acquired by </w:t>
      </w:r>
      <w:r w:rsidRPr="006D283E">
        <w:t xml:space="preserve">rotating a line source of </w:t>
      </w:r>
      <w:r w:rsidR="00637857">
        <w:t>positron activity</w:t>
      </w:r>
      <w:r w:rsidRPr="006D283E">
        <w:t xml:space="preserve"> (usually </w:t>
      </w:r>
      <w:r w:rsidRPr="006D283E">
        <w:rPr>
          <w:vertAlign w:val="superscript"/>
        </w:rPr>
        <w:t>68</w:t>
      </w:r>
      <w:r w:rsidRPr="006D283E">
        <w:t xml:space="preserve">Ge) around the patient to provide information about tissue density.  Sinogram windowing and data from the subsequent </w:t>
      </w:r>
      <w:r w:rsidRPr="006D283E">
        <w:lastRenderedPageBreak/>
        <w:t xml:space="preserve">emission measurement were used to remove most of the emission counts from the transmission data.  Furthermore, FDG studies have relatively low count rates, and there is little increase in noise in the correction due to emission activity </w:t>
      </w:r>
      <w:r w:rsidR="009B6816" w:rsidRPr="006D283E">
        <w:fldChar w:fldCharType="begin"/>
      </w:r>
      <w:r w:rsidR="002D7C36">
        <w:instrText xml:space="preserve"> ADDIN EN.CITE &lt;EndNote&gt;&lt;Cite&gt;&lt;Author&gt;Carson&lt;/Author&gt;&lt;Year&gt;1988&lt;/Year&gt;&lt;RecNum&gt;207&lt;/RecNum&gt;&lt;DisplayText&gt;(Carson, Daube-Witherspoon et al. 1988)&lt;/DisplayText&gt;&lt;record&gt;&lt;rec-number&gt;207&lt;/rec-number&gt;&lt;foreign-keys&gt;&lt;key app="EN" db-id="srwv9ppvvez5pgefxzi5ddeve5w2fe5x5esr"&gt;207&lt;/key&gt;&lt;/foreign-keys&gt;&lt;ref-type name="Journal Article"&gt;17&lt;/ref-type&gt;&lt;contributors&gt;&lt;authors&gt;&lt;author&gt;Carson, RE&lt;/author&gt;&lt;author&gt;Daube-Witherspoon, ME&lt;/author&gt;&lt;author&gt;Green, MV&lt;/author&gt;&lt;/authors&gt;&lt;/contributors&gt;&lt;titles&gt;&lt;title&gt;A method for postinjection PET transmission measurements with a rotating source&lt;/title&gt;&lt;secondary-title&gt;Journal of Nuclear Medicine&lt;/secondary-title&gt;&lt;/titles&gt;&lt;periodical&gt;&lt;full-title&gt;Journal of Nuclear Medicine&lt;/full-title&gt;&lt;/periodical&gt;&lt;pages&gt;1558&lt;/pages&gt;&lt;volume&gt;29&lt;/volume&gt;&lt;number&gt;9&lt;/number&gt;&lt;dates&gt;&lt;year&gt;1988&lt;/year&gt;&lt;/dates&gt;&lt;urls&gt;&lt;/urls&gt;&lt;/record&gt;&lt;/Cite&gt;&lt;Cite&gt;&lt;Author&gt;Carson&lt;/Author&gt;&lt;Year&gt;1988&lt;/Year&gt;&lt;RecNum&gt;207&lt;/RecNum&gt;&lt;record&gt;&lt;rec-number&gt;207&lt;/rec-number&gt;&lt;foreign-keys&gt;&lt;key app="EN" db-id="srwv9ppvvez5pgefxzi5ddeve5w2fe5x5esr"&gt;207&lt;/key&gt;&lt;/foreign-keys&gt;&lt;ref-type name="Journal Article"&gt;17&lt;/ref-type&gt;&lt;contributors&gt;&lt;authors&gt;&lt;author&gt;Carson, RE&lt;/author&gt;&lt;author&gt;Daube-Witherspoon, ME&lt;/author&gt;&lt;author&gt;Green, MV&lt;/author&gt;&lt;/authors&gt;&lt;/contributors&gt;&lt;titles&gt;&lt;title&gt;A method for postinjection PET transmission measurements with a rotating source&lt;/title&gt;&lt;secondary-title&gt;Journal of Nuclear Medicine&lt;/secondary-title&gt;&lt;/titles&gt;&lt;periodical&gt;&lt;full-title&gt;Journal of Nuclear Medicine&lt;/full-title&gt;&lt;/periodical&gt;&lt;pages&gt;1558&lt;/pages&gt;&lt;volume&gt;29&lt;/volume&gt;&lt;number&gt;9&lt;/number&gt;&lt;dates&gt;&lt;year&gt;1988&lt;/year&gt;&lt;/dates&gt;&lt;urls&gt;&lt;/urls&gt;&lt;/record&gt;&lt;/Cite&gt;&lt;/EndNote&gt;</w:instrText>
      </w:r>
      <w:r w:rsidR="009B6816" w:rsidRPr="006D283E">
        <w:fldChar w:fldCharType="separate"/>
      </w:r>
      <w:r w:rsidR="00B82802">
        <w:rPr>
          <w:noProof/>
        </w:rPr>
        <w:t>(</w:t>
      </w:r>
      <w:hyperlink w:anchor="_ENREF_21" w:tooltip="Carson, 1988 #207" w:history="1">
        <w:r w:rsidR="007704DB">
          <w:rPr>
            <w:noProof/>
          </w:rPr>
          <w:t>Carson, Daube-Witherspoon et al. 1988</w:t>
        </w:r>
      </w:hyperlink>
      <w:r w:rsidR="00B82802">
        <w:rPr>
          <w:noProof/>
        </w:rPr>
        <w:t>)</w:t>
      </w:r>
      <w:r w:rsidR="009B6816" w:rsidRPr="006D283E">
        <w:fldChar w:fldCharType="end"/>
      </w:r>
      <w:r w:rsidR="00757811">
        <w:t>.</w:t>
      </w:r>
      <w:r w:rsidRPr="006D283E">
        <w:t xml:space="preserve">  These methods produced accurate ACF maps, but required increased patient time in the scanner.</w:t>
      </w:r>
    </w:p>
    <w:p w:rsidR="006D283E" w:rsidRDefault="006D283E" w:rsidP="006D283E">
      <w:pPr>
        <w:spacing w:line="480" w:lineRule="auto"/>
        <w:ind w:firstLine="720"/>
        <w:outlineLvl w:val="2"/>
      </w:pPr>
      <w:r w:rsidRPr="006D283E">
        <w:t xml:space="preserve">With the combination of PET and CT, it is possible to generate </w:t>
      </w:r>
      <w:r w:rsidR="00637857">
        <w:t xml:space="preserve">ACFs </w:t>
      </w:r>
      <w:r w:rsidRPr="006D283E">
        <w:t xml:space="preserve">using the CT transmission scan.   It is no longer necessary to include PET transmission </w:t>
      </w:r>
      <w:r w:rsidR="00637857">
        <w:t>sources</w:t>
      </w:r>
      <w:r w:rsidRPr="006D283E">
        <w:t xml:space="preserve"> with the scanners, eliminating their initial costs as well as those associated with the</w:t>
      </w:r>
      <w:r w:rsidR="00637857">
        <w:t xml:space="preserve"> periodic replacement of decaying</w:t>
      </w:r>
      <w:r w:rsidRPr="006D283E">
        <w:t xml:space="preserve"> sources.  The high flux of X-rays leads to lower statistical noise in the ACF measurement</w:t>
      </w:r>
      <w:r w:rsidR="00360913">
        <w:t>s</w:t>
      </w:r>
      <w:r w:rsidRPr="006D283E">
        <w:t xml:space="preserve"> and shorter transmission scan</w:t>
      </w:r>
      <w:r w:rsidR="00637857">
        <w:t xml:space="preserve"> times (seconds rather than minutes)</w:t>
      </w:r>
      <w:r w:rsidRPr="006D283E">
        <w:t xml:space="preserve">.  </w:t>
      </w:r>
    </w:p>
    <w:p w:rsidR="006D283E" w:rsidRPr="006D283E" w:rsidRDefault="00296609" w:rsidP="006D283E">
      <w:pPr>
        <w:spacing w:line="480" w:lineRule="auto"/>
        <w:ind w:firstLine="720"/>
        <w:outlineLvl w:val="2"/>
      </w:pPr>
      <w:r w:rsidRPr="0015477E">
        <w:t>The challenge of using the</w:t>
      </w:r>
      <w:r w:rsidR="00DA5E3A">
        <w:t xml:space="preserve"> CT </w:t>
      </w:r>
      <w:r w:rsidR="00017BF1">
        <w:t xml:space="preserve">transmission </w:t>
      </w:r>
      <w:r w:rsidR="00DA5E3A">
        <w:t xml:space="preserve">data for the PET </w:t>
      </w:r>
      <w:r w:rsidR="00017BF1">
        <w:t xml:space="preserve">attenuation </w:t>
      </w:r>
      <w:r w:rsidR="00DA5E3A">
        <w:t>correction</w:t>
      </w:r>
      <w:r w:rsidRPr="0015477E">
        <w:t xml:space="preserve"> arises from the fact that the photons are of different energies.  For annihilation photons at 511keV, the probability of photoelectric absorption is nearly zero, and thus the attenuation results almost exclusively from Compton scattering.  The X-ray photons are less energetic, around 70-80keV</w:t>
      </w:r>
      <w:r w:rsidR="0015477E" w:rsidRPr="0015477E">
        <w:t xml:space="preserve"> </w:t>
      </w:r>
      <w:r w:rsidR="009B6816">
        <w:fldChar w:fldCharType="begin"/>
      </w:r>
      <w:r w:rsidR="000B4DAE">
        <w:instrText xml:space="preserve"> ADDIN EN.CITE &lt;EndNote&gt;&lt;Cite&gt;&lt;Author&gt;Townsend&lt;/Author&gt;&lt;Year&gt;2008&lt;/Year&gt;&lt;RecNum&gt;345&lt;/RecNum&gt;&lt;DisplayText&gt;(Townsend 2008)&lt;/DisplayText&gt;&lt;record&gt;&lt;rec-number&gt;345&lt;/rec-number&gt;&lt;foreign-keys&gt;&lt;key app="EN" db-id="srwv9ppvvez5pgefxzi5ddeve5w2fe5x5esr"&gt;345&lt;/key&gt;&lt;/foreign-keys&gt;&lt;ref-type name="Journal Article"&gt;17&lt;/ref-type&gt;&lt;contributors&gt;&lt;authors&gt;&lt;author&gt;Townsend, David W&lt;/author&gt;&lt;/authors&gt;&lt;/contributors&gt;&lt;titles&gt;&lt;title&gt;Dual-modality imaging: combining anatomy and function&lt;/title&gt;&lt;secondary-title&gt;Journal of Nuclear Medicine&lt;/secondary-title&gt;&lt;/titles&gt;&lt;periodical&gt;&lt;full-title&gt;Journal of Nuclear Medicine&lt;/full-title&gt;&lt;/periodical&gt;&lt;pages&gt;938-955&lt;/pages&gt;&lt;volume&gt;49&lt;/volume&gt;&lt;number&gt;6&lt;/number&gt;&lt;dates&gt;&lt;year&gt;2008&lt;/year&gt;&lt;/dates&gt;&lt;isbn&gt;0161-5505&lt;/isbn&gt;&lt;urls&gt;&lt;/urls&gt;&lt;/record&gt;&lt;/Cite&gt;&lt;/EndNote&gt;</w:instrText>
      </w:r>
      <w:r w:rsidR="009B6816">
        <w:fldChar w:fldCharType="separate"/>
      </w:r>
      <w:r w:rsidR="000B4DAE">
        <w:rPr>
          <w:noProof/>
        </w:rPr>
        <w:t>(</w:t>
      </w:r>
      <w:hyperlink w:anchor="_ENREF_82" w:tooltip="Townsend, 2008 #345" w:history="1">
        <w:r w:rsidR="007704DB">
          <w:rPr>
            <w:noProof/>
          </w:rPr>
          <w:t>Townsend 2008</w:t>
        </w:r>
      </w:hyperlink>
      <w:r w:rsidR="000B4DAE">
        <w:rPr>
          <w:noProof/>
        </w:rPr>
        <w:t>)</w:t>
      </w:r>
      <w:r w:rsidR="009B6816">
        <w:fldChar w:fldCharType="end"/>
      </w:r>
      <w:r w:rsidR="0015477E" w:rsidRPr="0015477E">
        <w:t>, and the effect of photoelectric absorption is also significant in this range.  T</w:t>
      </w:r>
      <w:r w:rsidR="00E437A7">
        <w:t>hus, t</w:t>
      </w:r>
      <w:r w:rsidR="0015477E" w:rsidRPr="0015477E">
        <w:t xml:space="preserve">he attenuation data </w:t>
      </w:r>
      <w:r w:rsidR="00017BF1">
        <w:t>from</w:t>
      </w:r>
      <w:r w:rsidR="0015477E" w:rsidRPr="0015477E">
        <w:t xml:space="preserve"> the X-ray CT must be scaled prior to use in the PET corrections.</w:t>
      </w:r>
      <w:r w:rsidR="00017BF1">
        <w:t xml:space="preserve">  </w:t>
      </w:r>
      <w:r w:rsidR="00F8481D">
        <w:t>This problem is not straightforward, since the scaling depends on the photon energy and the tissue density in the FOV.  Linear scaling of the CT to PET attenuation map yields a poor estimate</w:t>
      </w:r>
      <w:r w:rsidR="006D283E" w:rsidRPr="006D283E">
        <w:t xml:space="preserve">, especially in high-density regions like bone </w:t>
      </w:r>
      <w:r w:rsidR="009B6816" w:rsidRPr="006D283E">
        <w:fldChar w:fldCharType="begin"/>
      </w:r>
      <w:r w:rsidR="002D7C36">
        <w:instrText xml:space="preserve"> ADDIN EN.CITE &lt;EndNote&gt;&lt;Cite&gt;&lt;Author&gt;Kinahan&lt;/Author&gt;&lt;Year&gt;1998&lt;/Year&gt;&lt;RecNum&gt;208&lt;/RecNum&gt;&lt;DisplayText&gt;(Kinahan, Townsend et al. 1998)&lt;/DisplayText&gt;&lt;record&gt;&lt;rec-number&gt;208&lt;/rec-number&gt;&lt;foreign-keys&gt;&lt;key app="EN" db-id="srwv9ppvvez5pgefxzi5ddeve5w2fe5x5esr"&gt;208&lt;/key&gt;&lt;/foreign-keys&gt;&lt;ref-type name="Journal Article"&gt;17&lt;/ref-type&gt;&lt;contributors&gt;&lt;authors&gt;&lt;author&gt;Kinahan, PE&lt;/author&gt;&lt;author&gt;Townsend, DW&lt;/author&gt;&lt;author&gt;Beyer, T&lt;/author&gt;&lt;author&gt;Sashin, D&lt;/author&gt;&lt;/authors&gt;&lt;/contributors&gt;&lt;titles&gt;&lt;title&gt;Attenuation correction for a combined 3D PET/CT scanner&lt;/title&gt;&lt;secondary-title&gt;Medical Physics&lt;/secondary-title&gt;&lt;/titles&gt;&lt;pages&gt;2046&lt;/pages&gt;&lt;volume&gt;25&lt;/volume&gt;&lt;dates&gt;&lt;year&gt;1998&lt;/year&gt;&lt;/dates&gt;&lt;urls&gt;&lt;/urls&gt;&lt;/record&gt;&lt;/Cite&gt;&lt;/EndNote&gt;</w:instrText>
      </w:r>
      <w:r w:rsidR="009B6816" w:rsidRPr="006D283E">
        <w:fldChar w:fldCharType="separate"/>
      </w:r>
      <w:r w:rsidR="00B82802">
        <w:rPr>
          <w:noProof/>
        </w:rPr>
        <w:t>(</w:t>
      </w:r>
      <w:hyperlink w:anchor="_ENREF_50" w:tooltip="Kinahan, 1998 #208" w:history="1">
        <w:r w:rsidR="007704DB">
          <w:rPr>
            <w:noProof/>
          </w:rPr>
          <w:t>Kinahan, Townsend et al. 1998</w:t>
        </w:r>
      </w:hyperlink>
      <w:r w:rsidR="00B82802">
        <w:rPr>
          <w:noProof/>
        </w:rPr>
        <w:t>)</w:t>
      </w:r>
      <w:r w:rsidR="009B6816" w:rsidRPr="006D283E">
        <w:fldChar w:fldCharType="end"/>
      </w:r>
      <w:r w:rsidR="00757811">
        <w:t>.</w:t>
      </w:r>
      <w:r w:rsidR="006D283E" w:rsidRPr="006D283E">
        <w:t xml:space="preserve">  For this reason, density segmentation of different tissue regions has been used successfully</w:t>
      </w:r>
      <w:r w:rsidR="00F8481D">
        <w:t>, but this</w:t>
      </w:r>
      <w:r w:rsidR="006D283E" w:rsidRPr="006D283E">
        <w:t xml:space="preserve"> method </w:t>
      </w:r>
      <w:r w:rsidR="006D283E" w:rsidRPr="006D283E">
        <w:lastRenderedPageBreak/>
        <w:t>produce</w:t>
      </w:r>
      <w:r w:rsidR="00F8481D">
        <w:t>s</w:t>
      </w:r>
      <w:r w:rsidR="006D283E" w:rsidRPr="006D283E">
        <w:t xml:space="preserve"> errors in regions where there are variations in density, such as the lung </w:t>
      </w:r>
      <w:r w:rsidR="009B6816" w:rsidRPr="006D283E">
        <w:fldChar w:fldCharType="begin"/>
      </w:r>
      <w:r w:rsidR="002D7C36">
        <w:instrText xml:space="preserve"> ADDIN EN.CITE &lt;EndNote&gt;&lt;Cite&gt;&lt;Author&gt;Beyer&lt;/Author&gt;&lt;Year&gt;1994&lt;/Year&gt;&lt;RecNum&gt;211&lt;/RecNum&gt;&lt;DisplayText&gt;(Beyer, Kinahan et al. 1994)&lt;/DisplayText&gt;&lt;record&gt;&lt;rec-number&gt;211&lt;/rec-number&gt;&lt;foreign-keys&gt;&lt;key app="EN" db-id="srwv9ppvvez5pgefxzi5ddeve5w2fe5x5esr"&gt;211&lt;/key&gt;&lt;/foreign-keys&gt;&lt;ref-type name="Conference Proceedings"&gt;10&lt;/ref-type&gt;&lt;contributors&gt;&lt;authors&gt;&lt;author&gt;Beyer, T&lt;/author&gt;&lt;author&gt;Kinahan, PE&lt;/author&gt;&lt;author&gt;Townsend, DW&lt;/author&gt;&lt;author&gt;Sashin, D&lt;/author&gt;&lt;/authors&gt;&lt;/contributors&gt;&lt;titles&gt;&lt;title&gt;The use of X-ray CT for attenuation correction of PET data&lt;/title&gt;&lt;/titles&gt;&lt;pages&gt;1573-1577&lt;/pages&gt;&lt;volume&gt;4&lt;/volume&gt;&lt;dates&gt;&lt;year&gt;1994&lt;/year&gt;&lt;/dates&gt;&lt;publisher&gt;IEEE&lt;/publisher&gt;&lt;isbn&gt;0780325443&lt;/isbn&gt;&lt;urls&gt;&lt;/urls&gt;&lt;/record&gt;&lt;/Cite&gt;&lt;/EndNote&gt;</w:instrText>
      </w:r>
      <w:r w:rsidR="009B6816" w:rsidRPr="006D283E">
        <w:fldChar w:fldCharType="separate"/>
      </w:r>
      <w:r w:rsidR="00B82802">
        <w:rPr>
          <w:noProof/>
        </w:rPr>
        <w:t>(</w:t>
      </w:r>
      <w:hyperlink w:anchor="_ENREF_12" w:tooltip="Beyer, 1994 #211" w:history="1">
        <w:r w:rsidR="007704DB">
          <w:rPr>
            <w:noProof/>
          </w:rPr>
          <w:t>Beyer, Kinahan et al. 1994</w:t>
        </w:r>
      </w:hyperlink>
      <w:r w:rsidR="00B82802">
        <w:rPr>
          <w:noProof/>
        </w:rPr>
        <w:t>)</w:t>
      </w:r>
      <w:r w:rsidR="009B6816" w:rsidRPr="006D283E">
        <w:fldChar w:fldCharType="end"/>
      </w:r>
      <w:r w:rsidR="000E4B03">
        <w:t>.</w:t>
      </w:r>
    </w:p>
    <w:p w:rsidR="00D921EF" w:rsidRDefault="006D283E" w:rsidP="007D4649">
      <w:pPr>
        <w:numPr>
          <w:ilvl w:val="12"/>
          <w:numId w:val="0"/>
        </w:numPr>
        <w:spacing w:line="480" w:lineRule="auto"/>
        <w:ind w:firstLine="720"/>
      </w:pPr>
      <w:r w:rsidRPr="006D283E">
        <w:t>CT-ba</w:t>
      </w:r>
      <w:r w:rsidR="00F8481D">
        <w:t xml:space="preserve">sed PET attenuation factors are </w:t>
      </w:r>
      <w:r w:rsidR="00E54FCB">
        <w:t xml:space="preserve">now </w:t>
      </w:r>
      <w:r w:rsidR="00F8481D">
        <w:t>routinely</w:t>
      </w:r>
      <w:r w:rsidRPr="006D283E">
        <w:t xml:space="preserve"> computed through a combination of both</w:t>
      </w:r>
      <w:r w:rsidR="00DE0211">
        <w:t>,</w:t>
      </w:r>
      <w:r w:rsidRPr="006D283E">
        <w:t xml:space="preserve"> </w:t>
      </w:r>
      <w:r w:rsidR="00F8481D">
        <w:t>segmentation and linear scaling</w:t>
      </w:r>
      <w:r w:rsidRPr="006D283E">
        <w:t xml:space="preserve">.  The </w:t>
      </w:r>
      <w:r w:rsidR="00F8481D">
        <w:t>relationship of attenuation</w:t>
      </w:r>
      <w:r w:rsidRPr="006D283E">
        <w:t xml:space="preserve"> coefficients at CT and PET energies </w:t>
      </w:r>
      <w:r w:rsidR="00F8481D">
        <w:t>is roughly linear</w:t>
      </w:r>
      <w:r w:rsidRPr="006D283E">
        <w:t xml:space="preserve"> for all </w:t>
      </w:r>
      <w:r w:rsidR="00DE0211">
        <w:t>soft tissue</w:t>
      </w:r>
      <w:r w:rsidRPr="006D283E">
        <w:t xml:space="preserve"> </w:t>
      </w:r>
      <w:r w:rsidR="009B6816" w:rsidRPr="006D283E">
        <w:fldChar w:fldCharType="begin"/>
      </w:r>
      <w:r w:rsidR="002D7C36">
        <w:instrText xml:space="preserve"> ADDIN EN.CITE &lt;EndNote&gt;&lt;Cite&gt;&lt;Author&gt;Hubbell&lt;/Author&gt;&lt;Year&gt;1969&lt;/Year&gt;&lt;RecNum&gt;213&lt;/RecNum&gt;&lt;DisplayText&gt;(Hubbell and Standards 1969)&lt;/DisplayText&gt;&lt;record&gt;&lt;rec-number&gt;213&lt;/rec-number&gt;&lt;foreign-keys&gt;&lt;key app="EN" db-id="srwv9ppvvez5pgefxzi5ddeve5w2fe5x5esr"&gt;213&lt;/key&gt;&lt;/foreign-keys&gt;&lt;ref-type name="Book"&gt;6&lt;/ref-type&gt;&lt;contributors&gt;&lt;authors&gt;&lt;author&gt;Hubbell, JH&lt;/author&gt;&lt;author&gt;United States. National Bureau of Standards&lt;/author&gt;&lt;/authors&gt;&lt;/contributors&gt;&lt;titles&gt;&lt;title&gt;Photon cross sections, attenuation coefficients, and energy absorption coefficients from 10 keV to 100 GeV&lt;/title&gt;&lt;/titles&gt;&lt;dates&gt;&lt;year&gt;1969&lt;/year&gt;&lt;/dates&gt;&lt;publisher&gt;US National Bureau of Standards; for sale by the Supt. of Docs., US Govt. Print. Off.&lt;/publisher&gt;&lt;urls&gt;&lt;/urls&gt;&lt;/record&gt;&lt;/Cite&gt;&lt;/EndNote&gt;</w:instrText>
      </w:r>
      <w:r w:rsidR="009B6816" w:rsidRPr="006D283E">
        <w:fldChar w:fldCharType="separate"/>
      </w:r>
      <w:r w:rsidR="00B82802">
        <w:rPr>
          <w:noProof/>
        </w:rPr>
        <w:t>(</w:t>
      </w:r>
      <w:hyperlink w:anchor="_ENREF_42" w:tooltip="Hubbell, 1969 #213" w:history="1">
        <w:r w:rsidR="007704DB">
          <w:rPr>
            <w:noProof/>
          </w:rPr>
          <w:t>Hubbell and Standards 1969</w:t>
        </w:r>
      </w:hyperlink>
      <w:r w:rsidR="00B82802">
        <w:rPr>
          <w:noProof/>
        </w:rPr>
        <w:t>)</w:t>
      </w:r>
      <w:r w:rsidR="009B6816" w:rsidRPr="006D283E">
        <w:fldChar w:fldCharType="end"/>
      </w:r>
      <w:r w:rsidRPr="006D283E">
        <w:t xml:space="preserve">, so current methods segment regions </w:t>
      </w:r>
      <w:r w:rsidR="006D4C23">
        <w:t>below</w:t>
      </w:r>
      <w:r w:rsidRPr="006D283E">
        <w:t xml:space="preserve"> </w:t>
      </w:r>
      <w:r w:rsidR="006E2A5C">
        <w:t>80</w:t>
      </w:r>
      <w:r w:rsidRPr="006D283E">
        <w:t xml:space="preserve"> Hounsfield units</w:t>
      </w:r>
      <w:r w:rsidR="00104F3B">
        <w:rPr>
          <w:rStyle w:val="FootnoteReference"/>
        </w:rPr>
        <w:footnoteReference w:id="5"/>
      </w:r>
      <w:r w:rsidRPr="006D283E">
        <w:t xml:space="preserve"> as</w:t>
      </w:r>
      <w:r w:rsidR="006D4C23">
        <w:t xml:space="preserve"> </w:t>
      </w:r>
      <w:r w:rsidR="006D4C23" w:rsidRPr="006D283E">
        <w:t>soft tissue</w:t>
      </w:r>
      <w:r w:rsidR="006D4C23">
        <w:t>,</w:t>
      </w:r>
      <w:r w:rsidR="006D4C23" w:rsidRPr="006D283E">
        <w:t xml:space="preserve"> </w:t>
      </w:r>
      <w:r w:rsidR="006D4C23">
        <w:t xml:space="preserve">and above </w:t>
      </w:r>
      <w:r w:rsidR="006E2A5C">
        <w:t>80</w:t>
      </w:r>
      <w:r w:rsidR="006D4C23">
        <w:t xml:space="preserve"> </w:t>
      </w:r>
      <w:r w:rsidR="006D4C23" w:rsidRPr="006D283E">
        <w:t xml:space="preserve">as </w:t>
      </w:r>
      <w:r w:rsidRPr="006D283E">
        <w:t xml:space="preserve">bone tissue.  The CT-to-PET ACF scaling is 2.26 and 1.90 </w:t>
      </w:r>
      <w:r w:rsidR="009B6816" w:rsidRPr="006D283E">
        <w:fldChar w:fldCharType="begin"/>
      </w:r>
      <w:r w:rsidR="002D7C36">
        <w:instrText xml:space="preserve"> ADDIN EN.CITE &lt;EndNote&gt;&lt;Cite&gt;&lt;Author&gt;Shreve&lt;/Author&gt;&lt;Year&gt;2008&lt;/Year&gt;&lt;RecNum&gt;212&lt;/RecNum&gt;&lt;DisplayText&gt;(Shreve and Townsend 2008)&lt;/DisplayText&gt;&lt;record&gt;&lt;rec-number&gt;212&lt;/rec-number&gt;&lt;foreign-keys&gt;&lt;key app="EN" db-id="srwv9ppvvez5pgefxzi5ddeve5w2fe5x5esr"&gt;212&lt;/key&gt;&lt;/foreign-keys&gt;&lt;ref-type name="Book"&gt;6&lt;/ref-type&gt;&lt;contributors&gt;&lt;authors&gt;&lt;author&gt;Shreve, Paul&lt;/author&gt;&lt;author&gt;Townsend, David W.&lt;/author&gt;&lt;/authors&gt;&lt;/contributors&gt;&lt;titles&gt;&lt;title&gt;Clinical PET-CT&lt;/title&gt;&lt;/titles&gt;&lt;dates&gt;&lt;year&gt;2008&lt;/year&gt;&lt;/dates&gt;&lt;pub-location&gt;New York; London&lt;/pub-location&gt;&lt;publisher&gt;Springer&lt;/publisher&gt;&lt;isbn&gt;0387489002 9780387489001&lt;/isbn&gt;&lt;urls&gt;&lt;/urls&gt;&lt;remote-database-name&gt;/z-wcorg/&lt;/remote-database-name&gt;&lt;remote-database-provider&gt;http://worldcat.org&lt;/remote-database-provider&gt;&lt;language&gt;English&lt;/language&gt;&lt;/record&gt;&lt;/Cite&gt;&lt;/EndNote&gt;</w:instrText>
      </w:r>
      <w:r w:rsidR="009B6816" w:rsidRPr="006D283E">
        <w:fldChar w:fldCharType="separate"/>
      </w:r>
      <w:r w:rsidR="00B82802">
        <w:rPr>
          <w:noProof/>
        </w:rPr>
        <w:t>(</w:t>
      </w:r>
      <w:hyperlink w:anchor="_ENREF_69" w:tooltip="Shreve, 2008 #212" w:history="1">
        <w:r w:rsidR="007704DB">
          <w:rPr>
            <w:noProof/>
          </w:rPr>
          <w:t>Shreve and Townsend 2008</w:t>
        </w:r>
      </w:hyperlink>
      <w:r w:rsidR="00B82802">
        <w:rPr>
          <w:noProof/>
        </w:rPr>
        <w:t>)</w:t>
      </w:r>
      <w:r w:rsidR="009B6816" w:rsidRPr="006D283E">
        <w:fldChar w:fldCharType="end"/>
      </w:r>
      <w:r w:rsidR="006D4C23">
        <w:t>, for each respective region</w:t>
      </w:r>
      <w:r w:rsidR="00D921EF">
        <w:t>; the scaling is shown below</w:t>
      </w:r>
      <w:r w:rsidR="00F408CE">
        <w:t>.</w:t>
      </w:r>
      <w:r w:rsidRPr="006D283E">
        <w:t xml:space="preserve">  </w:t>
      </w:r>
    </w:p>
    <w:p w:rsidR="00D921EF" w:rsidRDefault="00D921EF" w:rsidP="007D4649">
      <w:pPr>
        <w:numPr>
          <w:ilvl w:val="12"/>
          <w:numId w:val="0"/>
        </w:numPr>
        <w:spacing w:line="480" w:lineRule="auto"/>
        <w:ind w:firstLine="720"/>
      </w:pPr>
    </w:p>
    <w:p w:rsidR="00D56B66" w:rsidRDefault="00D56B66" w:rsidP="00BC422B">
      <w:pPr>
        <w:spacing w:line="480" w:lineRule="auto"/>
        <w:ind w:firstLine="720"/>
        <w:outlineLvl w:val="2"/>
      </w:pPr>
      <w:r>
        <w:rPr>
          <w:noProof/>
        </w:rPr>
        <w:drawing>
          <wp:inline distT="0" distB="0" distL="0" distR="0">
            <wp:extent cx="3452495" cy="2664460"/>
            <wp:effectExtent l="19050" t="0" r="0" b="0"/>
            <wp:docPr id="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452495" cy="2664460"/>
                    </a:xfrm>
                    <a:prstGeom prst="rect">
                      <a:avLst/>
                    </a:prstGeom>
                    <a:noFill/>
                    <a:ln w="9525">
                      <a:noFill/>
                      <a:miter lim="800000"/>
                      <a:headEnd/>
                      <a:tailEnd/>
                    </a:ln>
                  </pic:spPr>
                </pic:pic>
              </a:graphicData>
            </a:graphic>
          </wp:inline>
        </w:drawing>
      </w:r>
      <w:r w:rsidRPr="00D56B66">
        <w:t xml:space="preserve"> </w:t>
      </w:r>
    </w:p>
    <w:p w:rsidR="00D56B66" w:rsidRDefault="00D56B66" w:rsidP="00D56B66">
      <w:pPr>
        <w:pStyle w:val="Caption"/>
      </w:pPr>
      <w:bookmarkStart w:id="33" w:name="_Toc351890052"/>
      <w:proofErr w:type="gramStart"/>
      <w:r>
        <w:t xml:space="preserve">Figure </w:t>
      </w:r>
      <w:fldSimple w:instr=" SEQ Figure \* ARABIC ">
        <w:r w:rsidR="005B6C27">
          <w:rPr>
            <w:noProof/>
          </w:rPr>
          <w:t>11</w:t>
        </w:r>
      </w:fldSimple>
      <w:r>
        <w:t>.</w:t>
      </w:r>
      <w:proofErr w:type="gramEnd"/>
      <w:r>
        <w:t xml:space="preserve"> Bilinear scaling function used to convert CT numbers (HUs) to linear attenuation values at 511 keV.  The ACFs are generated by </w:t>
      </w:r>
      <w:proofErr w:type="spellStart"/>
      <w:r>
        <w:t>reprojecting</w:t>
      </w:r>
      <w:proofErr w:type="spellEnd"/>
      <w:r>
        <w:t xml:space="preserve"> the scaled map.</w:t>
      </w:r>
      <w:bookmarkEnd w:id="33"/>
    </w:p>
    <w:p w:rsidR="00D56B66" w:rsidRDefault="00D56B66" w:rsidP="00D56B66">
      <w:pPr>
        <w:numPr>
          <w:ilvl w:val="12"/>
          <w:numId w:val="0"/>
        </w:numPr>
        <w:spacing w:line="480" w:lineRule="auto"/>
      </w:pPr>
    </w:p>
    <w:p w:rsidR="00D921EF" w:rsidRDefault="00D921EF" w:rsidP="007D4649">
      <w:pPr>
        <w:numPr>
          <w:ilvl w:val="12"/>
          <w:numId w:val="0"/>
        </w:numPr>
        <w:spacing w:line="480" w:lineRule="auto"/>
        <w:ind w:firstLine="720"/>
      </w:pPr>
    </w:p>
    <w:p w:rsidR="007D4649" w:rsidRDefault="006D283E" w:rsidP="00D921EF">
      <w:pPr>
        <w:numPr>
          <w:ilvl w:val="12"/>
          <w:numId w:val="0"/>
        </w:numPr>
        <w:spacing w:line="480" w:lineRule="auto"/>
      </w:pPr>
      <w:r w:rsidRPr="006D283E">
        <w:t>This bi-linear scaling has shown excellent results that perform superior to 511keV transmission methods</w:t>
      </w:r>
      <w:r w:rsidR="00F408CE">
        <w:t>, with lower noise</w:t>
      </w:r>
      <w:r w:rsidRPr="006D283E">
        <w:t xml:space="preserve"> </w:t>
      </w:r>
      <w:r w:rsidR="009B6816" w:rsidRPr="006D283E">
        <w:fldChar w:fldCharType="begin"/>
      </w:r>
      <w:r w:rsidR="002D7C36">
        <w:instrText xml:space="preserve"> ADDIN EN.CITE &lt;EndNote&gt;&lt;Cite&gt;&lt;Author&gt;Kinahan&lt;/Author&gt;&lt;Year&gt;1998&lt;/Year&gt;&lt;RecNum&gt;208&lt;/RecNum&gt;&lt;DisplayText&gt;(Kinahan, Townsend et al. 1998)&lt;/DisplayText&gt;&lt;record&gt;&lt;rec-number&gt;208&lt;/rec-number&gt;&lt;foreign-keys&gt;&lt;key app="EN" db-id="srwv9ppvvez5pgefxzi5ddeve5w2fe5x5esr"&gt;208&lt;/key&gt;&lt;/foreign-keys&gt;&lt;ref-type name="Journal Article"&gt;17&lt;/ref-type&gt;&lt;contributors&gt;&lt;authors&gt;&lt;author&gt;Kinahan, PE&lt;/author&gt;&lt;author&gt;Townsend, DW&lt;/author&gt;&lt;author&gt;Beyer, T&lt;/author&gt;&lt;author&gt;Sashin, D&lt;/author&gt;&lt;/authors&gt;&lt;/contributors&gt;&lt;titles&gt;&lt;title&gt;Attenuation correction for a combined 3D PET/CT scanner&lt;/title&gt;&lt;secondary-title&gt;Medical Physics&lt;/secondary-title&gt;&lt;/titles&gt;&lt;pages&gt;2046&lt;/pages&gt;&lt;volume&gt;25&lt;/volume&gt;&lt;dates&gt;&lt;year&gt;1998&lt;/year&gt;&lt;/dates&gt;&lt;urls&gt;&lt;/urls&gt;&lt;/record&gt;&lt;/Cite&gt;&lt;/EndNote&gt;</w:instrText>
      </w:r>
      <w:r w:rsidR="009B6816" w:rsidRPr="006D283E">
        <w:fldChar w:fldCharType="separate"/>
      </w:r>
      <w:r w:rsidR="00B82802">
        <w:rPr>
          <w:noProof/>
        </w:rPr>
        <w:t>(</w:t>
      </w:r>
      <w:hyperlink w:anchor="_ENREF_50" w:tooltip="Kinahan, 1998 #208" w:history="1">
        <w:r w:rsidR="007704DB">
          <w:rPr>
            <w:noProof/>
          </w:rPr>
          <w:t>Kinahan, Townsend et al. 1998</w:t>
        </w:r>
      </w:hyperlink>
      <w:r w:rsidR="00B82802">
        <w:rPr>
          <w:noProof/>
        </w:rPr>
        <w:t>)</w:t>
      </w:r>
      <w:r w:rsidR="009B6816" w:rsidRPr="006D283E">
        <w:fldChar w:fldCharType="end"/>
      </w:r>
      <w:r w:rsidRPr="006D283E">
        <w:t xml:space="preserve"> </w:t>
      </w:r>
      <w:r w:rsidR="000F44B9" w:rsidRPr="006D283E">
        <w:t xml:space="preserve">. </w:t>
      </w:r>
    </w:p>
    <w:p w:rsidR="007D4649" w:rsidRDefault="007D4649" w:rsidP="00456B77">
      <w:pPr>
        <w:pStyle w:val="Heading3"/>
      </w:pPr>
      <w:bookmarkStart w:id="34" w:name="_Toc351889996"/>
      <w:r>
        <w:t>Normalization</w:t>
      </w:r>
      <w:bookmarkEnd w:id="34"/>
    </w:p>
    <w:p w:rsidR="007D4649" w:rsidRPr="007D4649" w:rsidRDefault="007D4649" w:rsidP="007D4649"/>
    <w:p w:rsidR="00B836BC" w:rsidRDefault="000F44B9" w:rsidP="004238C9">
      <w:pPr>
        <w:spacing w:line="480" w:lineRule="auto"/>
        <w:ind w:firstLine="720"/>
        <w:outlineLvl w:val="2"/>
      </w:pPr>
      <w:r w:rsidRPr="000F44B9">
        <w:t>Reconstruction algorithms generally assume the same sensitivity for all LORs, but this is not</w:t>
      </w:r>
      <w:r w:rsidR="007F6004">
        <w:t xml:space="preserve"> in general</w:t>
      </w:r>
      <w:r w:rsidRPr="000F44B9">
        <w:t xml:space="preserve"> the case.  Differences in crystal </w:t>
      </w:r>
      <w:r w:rsidR="00DE128A">
        <w:t>sensitivity and photomultiplier tube gains</w:t>
      </w:r>
      <w:r w:rsidRPr="000F44B9">
        <w:t>, as well as scanner geometry and detector bloc</w:t>
      </w:r>
      <w:r w:rsidR="00BA7390">
        <w:t xml:space="preserve">k </w:t>
      </w:r>
      <w:proofErr w:type="gramStart"/>
      <w:r w:rsidR="00BA7390">
        <w:t>gaps</w:t>
      </w:r>
      <w:r w:rsidRPr="000F44B9">
        <w:t>,</w:t>
      </w:r>
      <w:proofErr w:type="gramEnd"/>
      <w:r w:rsidRPr="000F44B9">
        <w:t xml:space="preserve"> contribute to varying sensitivities for </w:t>
      </w:r>
      <w:r w:rsidR="00DE128A">
        <w:t xml:space="preserve">the </w:t>
      </w:r>
      <w:r w:rsidRPr="000F44B9">
        <w:t>different LORs.  As a result, quality control must</w:t>
      </w:r>
      <w:r w:rsidR="00DE128A">
        <w:t xml:space="preserve"> be performed regularly to en</w:t>
      </w:r>
      <w:r w:rsidRPr="000F44B9">
        <w:t>sure that the PET scanner is operating optimally and that the sensitivity profiles are known for all LOR</w:t>
      </w:r>
      <w:r w:rsidR="007F6004">
        <w:t>s</w:t>
      </w:r>
      <w:r w:rsidRPr="000F44B9">
        <w:t xml:space="preserve">.  </w:t>
      </w:r>
      <w:r w:rsidR="00BA7390">
        <w:t>A uniform distribution</w:t>
      </w:r>
      <w:r w:rsidR="004238C9">
        <w:t xml:space="preserve"> of known activity</w:t>
      </w:r>
      <w:r w:rsidR="00BA7390">
        <w:t xml:space="preserve"> is placed in the field of view</w:t>
      </w:r>
      <w:r w:rsidR="004238C9">
        <w:t>, and the measured sensitivity profiles are stored for use in the normalization corre</w:t>
      </w:r>
      <w:r w:rsidR="00B836BC">
        <w:t xml:space="preserve">ction of routine clinical scans.  </w:t>
      </w:r>
    </w:p>
    <w:p w:rsidR="00765255" w:rsidRDefault="00B836BC" w:rsidP="004238C9">
      <w:pPr>
        <w:spacing w:line="480" w:lineRule="auto"/>
        <w:ind w:firstLine="720"/>
        <w:outlineLvl w:val="2"/>
      </w:pPr>
      <w:r>
        <w:t>Shown below is an example of a sinogram before and after corrections are applied for attenuation, randoms, scatter, and normalization.</w:t>
      </w:r>
    </w:p>
    <w:p w:rsidR="00B836BC" w:rsidRDefault="00B836BC" w:rsidP="004238C9">
      <w:pPr>
        <w:spacing w:line="480" w:lineRule="auto"/>
        <w:ind w:firstLine="720"/>
        <w:outlineLvl w:val="2"/>
      </w:pPr>
    </w:p>
    <w:p w:rsidR="00BC422B" w:rsidRDefault="00BC422B">
      <w:pPr>
        <w:rPr>
          <w:color w:val="FF0000"/>
        </w:rPr>
      </w:pPr>
      <w:r>
        <w:rPr>
          <w:color w:val="FF0000"/>
        </w:rPr>
        <w:br w:type="page"/>
      </w:r>
    </w:p>
    <w:p w:rsidR="00B836BC" w:rsidRDefault="00B836BC" w:rsidP="00B836BC">
      <w:pPr>
        <w:spacing w:line="480" w:lineRule="auto"/>
        <w:ind w:firstLine="720"/>
        <w:outlineLvl w:val="2"/>
      </w:pPr>
      <w:r w:rsidRPr="00B836BC">
        <w:rPr>
          <w:noProof/>
          <w:color w:val="FF0000"/>
        </w:rPr>
        <w:lastRenderedPageBreak/>
        <w:drawing>
          <wp:inline distT="0" distB="0" distL="0" distR="0">
            <wp:extent cx="1677987" cy="1906588"/>
            <wp:effectExtent l="38100" t="19050" r="17463" b="17462"/>
            <wp:docPr id="22" name="Picture 2"/>
            <wp:cNvGraphicFramePr/>
            <a:graphic xmlns:a="http://schemas.openxmlformats.org/drawingml/2006/main">
              <a:graphicData uri="http://schemas.openxmlformats.org/drawingml/2006/picture">
                <pic:pic xmlns:pic="http://schemas.openxmlformats.org/drawingml/2006/picture">
                  <pic:nvPicPr>
                    <pic:cNvPr id="12294" name="Picture 12"/>
                    <pic:cNvPicPr>
                      <a:picLocks noChangeAspect="1" noChangeArrowheads="1"/>
                    </pic:cNvPicPr>
                  </pic:nvPicPr>
                  <pic:blipFill>
                    <a:blip r:embed="rId26" cstate="print"/>
                    <a:srcRect/>
                    <a:stretch>
                      <a:fillRect/>
                    </a:stretch>
                  </pic:blipFill>
                  <pic:spPr bwMode="auto">
                    <a:xfrm>
                      <a:off x="0" y="0"/>
                      <a:ext cx="1677987" cy="1906588"/>
                    </a:xfrm>
                    <a:prstGeom prst="rect">
                      <a:avLst/>
                    </a:prstGeom>
                    <a:noFill/>
                    <a:ln w="9525">
                      <a:solidFill>
                        <a:schemeClr val="accent1"/>
                      </a:solidFill>
                      <a:miter lim="800000"/>
                      <a:headEnd/>
                      <a:tailEnd/>
                    </a:ln>
                  </pic:spPr>
                </pic:pic>
              </a:graphicData>
            </a:graphic>
          </wp:inline>
        </w:drawing>
      </w:r>
      <w:r>
        <w:rPr>
          <w:color w:val="FF0000"/>
        </w:rPr>
        <w:t xml:space="preserve">            </w:t>
      </w:r>
      <w:r w:rsidRPr="00B836BC">
        <w:rPr>
          <w:noProof/>
          <w:color w:val="FF0000"/>
        </w:rPr>
        <w:drawing>
          <wp:inline distT="0" distB="0" distL="0" distR="0">
            <wp:extent cx="1597025" cy="1905000"/>
            <wp:effectExtent l="19050" t="19050" r="22225" b="19050"/>
            <wp:docPr id="23" name="Picture 3"/>
            <wp:cNvGraphicFramePr/>
            <a:graphic xmlns:a="http://schemas.openxmlformats.org/drawingml/2006/main">
              <a:graphicData uri="http://schemas.openxmlformats.org/drawingml/2006/picture">
                <pic:pic xmlns:pic="http://schemas.openxmlformats.org/drawingml/2006/picture">
                  <pic:nvPicPr>
                    <pic:cNvPr id="12295" name="Picture 13"/>
                    <pic:cNvPicPr>
                      <a:picLocks noChangeAspect="1" noChangeArrowheads="1"/>
                    </pic:cNvPicPr>
                  </pic:nvPicPr>
                  <pic:blipFill>
                    <a:blip r:embed="rId27" cstate="print"/>
                    <a:srcRect/>
                    <a:stretch>
                      <a:fillRect/>
                    </a:stretch>
                  </pic:blipFill>
                  <pic:spPr bwMode="auto">
                    <a:xfrm>
                      <a:off x="0" y="0"/>
                      <a:ext cx="1597025" cy="1905000"/>
                    </a:xfrm>
                    <a:prstGeom prst="rect">
                      <a:avLst/>
                    </a:prstGeom>
                    <a:noFill/>
                    <a:ln w="9525">
                      <a:solidFill>
                        <a:schemeClr val="accent1"/>
                      </a:solidFill>
                      <a:miter lim="800000"/>
                      <a:headEnd/>
                      <a:tailEnd/>
                    </a:ln>
                  </pic:spPr>
                </pic:pic>
              </a:graphicData>
            </a:graphic>
          </wp:inline>
        </w:drawing>
      </w:r>
      <w:r w:rsidRPr="00B836BC">
        <w:t xml:space="preserve"> </w:t>
      </w:r>
    </w:p>
    <w:p w:rsidR="00B836BC" w:rsidRDefault="00B836BC" w:rsidP="00B836BC">
      <w:pPr>
        <w:pStyle w:val="Caption"/>
      </w:pPr>
      <w:bookmarkStart w:id="35" w:name="_Toc351890053"/>
      <w:proofErr w:type="gramStart"/>
      <w:r>
        <w:t xml:space="preserve">Figure </w:t>
      </w:r>
      <w:fldSimple w:instr=" SEQ Figure \* ARABIC ">
        <w:r w:rsidR="005B6C27">
          <w:rPr>
            <w:noProof/>
          </w:rPr>
          <w:t>12</w:t>
        </w:r>
      </w:fldSimple>
      <w:r>
        <w:t>.</w:t>
      </w:r>
      <w:proofErr w:type="gramEnd"/>
      <w:r>
        <w:t xml:space="preserve"> Raw sinogram (left) and the same sinogram corrected for attenuation, randoms, scatter, and normalization.</w:t>
      </w:r>
      <w:bookmarkEnd w:id="35"/>
    </w:p>
    <w:p w:rsidR="00B836BC" w:rsidRPr="00DE128A" w:rsidRDefault="00B836BC" w:rsidP="004238C9">
      <w:pPr>
        <w:spacing w:line="480" w:lineRule="auto"/>
        <w:ind w:firstLine="720"/>
        <w:outlineLvl w:val="2"/>
        <w:rPr>
          <w:color w:val="FF0000"/>
        </w:rPr>
      </w:pPr>
    </w:p>
    <w:p w:rsidR="00765255" w:rsidRPr="00F920F6" w:rsidRDefault="00765255" w:rsidP="00765255">
      <w:pPr>
        <w:pStyle w:val="Heading2"/>
      </w:pPr>
      <w:bookmarkStart w:id="36" w:name="_Toc351889997"/>
      <w:r>
        <w:t>Reconstruction</w:t>
      </w:r>
      <w:bookmarkEnd w:id="36"/>
    </w:p>
    <w:p w:rsidR="007D4649" w:rsidRDefault="00765255" w:rsidP="007D4649">
      <w:pPr>
        <w:numPr>
          <w:ilvl w:val="12"/>
          <w:numId w:val="0"/>
        </w:numPr>
        <w:spacing w:line="480" w:lineRule="auto"/>
        <w:ind w:firstLine="720"/>
      </w:pPr>
      <w:r w:rsidRPr="00765255">
        <w:t xml:space="preserve">Over the course of the scan, millions of counts are recorded, </w:t>
      </w:r>
      <w:r w:rsidR="00B2194F">
        <w:t>distributed among the various</w:t>
      </w:r>
      <w:r w:rsidRPr="00765255">
        <w:t xml:space="preserve"> LOR</w:t>
      </w:r>
      <w:r w:rsidR="00B2194F">
        <w:t>s</w:t>
      </w:r>
      <w:r w:rsidRPr="00765255">
        <w:t xml:space="preserve"> within the FOV.  For every angle, </w:t>
      </w:r>
      <w:r w:rsidR="00E178A9">
        <w:t>the</w:t>
      </w:r>
      <w:r w:rsidRPr="00765255">
        <w:t xml:space="preserve"> LORs are </w:t>
      </w:r>
      <w:r w:rsidR="00E178A9">
        <w:t>sorted into sets of</w:t>
      </w:r>
      <w:r w:rsidRPr="00765255">
        <w:t xml:space="preserve"> parallel projections, where each </w:t>
      </w:r>
      <w:r w:rsidR="00ED2839">
        <w:t>projection</w:t>
      </w:r>
      <w:r w:rsidRPr="00765255">
        <w:t xml:space="preserve"> bin is the </w:t>
      </w:r>
      <w:r w:rsidR="00ED2839">
        <w:t xml:space="preserve">1-dimensional </w:t>
      </w:r>
      <w:r w:rsidR="00E178A9">
        <w:t>integral</w:t>
      </w:r>
      <w:r w:rsidRPr="00765255">
        <w:t xml:space="preserve"> of the measur</w:t>
      </w:r>
      <w:r w:rsidR="00E178A9">
        <w:t xml:space="preserve">ed activity along the line.  The </w:t>
      </w:r>
      <w:r w:rsidRPr="00765255">
        <w:t xml:space="preserve">basic task of any tomographic reconstruction algorithm is to </w:t>
      </w:r>
      <w:r w:rsidR="007F6004">
        <w:t>estimate</w:t>
      </w:r>
      <w:r w:rsidRPr="00765255">
        <w:t xml:space="preserve"> the spatial distribution that produced the measured projections. </w:t>
      </w:r>
    </w:p>
    <w:p w:rsidR="007D4649" w:rsidRDefault="00836AFB" w:rsidP="00456B77">
      <w:pPr>
        <w:pStyle w:val="Heading3"/>
      </w:pPr>
      <w:bookmarkStart w:id="37" w:name="_Toc351889998"/>
      <w:r>
        <w:t>Direct</w:t>
      </w:r>
      <w:r w:rsidR="007D4649">
        <w:t xml:space="preserve"> Reconstruction</w:t>
      </w:r>
      <w:bookmarkEnd w:id="37"/>
    </w:p>
    <w:p w:rsidR="007D4649" w:rsidRPr="007D4649" w:rsidRDefault="007D4649" w:rsidP="007D4649"/>
    <w:p w:rsidR="00921B39" w:rsidRDefault="00F82044" w:rsidP="00921B39">
      <w:pPr>
        <w:spacing w:line="480" w:lineRule="auto"/>
        <w:ind w:firstLine="720"/>
        <w:outlineLvl w:val="2"/>
      </w:pPr>
      <w:r w:rsidRPr="00F82044">
        <w:t xml:space="preserve">The projections are </w:t>
      </w:r>
      <w:r w:rsidR="007F6004">
        <w:t>expressed</w:t>
      </w:r>
      <w:r w:rsidRPr="00F82044">
        <w:t xml:space="preserve"> mathematically as Radon transforms of the data</w:t>
      </w:r>
      <w:r w:rsidR="00F154D9">
        <w:t>.  T</w:t>
      </w:r>
      <w:r w:rsidRPr="00F82044">
        <w:t xml:space="preserve">he reconstruction attempts to form an image through </w:t>
      </w:r>
      <w:r w:rsidR="00CE0A95">
        <w:t xml:space="preserve">the </w:t>
      </w:r>
      <w:r w:rsidRPr="00F82044">
        <w:t xml:space="preserve">inverse </w:t>
      </w:r>
      <w:r w:rsidR="00CE0A95">
        <w:t>process</w:t>
      </w:r>
      <w:r w:rsidRPr="00F82044">
        <w:t>.  However, if the projections are simply propagated back along their respective LORs, low frequency “smearing” effects dominate the resulting image.</w:t>
      </w:r>
      <w:r>
        <w:t xml:space="preserve">  The figure below demonstrates this effect.</w:t>
      </w:r>
    </w:p>
    <w:p w:rsidR="00E82DCF" w:rsidRPr="00921B39" w:rsidRDefault="00F82044" w:rsidP="00921B39">
      <w:pPr>
        <w:spacing w:line="480" w:lineRule="auto"/>
        <w:ind w:firstLine="720"/>
        <w:outlineLvl w:val="2"/>
      </w:pPr>
      <w:r>
        <w:rPr>
          <w:rFonts w:ascii="Book Antiqua" w:hAnsi="Book Antiqua"/>
          <w:sz w:val="20"/>
          <w:szCs w:val="20"/>
        </w:rPr>
        <w:lastRenderedPageBreak/>
        <w:tab/>
      </w:r>
      <w:r w:rsidR="007D4649">
        <w:rPr>
          <w:rFonts w:ascii="Book Antiqua" w:hAnsi="Book Antiqua"/>
          <w:sz w:val="20"/>
          <w:szCs w:val="20"/>
        </w:rPr>
        <w:t xml:space="preserve"> </w:t>
      </w:r>
      <w:r>
        <w:rPr>
          <w:rFonts w:ascii="Book Antiqua" w:hAnsi="Book Antiqua"/>
          <w:sz w:val="20"/>
          <w:szCs w:val="20"/>
        </w:rPr>
        <w:t xml:space="preserve"> </w:t>
      </w:r>
      <w:r>
        <w:rPr>
          <w:rFonts w:ascii="Book Antiqua" w:eastAsiaTheme="minorEastAsia" w:hAnsi="Book Antiqua"/>
          <w:sz w:val="20"/>
          <w:szCs w:val="20"/>
        </w:rPr>
        <w:tab/>
      </w:r>
      <w:r>
        <w:rPr>
          <w:rFonts w:ascii="Book Antiqua" w:eastAsiaTheme="minorEastAsia" w:hAnsi="Book Antiqua"/>
          <w:sz w:val="20"/>
          <w:szCs w:val="20"/>
        </w:rPr>
        <w:tab/>
      </w:r>
      <w:r>
        <w:rPr>
          <w:rFonts w:ascii="Book Antiqua" w:eastAsiaTheme="minorEastAsia" w:hAnsi="Book Antiqua"/>
          <w:sz w:val="20"/>
          <w:szCs w:val="20"/>
        </w:rPr>
        <w:tab/>
        <w:t xml:space="preserve">  </w:t>
      </w:r>
      <w:r w:rsidR="00921B39">
        <w:rPr>
          <w:noProof/>
        </w:rPr>
        <w:drawing>
          <wp:inline distT="0" distB="0" distL="0" distR="0">
            <wp:extent cx="5486400" cy="182880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5486400" cy="1828800"/>
                    </a:xfrm>
                    <a:prstGeom prst="rect">
                      <a:avLst/>
                    </a:prstGeom>
                    <a:noFill/>
                    <a:ln w="9525">
                      <a:noFill/>
                      <a:miter lim="800000"/>
                      <a:headEnd/>
                      <a:tailEnd/>
                    </a:ln>
                  </pic:spPr>
                </pic:pic>
              </a:graphicData>
            </a:graphic>
          </wp:inline>
        </w:drawing>
      </w:r>
    </w:p>
    <w:p w:rsidR="00E159B8" w:rsidRPr="00F920F6" w:rsidRDefault="00E82DCF" w:rsidP="0084023C">
      <w:pPr>
        <w:pStyle w:val="Caption"/>
      </w:pPr>
      <w:bookmarkStart w:id="38" w:name="_Toc304556363"/>
      <w:bookmarkStart w:id="39" w:name="_Toc351890054"/>
      <w:proofErr w:type="gramStart"/>
      <w:r>
        <w:t xml:space="preserve">Figure </w:t>
      </w:r>
      <w:r w:rsidR="009B6816">
        <w:fldChar w:fldCharType="begin"/>
      </w:r>
      <w:r w:rsidR="005A0FF6">
        <w:instrText xml:space="preserve"> SEQ Figure \* ARABIC </w:instrText>
      </w:r>
      <w:r w:rsidR="009B6816">
        <w:fldChar w:fldCharType="separate"/>
      </w:r>
      <w:r w:rsidR="005B6C27">
        <w:rPr>
          <w:noProof/>
        </w:rPr>
        <w:t>13</w:t>
      </w:r>
      <w:r w:rsidR="009B6816">
        <w:fldChar w:fldCharType="end"/>
      </w:r>
      <w:r>
        <w:t>.</w:t>
      </w:r>
      <w:proofErr w:type="gramEnd"/>
      <w:r>
        <w:t xml:space="preserve"> Blurring effect of backprojection</w:t>
      </w:r>
      <w:bookmarkEnd w:id="38"/>
      <w:bookmarkEnd w:id="39"/>
    </w:p>
    <w:p w:rsidR="00D217B9" w:rsidRDefault="00D217B9" w:rsidP="00E159B8">
      <w:pPr>
        <w:numPr>
          <w:ilvl w:val="12"/>
          <w:numId w:val="0"/>
        </w:numPr>
        <w:spacing w:line="480" w:lineRule="auto"/>
        <w:ind w:firstLine="720"/>
      </w:pPr>
    </w:p>
    <w:p w:rsidR="00284A97" w:rsidRDefault="00E159B8" w:rsidP="00B34418">
      <w:pPr>
        <w:numPr>
          <w:ilvl w:val="12"/>
          <w:numId w:val="0"/>
        </w:numPr>
        <w:spacing w:line="480" w:lineRule="auto"/>
        <w:ind w:firstLine="720"/>
      </w:pPr>
      <w:r w:rsidRPr="00E159B8">
        <w:t xml:space="preserve">The effects of the </w:t>
      </w:r>
      <w:r w:rsidR="0089405C">
        <w:t>backprojection</w:t>
      </w:r>
      <w:r w:rsidRPr="00E159B8">
        <w:t xml:space="preserve"> operation cause the </w:t>
      </w:r>
      <w:r w:rsidR="0023577A">
        <w:t xml:space="preserve">reconstructed </w:t>
      </w:r>
      <w:r w:rsidRPr="00E159B8">
        <w:t>image to appear blurry</w:t>
      </w:r>
      <w:r w:rsidR="0060799A">
        <w:t xml:space="preserve"> because every point in the original distribution is more closely sampled at small radial distances</w:t>
      </w:r>
      <w:r w:rsidRPr="00E159B8">
        <w:t xml:space="preserve">.  </w:t>
      </w:r>
      <w:r w:rsidR="00540F44">
        <w:t xml:space="preserve">In fact, the image produced from the backprojection process </w:t>
      </w:r>
      <m:oMath>
        <m:r>
          <w:rPr>
            <w:rFonts w:ascii="Cambria Math" w:hAnsi="Cambria Math"/>
          </w:rPr>
          <m:t>f'(r)</m:t>
        </m:r>
      </m:oMath>
      <w:r w:rsidR="00540F44">
        <w:t xml:space="preserve"> is represented mathematically as the convolution of the original distribution </w:t>
      </w:r>
      <m:oMath>
        <m:r>
          <w:rPr>
            <w:rFonts w:ascii="Cambria Math" w:hAnsi="Cambria Math"/>
          </w:rPr>
          <m:t>f(r)</m:t>
        </m:r>
      </m:oMath>
      <w:r w:rsidR="00540F44">
        <w:t xml:space="preserve"> with a radial blurring </w:t>
      </w:r>
      <w:proofErr w:type="gramStart"/>
      <w:r w:rsidR="00540F44">
        <w:t xml:space="preserve">kernel </w:t>
      </w:r>
      <m:oMath>
        <w:proofErr w:type="gramEnd"/>
        <m:r>
          <w:rPr>
            <w:rFonts w:ascii="Cambria Math" w:hAnsi="Cambria Math"/>
          </w:rPr>
          <m:t>1/|r|</m:t>
        </m:r>
      </m:oMath>
      <w:r w:rsidR="00E205B0">
        <w:t xml:space="preserve">.  </w:t>
      </w:r>
      <w:r w:rsidR="00E41F11">
        <w:t>The</w:t>
      </w:r>
      <w:r w:rsidR="007E71E7">
        <w:t xml:space="preserve"> commutative na</w:t>
      </w:r>
      <w:r w:rsidR="00E41F11">
        <w:t>ture of the projection integral permits</w:t>
      </w:r>
      <w:r w:rsidR="007E71E7">
        <w:t xml:space="preserve"> the blurring</w:t>
      </w:r>
      <w:r w:rsidR="00E205B0">
        <w:t xml:space="preserve"> </w:t>
      </w:r>
      <w:r w:rsidR="00E41F11">
        <w:t>to</w:t>
      </w:r>
      <w:r w:rsidR="007E71E7">
        <w:t xml:space="preserve"> be</w:t>
      </w:r>
      <w:r w:rsidR="00E205B0">
        <w:t xml:space="preserve"> </w:t>
      </w:r>
      <w:r w:rsidR="007E71E7">
        <w:t>pre-</w:t>
      </w:r>
      <w:r w:rsidR="00E205B0">
        <w:t>corrected by filtering the projections</w:t>
      </w:r>
      <w:r w:rsidR="007E71E7">
        <w:t xml:space="preserve"> before </w:t>
      </w:r>
      <w:proofErr w:type="spellStart"/>
      <w:r w:rsidR="007E71E7">
        <w:t>backprojecting</w:t>
      </w:r>
      <w:proofErr w:type="spellEnd"/>
      <w:r w:rsidR="007E71E7">
        <w:t xml:space="preserve"> them.  A frequency ramp filter</w:t>
      </w:r>
      <w:r w:rsidR="00B34418">
        <w:t xml:space="preserve"> </w:t>
      </w:r>
      <w:r w:rsidR="00E41F11">
        <w:t xml:space="preserve">is used to </w:t>
      </w:r>
      <w:r w:rsidR="00B34418">
        <w:t xml:space="preserve">introduce negative values in the projections and </w:t>
      </w:r>
      <w:r w:rsidR="00E205B0">
        <w:t>suppress</w:t>
      </w:r>
      <w:r w:rsidR="00B34418">
        <w:t>es</w:t>
      </w:r>
      <w:r w:rsidR="00E205B0">
        <w:t xml:space="preserve"> the low frequency </w:t>
      </w:r>
      <w:r w:rsidR="00B34418">
        <w:t>contributions in the final image</w:t>
      </w:r>
      <w:r w:rsidR="00E205B0">
        <w:t xml:space="preserve">.  </w:t>
      </w:r>
      <w:r w:rsidR="00B34418">
        <w:t>This is appropriately</w:t>
      </w:r>
      <w:r w:rsidR="00AF0969">
        <w:t xml:space="preserve"> called filtered backprojection</w:t>
      </w:r>
      <w:r w:rsidR="002B61F8">
        <w:t xml:space="preserve"> (FBP) </w:t>
      </w:r>
      <w:r w:rsidR="00AF0969">
        <w:t xml:space="preserve">and </w:t>
      </w:r>
      <w:r w:rsidR="002B61F8">
        <w:t>is illustrated below.</w:t>
      </w:r>
    </w:p>
    <w:p w:rsidR="00AD2D10" w:rsidRDefault="00AD2D10" w:rsidP="00AD2D10">
      <w:pPr>
        <w:numPr>
          <w:ilvl w:val="12"/>
          <w:numId w:val="0"/>
        </w:numPr>
        <w:spacing w:line="480" w:lineRule="auto"/>
      </w:pPr>
    </w:p>
    <w:p w:rsidR="00975B14" w:rsidRDefault="00975B14" w:rsidP="00975B14">
      <w:pPr>
        <w:suppressAutoHyphens/>
        <w:autoSpaceDE w:val="0"/>
        <w:jc w:val="both"/>
        <w:rPr>
          <w:rFonts w:ascii="Book Antiqua" w:hAnsi="Book Antiqua"/>
          <w:sz w:val="20"/>
          <w:szCs w:val="20"/>
        </w:rPr>
      </w:pPr>
      <w:r>
        <w:rPr>
          <w:rFonts w:ascii="Book Antiqua" w:hAnsi="Book Antiqua"/>
          <w:sz w:val="20"/>
          <w:szCs w:val="20"/>
        </w:rPr>
        <w:tab/>
      </w:r>
    </w:p>
    <w:p w:rsidR="002B61F8" w:rsidRDefault="00921B39" w:rsidP="002B61F8">
      <w:pPr>
        <w:suppressAutoHyphens/>
        <w:autoSpaceDE w:val="0"/>
        <w:ind w:right="-180"/>
      </w:pPr>
      <w:r>
        <w:rPr>
          <w:noProof/>
        </w:rPr>
        <w:lastRenderedPageBreak/>
        <w:drawing>
          <wp:inline distT="0" distB="0" distL="0" distR="0">
            <wp:extent cx="5486400" cy="1828800"/>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5486400" cy="1828800"/>
                    </a:xfrm>
                    <a:prstGeom prst="rect">
                      <a:avLst/>
                    </a:prstGeom>
                    <a:noFill/>
                    <a:ln w="9525">
                      <a:noFill/>
                      <a:miter lim="800000"/>
                      <a:headEnd/>
                      <a:tailEnd/>
                    </a:ln>
                  </pic:spPr>
                </pic:pic>
              </a:graphicData>
            </a:graphic>
          </wp:inline>
        </w:drawing>
      </w:r>
    </w:p>
    <w:p w:rsidR="00456B77" w:rsidRPr="00F920F6" w:rsidRDefault="002B61F8" w:rsidP="0084023C">
      <w:pPr>
        <w:pStyle w:val="Caption"/>
      </w:pPr>
      <w:bookmarkStart w:id="40" w:name="_Toc304556364"/>
      <w:bookmarkStart w:id="41" w:name="_Toc351890055"/>
      <w:proofErr w:type="gramStart"/>
      <w:r>
        <w:t xml:space="preserve">Figure </w:t>
      </w:r>
      <w:r w:rsidR="009B6816">
        <w:fldChar w:fldCharType="begin"/>
      </w:r>
      <w:r w:rsidR="005A0FF6">
        <w:instrText xml:space="preserve"> SEQ Figure \* ARABIC </w:instrText>
      </w:r>
      <w:r w:rsidR="009B6816">
        <w:fldChar w:fldCharType="separate"/>
      </w:r>
      <w:r w:rsidR="005B6C27">
        <w:rPr>
          <w:noProof/>
        </w:rPr>
        <w:t>14</w:t>
      </w:r>
      <w:r w:rsidR="009B6816">
        <w:fldChar w:fldCharType="end"/>
      </w:r>
      <w:r>
        <w:t>.</w:t>
      </w:r>
      <w:proofErr w:type="gramEnd"/>
      <w:r>
        <w:t xml:space="preserve"> Filtered backprojection process</w:t>
      </w:r>
      <w:bookmarkEnd w:id="40"/>
      <w:bookmarkEnd w:id="41"/>
    </w:p>
    <w:p w:rsidR="0086578D" w:rsidRDefault="0086578D" w:rsidP="0084023C">
      <w:pPr>
        <w:pStyle w:val="Caption"/>
        <w:rPr>
          <w:i w:val="0"/>
        </w:rPr>
      </w:pPr>
    </w:p>
    <w:p w:rsidR="00456B77" w:rsidRPr="00AB1390" w:rsidRDefault="00456B77" w:rsidP="0084023C">
      <w:pPr>
        <w:pStyle w:val="Caption"/>
        <w:rPr>
          <w:i w:val="0"/>
        </w:rPr>
      </w:pPr>
      <w:r w:rsidRPr="00AB1390">
        <w:rPr>
          <w:i w:val="0"/>
        </w:rPr>
        <w:t>The ramp filter amplifies the high frequency components in the back projection.  The filtering process is based on the central slice theorem</w:t>
      </w:r>
      <w:r w:rsidR="00A637D6">
        <w:rPr>
          <w:i w:val="0"/>
        </w:rPr>
        <w:t>,</w:t>
      </w:r>
      <w:r w:rsidRPr="00AB1390">
        <w:rPr>
          <w:i w:val="0"/>
        </w:rPr>
        <w:t xml:space="preserve"> which is also the foundation for direct inverse Fourier transformation (DIFT).  In this scheme, the projections in frequency space are</w:t>
      </w:r>
      <w:r w:rsidR="009F2578" w:rsidRPr="00AB1390">
        <w:rPr>
          <w:i w:val="0"/>
        </w:rPr>
        <w:t xml:space="preserve"> interpolated and</w:t>
      </w:r>
      <w:r w:rsidRPr="00AB1390">
        <w:rPr>
          <w:i w:val="0"/>
        </w:rPr>
        <w:t xml:space="preserve"> used to create the Fourier image which is then directly transformed back into the real image. </w:t>
      </w:r>
    </w:p>
    <w:p w:rsidR="00456B77" w:rsidRPr="00AB1390" w:rsidRDefault="00456B77" w:rsidP="0084023C">
      <w:pPr>
        <w:pStyle w:val="Caption"/>
        <w:rPr>
          <w:i w:val="0"/>
        </w:rPr>
      </w:pPr>
      <w:r w:rsidRPr="00AB1390">
        <w:rPr>
          <w:i w:val="0"/>
        </w:rPr>
        <w:t xml:space="preserve">PET is </w:t>
      </w:r>
      <w:r w:rsidR="00E2553B">
        <w:rPr>
          <w:i w:val="0"/>
        </w:rPr>
        <w:t>an intrinsically</w:t>
      </w:r>
      <w:r w:rsidR="00561DD5" w:rsidRPr="00AB1390">
        <w:rPr>
          <w:i w:val="0"/>
        </w:rPr>
        <w:t xml:space="preserve"> noisy process.  S</w:t>
      </w:r>
      <w:r w:rsidRPr="00AB1390">
        <w:rPr>
          <w:i w:val="0"/>
        </w:rPr>
        <w:t xml:space="preserve">tatistical noise in Fourier space </w:t>
      </w:r>
      <w:r w:rsidR="000A44EF" w:rsidRPr="00AB1390">
        <w:rPr>
          <w:i w:val="0"/>
        </w:rPr>
        <w:t>has</w:t>
      </w:r>
      <w:r w:rsidR="00561DD5" w:rsidRPr="00AB1390">
        <w:rPr>
          <w:i w:val="0"/>
        </w:rPr>
        <w:t xml:space="preserve"> high frequency components, and the ramp-filtering process amplifies this noise</w:t>
      </w:r>
      <w:r w:rsidRPr="00AB1390">
        <w:rPr>
          <w:i w:val="0"/>
        </w:rPr>
        <w:t xml:space="preserve">.  Due to this, </w:t>
      </w:r>
      <w:r w:rsidR="00561DD5" w:rsidRPr="00AB1390">
        <w:rPr>
          <w:i w:val="0"/>
        </w:rPr>
        <w:t xml:space="preserve">other </w:t>
      </w:r>
      <w:r w:rsidR="00887C05">
        <w:rPr>
          <w:i w:val="0"/>
        </w:rPr>
        <w:t>windows are introduced</w:t>
      </w:r>
      <w:r w:rsidR="00561DD5" w:rsidRPr="00AB1390">
        <w:rPr>
          <w:i w:val="0"/>
        </w:rPr>
        <w:t xml:space="preserve"> to reduce this unwanted amplification.  Even so, </w:t>
      </w:r>
      <w:r w:rsidRPr="00AB1390">
        <w:rPr>
          <w:i w:val="0"/>
        </w:rPr>
        <w:t xml:space="preserve">the quality of images generated through </w:t>
      </w:r>
      <w:r w:rsidR="00836AFB">
        <w:rPr>
          <w:i w:val="0"/>
        </w:rPr>
        <w:t>direct</w:t>
      </w:r>
      <w:r w:rsidR="00B65D40">
        <w:rPr>
          <w:i w:val="0"/>
        </w:rPr>
        <w:t xml:space="preserve"> methods is generally</w:t>
      </w:r>
      <w:r w:rsidRPr="00AB1390">
        <w:rPr>
          <w:i w:val="0"/>
        </w:rPr>
        <w:t xml:space="preserve"> inferior to that of</w:t>
      </w:r>
      <w:r w:rsidR="0072304C" w:rsidRPr="00AB1390">
        <w:rPr>
          <w:i w:val="0"/>
        </w:rPr>
        <w:t xml:space="preserve"> non-linear</w:t>
      </w:r>
      <w:r w:rsidRPr="00AB1390">
        <w:rPr>
          <w:i w:val="0"/>
        </w:rPr>
        <w:t xml:space="preserve"> algorithms.  </w:t>
      </w:r>
    </w:p>
    <w:p w:rsidR="00456B77" w:rsidRDefault="00456B77" w:rsidP="00456B77">
      <w:pPr>
        <w:pStyle w:val="Heading3"/>
      </w:pPr>
      <w:bookmarkStart w:id="42" w:name="_Toc351889999"/>
      <w:r>
        <w:t>Iterative Reconstruction</w:t>
      </w:r>
      <w:bookmarkEnd w:id="42"/>
    </w:p>
    <w:p w:rsidR="00456B77" w:rsidRPr="007D4649" w:rsidRDefault="00456B77" w:rsidP="00456B77"/>
    <w:p w:rsidR="00B25678" w:rsidRDefault="00F154D9" w:rsidP="004E2393">
      <w:pPr>
        <w:numPr>
          <w:ilvl w:val="12"/>
          <w:numId w:val="0"/>
        </w:numPr>
        <w:spacing w:line="480" w:lineRule="auto"/>
        <w:ind w:firstLine="720"/>
      </w:pPr>
      <w:r>
        <w:t>Most current PET</w:t>
      </w:r>
      <w:r w:rsidR="00456B77" w:rsidRPr="00456B77">
        <w:t xml:space="preserve"> reconstruction algorithms do not produce images by directly inverting the projection data.  Instead, they are based on sequential, iterative estimates that converge to an image </w:t>
      </w:r>
      <w:r w:rsidR="00E2553B">
        <w:t>best representing</w:t>
      </w:r>
      <w:r w:rsidR="00456B77" w:rsidRPr="00456B77">
        <w:t xml:space="preserve"> the original object.  These algorithms are </w:t>
      </w:r>
      <w:r w:rsidR="00456B77" w:rsidRPr="00456B77">
        <w:lastRenderedPageBreak/>
        <w:t xml:space="preserve">termed expectation maximization (EM) and are well suited to </w:t>
      </w:r>
      <w:r>
        <w:t xml:space="preserve">low-count </w:t>
      </w:r>
      <w:r w:rsidR="00456B77" w:rsidRPr="00456B77">
        <w:t>emission tomography because they are less sensitive to noise in the data.</w:t>
      </w:r>
      <w:r w:rsidR="00B25678">
        <w:t xml:space="preserve">  </w:t>
      </w:r>
    </w:p>
    <w:p w:rsidR="00456B77" w:rsidRDefault="00456B77" w:rsidP="00456B77">
      <w:pPr>
        <w:numPr>
          <w:ilvl w:val="12"/>
          <w:numId w:val="0"/>
        </w:numPr>
        <w:spacing w:line="480" w:lineRule="auto"/>
        <w:ind w:firstLine="720"/>
      </w:pPr>
      <w:r w:rsidRPr="00456B77">
        <w:t xml:space="preserve">Iterative reconstruction involves the </w:t>
      </w:r>
      <w:r w:rsidR="00D217B9">
        <w:t xml:space="preserve">sequential </w:t>
      </w:r>
      <w:r w:rsidRPr="00456B77">
        <w:t xml:space="preserve">forward and </w:t>
      </w:r>
      <w:proofErr w:type="spellStart"/>
      <w:r w:rsidR="00B25678">
        <w:t>backprojection</w:t>
      </w:r>
      <w:r w:rsidR="00D217B9">
        <w:t>s</w:t>
      </w:r>
      <w:proofErr w:type="spellEnd"/>
      <w:r w:rsidRPr="00456B77">
        <w:t xml:space="preserve"> of </w:t>
      </w:r>
      <w:r w:rsidR="00E2553B">
        <w:t xml:space="preserve">a </w:t>
      </w:r>
      <w:r w:rsidRPr="00456B77">
        <w:t xml:space="preserve">simulated </w:t>
      </w:r>
      <w:r w:rsidR="00E2553B">
        <w:t>image</w:t>
      </w:r>
      <w:r w:rsidRPr="00456B77">
        <w:t xml:space="preserve"> in the attempt to match the measured </w:t>
      </w:r>
      <w:r w:rsidR="00E2553B">
        <w:t>distribution</w:t>
      </w:r>
      <w:r w:rsidRPr="00456B77">
        <w:t xml:space="preserve"> as </w:t>
      </w:r>
      <w:r w:rsidR="0056068D">
        <w:t>accurately</w:t>
      </w:r>
      <w:r w:rsidRPr="00456B77">
        <w:t xml:space="preserve"> as possible.  Using this technique, the image is approximated, forward projected, and then compared with the actual measured projection</w:t>
      </w:r>
      <w:r w:rsidR="00F154D9">
        <w:t xml:space="preserve"> data</w:t>
      </w:r>
      <w:r w:rsidRPr="00456B77">
        <w:t>.  The difference in the projections is used to generate a correction matrix which is applied to the estimated image.  This is done multiple times until the algorithm arrives at an acceptable image.  The basic EM algorithm takes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k+1</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k</m:t>
                    </m:r>
                  </m:sup>
                </m:sSubSup>
                <m:r>
                  <w:rPr>
                    <w:rFonts w:ascii="Cambria Math" w:hAnsi="Cambria Math"/>
                  </w:rPr>
                  <m:t>∙</m:t>
                </m:r>
                <m:f>
                  <m:fPr>
                    <m:ctrlPr>
                      <w:rPr>
                        <w:rFonts w:ascii="Cambria Math" w:hAnsi="Cambria Math"/>
                        <w:i/>
                      </w:rPr>
                    </m:ctrlPr>
                  </m:fPr>
                  <m:num>
                    <m:r>
                      <w:rPr>
                        <w:rFonts w:ascii="Cambria Math" w:hAnsi="Cambria Math"/>
                      </w:rPr>
                      <m:t>1</m:t>
                    </m:r>
                  </m:num>
                  <m:den>
                    <m:nary>
                      <m:naryPr>
                        <m:chr m:val="∑"/>
                        <m:limLoc m:val="undOvr"/>
                        <m:supHide m:val="on"/>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i,j</m:t>
                            </m:r>
                          </m:sub>
                        </m:sSub>
                      </m:e>
                    </m:nary>
                  </m:den>
                </m:f>
                <m:nary>
                  <m:naryPr>
                    <m:chr m:val="∑"/>
                    <m:limLoc m:val="undOvr"/>
                    <m:supHide m:val="on"/>
                    <m:ctrlPr>
                      <w:rPr>
                        <w:rFonts w:ascii="Cambria Math" w:hAnsi="Cambria Math"/>
                        <w:i/>
                      </w:rPr>
                    </m:ctrlPr>
                  </m:naryPr>
                  <m:sub>
                    <m:r>
                      <w:rPr>
                        <w:rFonts w:ascii="Cambria Math" w:hAnsi="Cambria Math"/>
                      </w:rPr>
                      <m:t>i</m:t>
                    </m:r>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i</m:t>
                                </m:r>
                              </m:sub>
                            </m:sSub>
                          </m:num>
                          <m:den>
                            <m:nary>
                              <m:naryPr>
                                <m:chr m:val="∑"/>
                                <m:limLoc m:val="undOvr"/>
                                <m:supHide m:val="on"/>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p</m:t>
                                    </m:r>
                                  </m:e>
                                  <m:sub>
                                    <m:r>
                                      <w:rPr>
                                        <w:rFonts w:ascii="Cambria Math" w:hAnsi="Cambria Math"/>
                                      </w:rPr>
                                      <m:t>i,j</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k</m:t>
                                    </m:r>
                                  </m:sup>
                                </m:sSubSup>
                              </m:e>
                            </m:nary>
                          </m:den>
                        </m:f>
                      </m:e>
                    </m:d>
                  </m:e>
                </m:nary>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2</w:instrText>
              </w:r>
            </w:fldSimple>
            <w:r w:rsidR="00E26AFF">
              <w:instrText>.</w:instrText>
            </w:r>
            <w:fldSimple w:instr=" SEQ EquationNumber \n \* Arabic \* MERGEFORMAT ">
              <w:r w:rsidR="005B6C27">
                <w:rPr>
                  <w:noProof/>
                </w:rPr>
                <w:instrText>1</w:instrText>
              </w:r>
            </w:fldSimple>
            <w:r w:rsidR="00E26AFF">
              <w:instrText>)</w:instrText>
            </w:r>
            <w:r>
              <w:fldChar w:fldCharType="end"/>
            </w:r>
          </w:p>
        </w:tc>
      </w:tr>
    </w:tbl>
    <w:p w:rsidR="00456B77" w:rsidRDefault="00801F73" w:rsidP="00456B77">
      <w:pPr>
        <w:numPr>
          <w:ilvl w:val="12"/>
          <w:numId w:val="0"/>
        </w:numPr>
        <w:spacing w:line="480" w:lineRule="auto"/>
        <w:ind w:firstLine="720"/>
      </w:pPr>
      <w:r>
        <w:t xml:space="preserve">The estimate image </w:t>
      </w:r>
      <m:oMath>
        <m:r>
          <w:rPr>
            <w:rFonts w:ascii="Cambria Math" w:hAnsi="Cambria Math"/>
          </w:rPr>
          <m:t>X</m:t>
        </m:r>
      </m:oMath>
      <w:r>
        <w:t xml:space="preserve"> changes with each </w:t>
      </w:r>
      <w:proofErr w:type="gramStart"/>
      <w:r>
        <w:t xml:space="preserve">iteration </w:t>
      </w:r>
      <m:oMath>
        <w:proofErr w:type="gramEnd"/>
        <m:r>
          <w:rPr>
            <w:rFonts w:ascii="Cambria Math" w:hAnsi="Cambria Math"/>
          </w:rPr>
          <m:t>k</m:t>
        </m:r>
      </m:oMath>
      <w:r>
        <w:t xml:space="preserve">.  </w:t>
      </w:r>
      <w:r w:rsidR="00456B77" w:rsidRPr="00456B77">
        <w:t>Integral to t</w:t>
      </w:r>
      <w:r w:rsidR="00A239C4">
        <w:t>his method is the system matrix</w:t>
      </w:r>
      <w:r w:rsidR="00F154D9">
        <w:t xml:space="preserve"> </w:t>
      </w:r>
      <m:oMath>
        <m:r>
          <w:rPr>
            <w:rFonts w:ascii="Cambria Math" w:hAnsi="Cambria Math"/>
          </w:rPr>
          <m:t>p</m:t>
        </m:r>
      </m:oMath>
      <w:r w:rsidR="00A239C4">
        <w:t xml:space="preserve"> </w:t>
      </w:r>
      <w:r w:rsidR="00456B77" w:rsidRPr="00456B77">
        <w:t xml:space="preserve">which models the </w:t>
      </w:r>
      <w:r w:rsidR="004E2393">
        <w:t xml:space="preserve">physical </w:t>
      </w:r>
      <w:r w:rsidR="00456B77" w:rsidRPr="00456B77">
        <w:t xml:space="preserve">characteristics of the scanning process.  It </w:t>
      </w:r>
      <w:r w:rsidR="003C3983">
        <w:t>contains</w:t>
      </w:r>
      <w:r w:rsidR="00456B77" w:rsidRPr="00456B77">
        <w:t xml:space="preserve"> the </w:t>
      </w:r>
      <w:r w:rsidR="003C3983">
        <w:t>discrete</w:t>
      </w:r>
      <w:r w:rsidR="00456B77" w:rsidRPr="00456B77">
        <w:t xml:space="preserve"> probabilities that each projection bin</w:t>
      </w:r>
      <m:oMath>
        <m:r>
          <w:rPr>
            <w:rFonts w:ascii="Cambria Math" w:hAnsi="Cambria Math"/>
          </w:rPr>
          <m:t xml:space="preserve"> i</m:t>
        </m:r>
      </m:oMath>
      <w:r w:rsidR="004E2393">
        <w:t xml:space="preserve"> </w:t>
      </w:r>
      <w:r w:rsidR="00456B77" w:rsidRPr="00456B77">
        <w:t xml:space="preserve">contributes to each image </w:t>
      </w:r>
      <w:proofErr w:type="gramStart"/>
      <w:r w:rsidR="00456B77" w:rsidRPr="00456B77">
        <w:t>pixel</w:t>
      </w:r>
      <w:r w:rsidR="004E2393">
        <w:t xml:space="preserve"> </w:t>
      </w:r>
      <m:oMath>
        <w:proofErr w:type="gramEnd"/>
        <m:r>
          <w:rPr>
            <w:rFonts w:ascii="Cambria Math" w:hAnsi="Cambria Math"/>
          </w:rPr>
          <m:t>j</m:t>
        </m:r>
      </m:oMath>
      <w:r w:rsidR="00456B77" w:rsidRPr="00456B77">
        <w:t>.  Ideally, the system matrix accounts for all physical effects of scanner geometry and performance.  Attenuation-weighted (AW) algorithms, commonly used in clinical practice, incorporate the attenuation map from the CT scan into the system matrix, and the forward projector is better able to realistically simulate the acquisition process.  This increases the accuracy of the physical model unique to the individual scan.</w:t>
      </w:r>
    </w:p>
    <w:p w:rsidR="004E2393" w:rsidRDefault="00456B77" w:rsidP="004E2393">
      <w:pPr>
        <w:numPr>
          <w:ilvl w:val="12"/>
          <w:numId w:val="0"/>
        </w:numPr>
        <w:spacing w:line="480" w:lineRule="auto"/>
        <w:ind w:firstLine="720"/>
      </w:pPr>
      <w:r w:rsidRPr="00456B77">
        <w:t xml:space="preserve">Iterative algorithms </w:t>
      </w:r>
      <w:r w:rsidR="004C3713">
        <w:t>did</w:t>
      </w:r>
      <w:r w:rsidRPr="00456B77">
        <w:t xml:space="preserve"> not </w:t>
      </w:r>
      <w:r w:rsidR="004C3713">
        <w:t>find</w:t>
      </w:r>
      <w:r w:rsidRPr="00456B77">
        <w:t xml:space="preserve"> their place in the clinical setting until the last decade because the computational requirements of the iterative approach made the reconstruction process very slow.  The projections are calculated over many angles, </w:t>
      </w:r>
      <w:r w:rsidRPr="00456B77">
        <w:lastRenderedPageBreak/>
        <w:t xml:space="preserve">typically 128, 168 or 336, each taking as long as a complete FBP reconstruction. </w:t>
      </w:r>
      <w:r w:rsidR="004E2393">
        <w:t>The figure below shows the qualitative improvement of iterative reconstruction over filtered backprojection, both reconstructions being of the same projection data.</w:t>
      </w:r>
    </w:p>
    <w:p w:rsidR="004E2393" w:rsidRDefault="004E2393" w:rsidP="004E2393">
      <w:pPr>
        <w:numPr>
          <w:ilvl w:val="12"/>
          <w:numId w:val="0"/>
        </w:numPr>
        <w:spacing w:line="480" w:lineRule="auto"/>
        <w:ind w:firstLine="720"/>
      </w:pPr>
    </w:p>
    <w:p w:rsidR="004E2393" w:rsidRDefault="004E2393" w:rsidP="004E2393">
      <w:pPr>
        <w:suppressAutoHyphens/>
        <w:autoSpaceDE w:val="0"/>
        <w:ind w:right="-180"/>
      </w:pPr>
      <w:r>
        <w:rPr>
          <w:noProof/>
        </w:rPr>
        <w:drawing>
          <wp:inline distT="0" distB="0" distL="0" distR="0">
            <wp:extent cx="5486400" cy="2988945"/>
            <wp:effectExtent l="1905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5486400" cy="2988945"/>
                    </a:xfrm>
                    <a:prstGeom prst="rect">
                      <a:avLst/>
                    </a:prstGeom>
                    <a:noFill/>
                    <a:ln w="9525">
                      <a:noFill/>
                      <a:miter lim="800000"/>
                      <a:headEnd/>
                      <a:tailEnd/>
                    </a:ln>
                  </pic:spPr>
                </pic:pic>
              </a:graphicData>
            </a:graphic>
          </wp:inline>
        </w:drawing>
      </w:r>
      <w:r w:rsidRPr="00B25678">
        <w:t xml:space="preserve"> </w:t>
      </w:r>
    </w:p>
    <w:p w:rsidR="004E2393" w:rsidRPr="00F920F6" w:rsidRDefault="004E2393" w:rsidP="004E2393">
      <w:pPr>
        <w:pStyle w:val="Caption"/>
      </w:pPr>
      <w:bookmarkStart w:id="43" w:name="_Toc351890056"/>
      <w:proofErr w:type="gramStart"/>
      <w:r>
        <w:t xml:space="preserve">Figure </w:t>
      </w:r>
      <w:fldSimple w:instr=" SEQ Figure \* ARABIC ">
        <w:r w:rsidR="005B6C27">
          <w:rPr>
            <w:noProof/>
          </w:rPr>
          <w:t>15</w:t>
        </w:r>
      </w:fldSimple>
      <w:r>
        <w:t>.</w:t>
      </w:r>
      <w:proofErr w:type="gramEnd"/>
      <w:r>
        <w:t xml:space="preserve"> Expectation maximization (right) is less sensitive to noise relative to filtered backprojection (left) and produces better image quality in low-count conditions.</w:t>
      </w:r>
      <w:bookmarkEnd w:id="43"/>
    </w:p>
    <w:p w:rsidR="006E2A5C" w:rsidRDefault="006E2A5C" w:rsidP="0080452B">
      <w:pPr>
        <w:pStyle w:val="Heading2"/>
      </w:pPr>
    </w:p>
    <w:p w:rsidR="0080452B" w:rsidRDefault="0080452B" w:rsidP="0080452B">
      <w:pPr>
        <w:pStyle w:val="Heading2"/>
      </w:pPr>
      <w:bookmarkStart w:id="44" w:name="_Toc351890000"/>
      <w:r>
        <w:t>Scanner Performance</w:t>
      </w:r>
      <w:bookmarkEnd w:id="44"/>
    </w:p>
    <w:p w:rsidR="00601431" w:rsidRDefault="00971431" w:rsidP="00601431">
      <w:pPr>
        <w:numPr>
          <w:ilvl w:val="12"/>
          <w:numId w:val="0"/>
        </w:numPr>
        <w:spacing w:line="480" w:lineRule="auto"/>
        <w:ind w:firstLine="720"/>
      </w:pPr>
      <w:r>
        <w:t>I</w:t>
      </w:r>
      <w:r w:rsidR="00F41788">
        <w:t>mage</w:t>
      </w:r>
      <w:r>
        <w:t xml:space="preserve"> quality</w:t>
      </w:r>
      <w:r w:rsidR="00F41788">
        <w:t xml:space="preserve"> has drastically improved </w:t>
      </w:r>
      <w:r>
        <w:t>since the beginning of PET</w:t>
      </w:r>
      <w:r w:rsidR="00F41788">
        <w:t xml:space="preserve">, due largely to hardware improvements within the tomographs.  </w:t>
      </w:r>
      <w:r w:rsidR="003F66CC">
        <w:t xml:space="preserve">Advances in scintillating materials, </w:t>
      </w:r>
      <w:r>
        <w:t>larger numbers of</w:t>
      </w:r>
      <w:r w:rsidR="003F66CC">
        <w:t xml:space="preserve"> detector</w:t>
      </w:r>
      <w:r>
        <w:t>s</w:t>
      </w:r>
      <w:r w:rsidR="003F66CC">
        <w:t xml:space="preserve">, smaller crystal elements, and faster electronics all improve the photon detection system.  The performance of an individual scanner </w:t>
      </w:r>
      <w:r w:rsidR="007E1CAC">
        <w:t>can be</w:t>
      </w:r>
      <w:r w:rsidR="003F66CC">
        <w:t xml:space="preserve"> defined </w:t>
      </w:r>
      <w:r w:rsidR="007E1CAC">
        <w:t>in terms of</w:t>
      </w:r>
      <w:r w:rsidR="003F66CC">
        <w:t xml:space="preserve"> its</w:t>
      </w:r>
      <w:r w:rsidR="00F41788">
        <w:t xml:space="preserve"> noise equivalent count r</w:t>
      </w:r>
      <w:r w:rsidR="005E3DF1">
        <w:t>ate (NECR).</w:t>
      </w:r>
      <w:r w:rsidR="00F41788">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601431" w:rsidTr="00601431">
        <w:tc>
          <w:tcPr>
            <w:tcW w:w="7920" w:type="dxa"/>
            <w:shd w:val="clear" w:color="auto" w:fill="auto"/>
            <w:vAlign w:val="center"/>
          </w:tcPr>
          <w:p w:rsidR="00601431" w:rsidRPr="00601431" w:rsidRDefault="00601431" w:rsidP="00601431">
            <w:pPr>
              <w:numPr>
                <w:ilvl w:val="12"/>
                <w:numId w:val="0"/>
              </w:numPr>
              <w:spacing w:line="288" w:lineRule="auto"/>
            </w:pPr>
            <m:oMathPara>
              <m:oMath>
                <m:r>
                  <w:rPr>
                    <w:rFonts w:ascii="Cambria Math" w:hAnsi="Cambria Math"/>
                  </w:rPr>
                  <w:lastRenderedPageBreak/>
                  <m:t>NEC≡</m:t>
                </m:r>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T+R+S</m:t>
                    </m:r>
                  </m:den>
                </m:f>
              </m:oMath>
            </m:oMathPara>
          </w:p>
          <w:p w:rsidR="00601431" w:rsidRPr="00601431" w:rsidRDefault="00601431" w:rsidP="00601431">
            <w:pPr>
              <w:numPr>
                <w:ilvl w:val="12"/>
                <w:numId w:val="0"/>
              </w:numPr>
              <w:spacing w:line="288" w:lineRule="auto"/>
            </w:pPr>
          </w:p>
        </w:tc>
        <w:tc>
          <w:tcPr>
            <w:tcW w:w="720" w:type="dxa"/>
            <w:shd w:val="clear" w:color="auto" w:fill="auto"/>
            <w:vAlign w:val="center"/>
          </w:tcPr>
          <w:p w:rsidR="00601431" w:rsidRDefault="009B6816" w:rsidP="00601431">
            <w:pPr>
              <w:pStyle w:val="EquationNumberStyle"/>
            </w:pPr>
            <w:r>
              <w:fldChar w:fldCharType="begin"/>
            </w:r>
            <w:r w:rsidR="00601431">
              <w:instrText xml:space="preserve"> MACROBUTTON NumberReference \* MERGEFORMAT (</w:instrText>
            </w:r>
            <w:fldSimple w:instr=" SEQ EqnChapter \c \* Arabic \* MERGEFORMAT ">
              <w:r w:rsidR="005B6C27">
                <w:rPr>
                  <w:noProof/>
                </w:rPr>
                <w:instrText>2</w:instrText>
              </w:r>
            </w:fldSimple>
            <w:r w:rsidR="00601431">
              <w:instrText>.</w:instrText>
            </w:r>
            <w:fldSimple w:instr=" SEQ EquationNumber \n \* Arabic \* MERGEFORMAT ">
              <w:r w:rsidR="005B6C27">
                <w:rPr>
                  <w:noProof/>
                </w:rPr>
                <w:instrText>2</w:instrText>
              </w:r>
            </w:fldSimple>
            <w:r w:rsidR="00601431">
              <w:instrText>)</w:instrText>
            </w:r>
            <w:r>
              <w:fldChar w:fldCharType="end"/>
            </w:r>
          </w:p>
        </w:tc>
      </w:tr>
    </w:tbl>
    <w:p w:rsidR="008578E8" w:rsidRPr="0080452B" w:rsidRDefault="001C5571" w:rsidP="00C504F5">
      <w:pPr>
        <w:numPr>
          <w:ilvl w:val="12"/>
          <w:numId w:val="0"/>
        </w:numPr>
        <w:spacing w:line="480" w:lineRule="auto"/>
        <w:rPr>
          <w:color w:val="FF0000"/>
        </w:rPr>
      </w:pPr>
      <w:r>
        <w:t>The NECR is the ratio of true detections to the total and is dependent upon the activity; it is a useful metric for quantification</w:t>
      </w:r>
      <w:r w:rsidR="007E1CAC">
        <w:t xml:space="preserve"> comparisons across multiple systems</w:t>
      </w:r>
      <w:r>
        <w:t xml:space="preserve">.  </w:t>
      </w:r>
    </w:p>
    <w:p w:rsidR="0080452B" w:rsidRDefault="0080452B" w:rsidP="0080452B">
      <w:pPr>
        <w:pStyle w:val="Heading2"/>
      </w:pPr>
      <w:bookmarkStart w:id="45" w:name="_Toc351890001"/>
      <w:r>
        <w:t>Recent Developments</w:t>
      </w:r>
      <w:bookmarkEnd w:id="45"/>
    </w:p>
    <w:p w:rsidR="0080452B" w:rsidRPr="0080452B" w:rsidRDefault="0080452B" w:rsidP="0080452B">
      <w:pPr>
        <w:numPr>
          <w:ilvl w:val="12"/>
          <w:numId w:val="0"/>
        </w:numPr>
        <w:spacing w:line="480" w:lineRule="auto"/>
        <w:ind w:firstLine="720"/>
        <w:rPr>
          <w:lang w:val="en-GB"/>
        </w:rPr>
      </w:pPr>
      <w:r w:rsidRPr="0080452B">
        <w:rPr>
          <w:lang w:val="en-GB"/>
        </w:rPr>
        <w:t xml:space="preserve">Gantry design, electronics, and image processing have advanced </w:t>
      </w:r>
      <w:r w:rsidR="00DF06C5">
        <w:rPr>
          <w:lang w:val="en-GB"/>
        </w:rPr>
        <w:t xml:space="preserve">PET </w:t>
      </w:r>
      <w:r w:rsidRPr="0080452B">
        <w:rPr>
          <w:lang w:val="en-GB"/>
        </w:rPr>
        <w:t xml:space="preserve">greatly over the past few decades.  One of the most important developments was the addition of a spiral CT to the PET scanner, giving us the PET/CT.  As previously mentioned, the CT plays a huge role in modern image acquisition; it decreases scan time while improving image quality.  </w:t>
      </w:r>
    </w:p>
    <w:p w:rsidR="0080452B" w:rsidRDefault="0080452B" w:rsidP="0080452B">
      <w:pPr>
        <w:numPr>
          <w:ilvl w:val="12"/>
          <w:numId w:val="0"/>
        </w:numPr>
        <w:spacing w:line="480" w:lineRule="auto"/>
        <w:ind w:firstLine="720"/>
      </w:pPr>
      <w:r w:rsidRPr="0080452B">
        <w:rPr>
          <w:lang w:val="en-GB"/>
        </w:rPr>
        <w:t>Another important development was the integration of LSO crystal elements into the PET detector rings.  Invented in the early 90’s, LSO (cerium-doped lutetium oxyorthosilicate) has higher light output, and better energy resolution than BGO.</w:t>
      </w:r>
      <w:r w:rsidR="009B6816" w:rsidRPr="009B6816">
        <w:rPr>
          <w:lang w:val="en-GB"/>
        </w:rPr>
        <w:fldChar w:fldCharType="begin"/>
      </w:r>
      <w:r w:rsidR="002D7C36">
        <w:rPr>
          <w:lang w:val="en-GB"/>
        </w:rPr>
        <w:instrText xml:space="preserve"> ADDIN EN.CITE &lt;EndNote&gt;&lt;Cite&gt;&lt;Author&gt;Melcher&lt;/Author&gt;&lt;Year&gt;1992&lt;/Year&gt;&lt;RecNum&gt;184&lt;/RecNum&gt;&lt;DisplayText&gt;(Melcher and Schweitzer 1992)&lt;/DisplayText&gt;&lt;record&gt;&lt;rec-number&gt;184&lt;/rec-number&gt;&lt;foreign-keys&gt;&lt;key app="EN" db-id="srwv9ppvvez5pgefxzi5ddeve5w2fe5x5esr"&gt;184&lt;/key&gt;&lt;/foreign-keys&gt;&lt;ref-type name="Journal Article"&gt;17&lt;/ref-type&gt;&lt;contributors&gt;&lt;authors&gt;&lt;author&gt;Melcher, CL&lt;/author&gt;&lt;author&gt;Schweitzer, JS&lt;/author&gt;&lt;/authors&gt;&lt;/contributors&gt;&lt;titles&gt;&lt;title&gt;A promising new scintillator: cerium-doped lutetium oxyorthosilicate&lt;/title&gt;&lt;secondary-title&gt;Nuclear Instruments and Methods in Physics Research Section A: Accelerators, Spectrometers, Detectors and Associated Equipment&lt;/secondary-title&gt;&lt;/titles&gt;&lt;pages&gt;212-214&lt;/pages&gt;&lt;volume&gt;314&lt;/volume&gt;&lt;number&gt;1&lt;/number&gt;&lt;dates&gt;&lt;year&gt;1992&lt;/year&gt;&lt;/dates&gt;&lt;isbn&gt;0168-9002&lt;/isbn&gt;&lt;urls&gt;&lt;/urls&gt;&lt;/record&gt;&lt;/Cite&gt;&lt;/EndNote&gt;</w:instrText>
      </w:r>
      <w:r w:rsidR="009B6816" w:rsidRPr="009B6816">
        <w:rPr>
          <w:lang w:val="en-GB"/>
        </w:rPr>
        <w:fldChar w:fldCharType="separate"/>
      </w:r>
      <w:r w:rsidR="00B82802">
        <w:rPr>
          <w:noProof/>
          <w:lang w:val="en-GB"/>
        </w:rPr>
        <w:t>(</w:t>
      </w:r>
      <w:hyperlink w:anchor="_ENREF_53" w:tooltip="Melcher, 1992 #184" w:history="1">
        <w:r w:rsidR="007704DB">
          <w:rPr>
            <w:noProof/>
            <w:lang w:val="en-GB"/>
          </w:rPr>
          <w:t>Melcher and Schweitzer 1992</w:t>
        </w:r>
      </w:hyperlink>
      <w:r w:rsidR="00B82802">
        <w:rPr>
          <w:noProof/>
          <w:lang w:val="en-GB"/>
        </w:rPr>
        <w:t>)</w:t>
      </w:r>
      <w:r w:rsidR="009B6816" w:rsidRPr="0080452B">
        <w:fldChar w:fldCharType="end"/>
      </w:r>
      <w:r w:rsidRPr="0080452B">
        <w:rPr>
          <w:lang w:val="en-GB"/>
        </w:rPr>
        <w:t xml:space="preserve">  In addition, the decay time for LSO is nearly ten times smaller, allowing the capacity for time-of-flight measurements.</w:t>
      </w:r>
    </w:p>
    <w:p w:rsidR="0080452B" w:rsidRDefault="0080452B" w:rsidP="0080452B">
      <w:pPr>
        <w:pStyle w:val="Heading3"/>
      </w:pPr>
      <w:bookmarkStart w:id="46" w:name="_Toc351890002"/>
      <w:r>
        <w:t>Time-of-Flight</w:t>
      </w:r>
      <w:bookmarkEnd w:id="46"/>
    </w:p>
    <w:p w:rsidR="0080452B" w:rsidRPr="007D4649" w:rsidRDefault="0080452B" w:rsidP="0080452B"/>
    <w:p w:rsidR="0080452B" w:rsidRPr="0080452B" w:rsidRDefault="0080452B" w:rsidP="0080452B">
      <w:pPr>
        <w:numPr>
          <w:ilvl w:val="12"/>
          <w:numId w:val="0"/>
        </w:numPr>
        <w:spacing w:line="480" w:lineRule="auto"/>
        <w:ind w:firstLine="720"/>
      </w:pPr>
      <w:r w:rsidRPr="0080452B">
        <w:t>Conventional PET scanners assign annihilation events to LORs then record the acquisition data as projections across the entire FOV.  Time-of-Flight (TOF) refers to the additional measurement of the coincident photons’ relative time of detection. Using this information, the system can approximate the location of the annihilation along the assigned LOR.</w:t>
      </w:r>
    </w:p>
    <w:p w:rsidR="0080452B" w:rsidRDefault="0080452B" w:rsidP="0080452B">
      <w:pPr>
        <w:numPr>
          <w:ilvl w:val="12"/>
          <w:numId w:val="0"/>
        </w:numPr>
        <w:spacing w:line="480" w:lineRule="auto"/>
        <w:ind w:firstLine="720"/>
      </w:pPr>
      <w:r w:rsidRPr="0080452B">
        <w:t>The idea of using the timing of coincident events to improve PET images</w:t>
      </w:r>
      <w:r w:rsidR="008B4175">
        <w:t>, shown below,</w:t>
      </w:r>
      <w:r w:rsidRPr="0080452B">
        <w:t xml:space="preserve"> has been around since the beginning of PET </w:t>
      </w:r>
      <w:r w:rsidR="009B6816" w:rsidRPr="0080452B">
        <w:fldChar w:fldCharType="begin">
          <w:fldData xml:space="preserve">PEVuZE5vdGU+PENpdGU+PEF1dGhvcj5Ub21pdGFuaTwvQXV0aG9yPjxZZWFyPjE5ODA8L1llYXI+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</w:fldData>
        </w:fldChar>
      </w:r>
      <w:r w:rsidR="000F64FB">
        <w:instrText xml:space="preserve"> ADDIN EN.CITE </w:instrText>
      </w:r>
      <w:r w:rsidR="009B6816">
        <w:fldChar w:fldCharType="begin">
          <w:fldData xml:space="preserve">PEVuZE5vdGU+PENpdGU+PEF1dGhvcj5Ub21pdGFuaTwvQXV0aG9yPjxZZWFyPjE5ODA8L1llYXI+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</w:fldData>
        </w:fldChar>
      </w:r>
      <w:r w:rsidR="000F64FB">
        <w:instrText xml:space="preserve"> ADDIN EN.CITE.DATA </w:instrText>
      </w:r>
      <w:r w:rsidR="009B6816">
        <w:fldChar w:fldCharType="end"/>
      </w:r>
      <w:r w:rsidR="009B6816" w:rsidRPr="0080452B">
        <w:fldChar w:fldCharType="separate"/>
      </w:r>
      <w:r w:rsidR="00B82802">
        <w:rPr>
          <w:noProof/>
        </w:rPr>
        <w:t>(</w:t>
      </w:r>
      <w:hyperlink w:anchor="_ENREF_3" w:tooltip="Allemand, 1980 #177" w:history="1">
        <w:r w:rsidR="007704DB">
          <w:rPr>
            <w:noProof/>
          </w:rPr>
          <w:t>Allemand, Gresset et al. 1980</w:t>
        </w:r>
      </w:hyperlink>
      <w:r w:rsidR="00B82802">
        <w:rPr>
          <w:noProof/>
        </w:rPr>
        <w:t xml:space="preserve">; </w:t>
      </w:r>
      <w:hyperlink w:anchor="_ENREF_55" w:tooltip="Mullani, 1980 #112" w:history="1">
        <w:r w:rsidR="007704DB">
          <w:rPr>
            <w:noProof/>
          </w:rPr>
          <w:t>Mullani, Markham et al. 1980</w:t>
        </w:r>
      </w:hyperlink>
      <w:r w:rsidR="00B82802">
        <w:rPr>
          <w:noProof/>
        </w:rPr>
        <w:t xml:space="preserve">; </w:t>
      </w:r>
      <w:hyperlink w:anchor="_ENREF_76" w:tooltip="Tomitani, 1980 #183" w:history="1">
        <w:r w:rsidR="007704DB">
          <w:rPr>
            <w:noProof/>
          </w:rPr>
          <w:t>Tomitani and Tanaka 1980</w:t>
        </w:r>
      </w:hyperlink>
      <w:r w:rsidR="00B82802">
        <w:rPr>
          <w:noProof/>
        </w:rPr>
        <w:t>)</w:t>
      </w:r>
      <w:r w:rsidR="009B6816" w:rsidRPr="0080452B">
        <w:fldChar w:fldCharType="end"/>
      </w:r>
      <w:r w:rsidR="004A4F88">
        <w:t>.</w:t>
      </w:r>
      <w:r w:rsidRPr="0080452B">
        <w:t xml:space="preserve">  However the performance of TOF detectors limited its use to research purposes; with LSO, the practical application of photon timing measurements became possible in clinical PET.</w:t>
      </w:r>
      <w:r>
        <w:t xml:space="preserve">  </w:t>
      </w:r>
    </w:p>
    <w:p w:rsidR="008B4175" w:rsidRDefault="008B4175" w:rsidP="0080452B">
      <w:pPr>
        <w:numPr>
          <w:ilvl w:val="12"/>
          <w:numId w:val="0"/>
        </w:numPr>
        <w:spacing w:line="480" w:lineRule="auto"/>
        <w:ind w:firstLine="720"/>
      </w:pPr>
    </w:p>
    <w:p w:rsidR="008B4175" w:rsidRDefault="008B4175" w:rsidP="008B4175">
      <w:pPr>
        <w:suppressAutoHyphens/>
        <w:autoSpaceDE w:val="0"/>
        <w:ind w:right="-180"/>
      </w:pPr>
      <w:r>
        <w:rPr>
          <w:noProof/>
        </w:rPr>
        <w:drawing>
          <wp:inline distT="0" distB="0" distL="0" distR="0">
            <wp:extent cx="5092065" cy="3042920"/>
            <wp:effectExtent l="19050" t="19050" r="13335" b="2413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092065" cy="3042920"/>
                    </a:xfrm>
                    <a:prstGeom prst="rect">
                      <a:avLst/>
                    </a:prstGeom>
                    <a:noFill/>
                    <a:ln w="9525">
                      <a:solidFill>
                        <a:schemeClr val="tx1"/>
                      </a:solidFill>
                      <a:miter lim="800000"/>
                      <a:headEnd/>
                      <a:tailEnd/>
                    </a:ln>
                  </pic:spPr>
                </pic:pic>
              </a:graphicData>
            </a:graphic>
          </wp:inline>
        </w:drawing>
      </w:r>
      <w:r w:rsidRPr="008B4175">
        <w:t xml:space="preserve"> </w:t>
      </w:r>
    </w:p>
    <w:p w:rsidR="008B4175" w:rsidRPr="00F920F6" w:rsidRDefault="008B4175" w:rsidP="008B4175">
      <w:pPr>
        <w:pStyle w:val="Caption"/>
      </w:pPr>
      <w:bookmarkStart w:id="47" w:name="_Toc351890057"/>
      <w:proofErr w:type="gramStart"/>
      <w:r>
        <w:t xml:space="preserve">Figure </w:t>
      </w:r>
      <w:fldSimple w:instr=" SEQ Figure \* ARABIC ">
        <w:r w:rsidR="005B6C27">
          <w:rPr>
            <w:noProof/>
          </w:rPr>
          <w:t>16</w:t>
        </w:r>
      </w:fldSimple>
      <w:r>
        <w:t>.</w:t>
      </w:r>
      <w:proofErr w:type="gramEnd"/>
      <w:r>
        <w:t xml:space="preserve"> Time of flight information reduces the noise in the reconstruction and improves image quality.</w:t>
      </w:r>
      <w:bookmarkEnd w:id="47"/>
      <w:r w:rsidRPr="00E159B8">
        <w:t xml:space="preserve"> </w:t>
      </w:r>
    </w:p>
    <w:p w:rsidR="008B4175" w:rsidRDefault="008B4175" w:rsidP="0080452B">
      <w:pPr>
        <w:numPr>
          <w:ilvl w:val="12"/>
          <w:numId w:val="0"/>
        </w:numPr>
        <w:spacing w:line="480" w:lineRule="auto"/>
        <w:ind w:firstLine="720"/>
      </w:pPr>
    </w:p>
    <w:p w:rsidR="0080452B" w:rsidRPr="0080452B" w:rsidRDefault="0080452B" w:rsidP="0080452B">
      <w:pPr>
        <w:numPr>
          <w:ilvl w:val="12"/>
          <w:numId w:val="0"/>
        </w:numPr>
        <w:spacing w:line="480" w:lineRule="auto"/>
        <w:ind w:firstLine="720"/>
      </w:pPr>
      <w:r w:rsidRPr="0080452B">
        <w:t xml:space="preserve">The geometry of the TOF-PET gantry is the same as that of conventional PET, with multiple adjacent rings of detectors surrounding the patient, but the TOF systems are capable of measuring the small timing differences within the photon pairs.  This information is used to locate the approximate position of this event along the line.  So instead of granting equal probability of the event along the line, the system calculates the probabilistic location of the event, reducing the propagation of noise along the LOR.  </w:t>
      </w:r>
      <w:r w:rsidRPr="0080452B">
        <w:lastRenderedPageBreak/>
        <w:t>This reduction of statistical noise can be interpreted as increased sensitivity of the detection process.</w:t>
      </w:r>
    </w:p>
    <w:p w:rsidR="0080452B" w:rsidRDefault="0080452B" w:rsidP="0080452B">
      <w:pPr>
        <w:numPr>
          <w:ilvl w:val="12"/>
          <w:numId w:val="0"/>
        </w:numPr>
        <w:spacing w:line="480" w:lineRule="auto"/>
        <w:ind w:firstLine="720"/>
      </w:pPr>
      <w:r w:rsidRPr="0080452B">
        <w:t>The precision of this localization, namely how accurately the detection times can be measured, depends on the timing characteristic of the detection system, including the crystal properties and electronics performance.  If we place a point source at the center of a detector ring, it will be equidistant from each detector element.  Thus, the annihilation photons should reach any detector at the same time.  However, due to the uncertainty in the time measurement, the total number of measured events does not form a sharp peak at the same value but rather forms a Gaussian distribution.  The accepted timing resolution rating of a system is the full-width at half-max of this spread.</w:t>
      </w:r>
      <w:r w:rsidRPr="0080452B">
        <w:rPr>
          <w:vertAlign w:val="superscript"/>
        </w:rPr>
        <w:footnoteReference w:id="6"/>
      </w:r>
      <w:r>
        <w:t xml:space="preserve">  </w:t>
      </w:r>
    </w:p>
    <w:p w:rsidR="0080452B" w:rsidRPr="0080452B" w:rsidRDefault="0080452B" w:rsidP="0080452B">
      <w:pPr>
        <w:numPr>
          <w:ilvl w:val="12"/>
          <w:numId w:val="0"/>
        </w:numPr>
        <w:spacing w:line="480" w:lineRule="auto"/>
        <w:ind w:firstLine="720"/>
      </w:pPr>
      <w:r w:rsidRPr="0080452B">
        <w:t xml:space="preserve">In FBP reconstructions, the gain in signal to noise with added TOF information comes from the ratio of the diameter of the object to be imaged to the timing resolution of the system </w:t>
      </w:r>
      <w:r w:rsidR="009B6816" w:rsidRPr="0080452B">
        <w:fldChar w:fldCharType="begin"/>
      </w:r>
      <w:r w:rsidR="002D7C36">
        <w:instrText xml:space="preserve"> ADDIN EN.CITE &lt;EndNote&gt;&lt;Cite&gt;&lt;Author&gt;Casey&lt;/Author&gt;&lt;Year&gt;2008&lt;/Year&gt;&lt;RecNum&gt;69&lt;/RecNum&gt;&lt;DisplayText&gt;(Casey 2008)&lt;/DisplayText&gt;&lt;record&gt;&lt;rec-number&gt;69&lt;/rec-number&gt;&lt;foreign-keys&gt;&lt;key app="EN" db-id="srwv9ppvvez5pgefxzi5ddeve5w2fe5x5esr"&gt;69&lt;/key&gt;&lt;/foreign-keys&gt;&lt;ref-type name="Journal Article"&gt;17&lt;/ref-type&gt;&lt;contributors&gt;&lt;authors&gt;&lt;author&gt;Casey, ME&lt;/author&gt;&lt;/authors&gt;&lt;/contributors&gt;&lt;titles&gt;&lt;title&gt;Improving PET With HD•PET + Time of Flight&lt;/title&gt;&lt;secondary-title&gt;Siemens Medical Solution, Knoxville, USA&lt;/secondary-title&gt;&lt;/titles&gt;&lt;dates&gt;&lt;year&gt;2008&lt;/year&gt;&lt;/dates&gt;&lt;urls&gt;&lt;/urls&gt;&lt;/record&gt;&lt;/Cite&gt;&lt;/EndNote&gt;</w:instrText>
      </w:r>
      <w:r w:rsidR="009B6816" w:rsidRPr="0080452B">
        <w:fldChar w:fldCharType="separate"/>
      </w:r>
      <w:r w:rsidR="00B82802">
        <w:rPr>
          <w:noProof/>
        </w:rPr>
        <w:t>(</w:t>
      </w:r>
      <w:hyperlink w:anchor="_ENREF_23" w:tooltip="Casey, 2008 #69" w:history="1">
        <w:r w:rsidR="007704DB">
          <w:rPr>
            <w:noProof/>
          </w:rPr>
          <w:t>Casey 2008</w:t>
        </w:r>
      </w:hyperlink>
      <w:r w:rsidR="00B82802">
        <w:rPr>
          <w:noProof/>
        </w:rPr>
        <w:t>)</w:t>
      </w:r>
      <w:r w:rsidR="009B6816" w:rsidRPr="0080452B">
        <w:fldChar w:fldCharType="end"/>
      </w:r>
      <w:r w:rsidR="009C74EB">
        <w:t>.</w:t>
      </w:r>
      <w:r w:rsidRPr="0080452B">
        <w:t xml:space="preserve">  In the clinical setting, TOF information is more helpful in larger patients, and smaller time resolutions allow better, more certain measurements.  In iterative reconstruction methods, the addition of TOF information allows the algorithm to achieve higher contrast recovery with less noise in </w:t>
      </w:r>
      <w:proofErr w:type="gramStart"/>
      <w:r w:rsidR="00981219">
        <w:t>fewer</w:t>
      </w:r>
      <w:r w:rsidRPr="0080452B">
        <w:t xml:space="preserve"> iterations</w:t>
      </w:r>
      <w:proofErr w:type="gramEnd"/>
      <w:r w:rsidRPr="0080452B">
        <w:t xml:space="preserve"> </w:t>
      </w:r>
      <w:r w:rsidR="009B6816" w:rsidRPr="0080452B">
        <w:fldChar w:fldCharType="begin">
          <w:fldData xml:space="preserve">PEVuZE5vdGU+PENpdGU+PEF1dGhvcj5Mb2lzPC9BdXRob3I+PFllYXI+MjAxMDwvWWVhcj48UmVj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=
</w:fldData>
        </w:fldChar>
      </w:r>
      <w:r w:rsidR="000F64FB">
        <w:instrText xml:space="preserve"> ADDIN EN.CITE </w:instrText>
      </w:r>
      <w:r w:rsidR="009B6816">
        <w:fldChar w:fldCharType="begin">
          <w:fldData xml:space="preserve">PEVuZE5vdGU+PENpdGU+PEF1dGhvcj5Mb2lzPC9BdXRob3I+PFllYXI+MjAxMDwvWWVhcj48UmVj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=
</w:fldData>
        </w:fldChar>
      </w:r>
      <w:r w:rsidR="000F64FB">
        <w:instrText xml:space="preserve"> ADDIN EN.CITE.DATA </w:instrText>
      </w:r>
      <w:r w:rsidR="009B6816">
        <w:fldChar w:fldCharType="end"/>
      </w:r>
      <w:r w:rsidR="009B6816" w:rsidRPr="0080452B">
        <w:fldChar w:fldCharType="separate"/>
      </w:r>
      <w:r w:rsidR="00B82802">
        <w:rPr>
          <w:noProof/>
        </w:rPr>
        <w:t>(</w:t>
      </w:r>
      <w:hyperlink w:anchor="_ENREF_27" w:tooltip="Conti, 2005 #171" w:history="1">
        <w:r w:rsidR="007704DB">
          <w:rPr>
            <w:noProof/>
          </w:rPr>
          <w:t>Conti, Bendriem et al. 2005</w:t>
        </w:r>
      </w:hyperlink>
      <w:r w:rsidR="00B82802">
        <w:rPr>
          <w:noProof/>
        </w:rPr>
        <w:t xml:space="preserve">; </w:t>
      </w:r>
      <w:hyperlink w:anchor="_ENREF_48" w:tooltip="Karp, 2008 #66" w:history="1">
        <w:r w:rsidR="007704DB">
          <w:rPr>
            <w:noProof/>
          </w:rPr>
          <w:t>Karp, Surti et al. 2008</w:t>
        </w:r>
      </w:hyperlink>
      <w:r w:rsidR="00B82802">
        <w:rPr>
          <w:noProof/>
        </w:rPr>
        <w:t xml:space="preserve">; </w:t>
      </w:r>
      <w:hyperlink w:anchor="_ENREF_51" w:tooltip="Lois, 2010 #65" w:history="1">
        <w:r w:rsidR="007704DB">
          <w:rPr>
            <w:noProof/>
          </w:rPr>
          <w:t>Lois, Jakoby et al. 2010</w:t>
        </w:r>
      </w:hyperlink>
      <w:r w:rsidR="00B82802">
        <w:rPr>
          <w:noProof/>
        </w:rPr>
        <w:t>)</w:t>
      </w:r>
      <w:r w:rsidR="009B6816" w:rsidRPr="0080452B">
        <w:fldChar w:fldCharType="end"/>
      </w:r>
      <w:r w:rsidRPr="0080452B">
        <w:t xml:space="preserve"> </w:t>
      </w:r>
      <w:r w:rsidR="009C74EB">
        <w:t>.</w:t>
      </w:r>
    </w:p>
    <w:p w:rsidR="004776D2" w:rsidRDefault="0080452B" w:rsidP="004776D2">
      <w:pPr>
        <w:numPr>
          <w:ilvl w:val="12"/>
          <w:numId w:val="0"/>
        </w:numPr>
        <w:spacing w:line="480" w:lineRule="auto"/>
        <w:ind w:firstLine="720"/>
      </w:pPr>
      <w:r w:rsidRPr="0080452B">
        <w:t xml:space="preserve">TOF-PET promises the possibility of higher quality medical images, but due to only relatively recent developments, TOF-PET has not yet become fully integrated into </w:t>
      </w:r>
      <w:r w:rsidRPr="0080452B">
        <w:lastRenderedPageBreak/>
        <w:t>mainstream clinical applications.  Therefore, its clinical benefit has not been extensively investigated.</w:t>
      </w:r>
      <w:r w:rsidR="004776D2" w:rsidRPr="004776D2">
        <w:t xml:space="preserve"> </w:t>
      </w:r>
    </w:p>
    <w:p w:rsidR="004776D2" w:rsidRDefault="004776D2" w:rsidP="004776D2">
      <w:pPr>
        <w:pStyle w:val="Heading3"/>
      </w:pPr>
      <w:bookmarkStart w:id="48" w:name="_Toc351890003"/>
      <w:r>
        <w:t>Point Spread Function</w:t>
      </w:r>
      <w:bookmarkEnd w:id="48"/>
    </w:p>
    <w:p w:rsidR="004776D2" w:rsidRPr="007D4649" w:rsidRDefault="004776D2" w:rsidP="004776D2"/>
    <w:p w:rsidR="00D76F73" w:rsidRDefault="004776D2" w:rsidP="004776D2">
      <w:pPr>
        <w:numPr>
          <w:ilvl w:val="12"/>
          <w:numId w:val="0"/>
        </w:numPr>
        <w:spacing w:line="480" w:lineRule="auto"/>
        <w:ind w:firstLine="720"/>
      </w:pPr>
      <w:r w:rsidRPr="004776D2">
        <w:t xml:space="preserve">The spatial resolution across the transaxial image plane is not isotropic; rather it degrades with radial distance from the center.  </w:t>
      </w:r>
      <w:r w:rsidR="00D76F73">
        <w:t>Shown below,</w:t>
      </w:r>
      <w:r w:rsidRPr="004776D2">
        <w:t xml:space="preserve"> the </w:t>
      </w:r>
      <w:r w:rsidR="004C3713">
        <w:t xml:space="preserve">circular </w:t>
      </w:r>
      <w:r w:rsidRPr="004776D2">
        <w:t>geometry of modern-day PET scanners</w:t>
      </w:r>
      <w:r w:rsidR="00D76F73">
        <w:t xml:space="preserve"> causes many </w:t>
      </w:r>
      <w:r w:rsidRPr="004776D2">
        <w:t xml:space="preserve">annihilation photons </w:t>
      </w:r>
      <w:r w:rsidR="00D76F73">
        <w:t>in LORs</w:t>
      </w:r>
      <w:r w:rsidRPr="004776D2">
        <w:t xml:space="preserve"> far from the center </w:t>
      </w:r>
      <w:r w:rsidR="00D76F73">
        <w:t>to</w:t>
      </w:r>
      <w:r w:rsidRPr="004776D2">
        <w:t xml:space="preserve"> strike two detectors at highly oblique angles, leading to depth-of-interaction effects within the crystal block and event </w:t>
      </w:r>
      <w:proofErr w:type="spellStart"/>
      <w:r w:rsidRPr="004776D2">
        <w:t>misregis</w:t>
      </w:r>
      <w:r w:rsidR="004C3713">
        <w:t>tration</w:t>
      </w:r>
      <w:proofErr w:type="spellEnd"/>
      <w:r w:rsidR="00932605">
        <w:t xml:space="preserve">.  </w:t>
      </w:r>
    </w:p>
    <w:p w:rsidR="00D76F73" w:rsidRDefault="00D76F73" w:rsidP="004776D2">
      <w:pPr>
        <w:numPr>
          <w:ilvl w:val="12"/>
          <w:numId w:val="0"/>
        </w:numPr>
        <w:spacing w:line="480" w:lineRule="auto"/>
        <w:ind w:firstLine="720"/>
      </w:pPr>
    </w:p>
    <w:p w:rsidR="00D76F73" w:rsidRDefault="00BD01A2" w:rsidP="00D76F73">
      <w:pPr>
        <w:suppressAutoHyphens/>
        <w:autoSpaceDE w:val="0"/>
        <w:ind w:right="-180" w:firstLine="720"/>
      </w:pPr>
      <w:r>
        <w:rPr>
          <w:noProof/>
        </w:rPr>
        <w:drawing>
          <wp:inline distT="0" distB="0" distL="0" distR="0">
            <wp:extent cx="3736340" cy="2995295"/>
            <wp:effectExtent l="19050" t="0" r="0" b="0"/>
            <wp:docPr id="7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3736340" cy="2995295"/>
                    </a:xfrm>
                    <a:prstGeom prst="rect">
                      <a:avLst/>
                    </a:prstGeom>
                    <a:noFill/>
                    <a:ln w="9525">
                      <a:noFill/>
                      <a:miter lim="800000"/>
                      <a:headEnd/>
                      <a:tailEnd/>
                    </a:ln>
                  </pic:spPr>
                </pic:pic>
              </a:graphicData>
            </a:graphic>
          </wp:inline>
        </w:drawing>
      </w:r>
      <w:r w:rsidR="00D76F73" w:rsidRPr="00D76F73">
        <w:t xml:space="preserve"> </w:t>
      </w:r>
    </w:p>
    <w:p w:rsidR="00D76F73" w:rsidRPr="00F920F6" w:rsidRDefault="00EF301C" w:rsidP="00EF301C">
      <w:pPr>
        <w:pStyle w:val="Caption"/>
      </w:pPr>
      <w:bookmarkStart w:id="49" w:name="_Toc351890058"/>
      <w:proofErr w:type="gramStart"/>
      <w:r>
        <w:t xml:space="preserve">Figure </w:t>
      </w:r>
      <w:fldSimple w:instr=" SEQ Figure \* ARABIC ">
        <w:r w:rsidR="005B6C27">
          <w:rPr>
            <w:noProof/>
          </w:rPr>
          <w:t>17</w:t>
        </w:r>
      </w:fldSimple>
      <w:r w:rsidR="00D76F73">
        <w:t>.</w:t>
      </w:r>
      <w:proofErr w:type="gramEnd"/>
      <w:r w:rsidR="00D76F73">
        <w:t xml:space="preserve"> The circular geometry of PET scanners introduces registration errors for photons striking the detectors at highly oblique angles, blurring the system point response</w:t>
      </w:r>
      <w:r w:rsidR="005A2AE9">
        <w:t>, especially</w:t>
      </w:r>
      <w:r w:rsidR="00D76F73">
        <w:t xml:space="preserve"> for LORs at large radial distances.</w:t>
      </w:r>
      <w:bookmarkEnd w:id="49"/>
    </w:p>
    <w:p w:rsidR="00D76F73" w:rsidRDefault="00D76F73" w:rsidP="004776D2">
      <w:pPr>
        <w:numPr>
          <w:ilvl w:val="12"/>
          <w:numId w:val="0"/>
        </w:numPr>
        <w:spacing w:line="480" w:lineRule="auto"/>
        <w:ind w:firstLine="720"/>
      </w:pPr>
    </w:p>
    <w:p w:rsidR="004776D2" w:rsidRPr="004776D2" w:rsidRDefault="00932605" w:rsidP="00D76F73">
      <w:pPr>
        <w:numPr>
          <w:ilvl w:val="12"/>
          <w:numId w:val="0"/>
        </w:numPr>
        <w:spacing w:line="480" w:lineRule="auto"/>
      </w:pPr>
      <w:r>
        <w:lastRenderedPageBreak/>
        <w:t>This parallax effect</w:t>
      </w:r>
      <w:r w:rsidR="00F84EC6">
        <w:t xml:space="preserve"> and</w:t>
      </w:r>
      <w:r>
        <w:t xml:space="preserve"> inter-crystal scattering </w:t>
      </w:r>
      <w:r w:rsidR="004776D2" w:rsidRPr="004776D2">
        <w:t xml:space="preserve">cause the point response of the detection system to become </w:t>
      </w:r>
      <w:r w:rsidR="00367103">
        <w:t>blurred</w:t>
      </w:r>
      <w:r w:rsidR="004776D2" w:rsidRPr="004776D2">
        <w:t>.</w:t>
      </w:r>
    </w:p>
    <w:p w:rsidR="004776D2" w:rsidRPr="004776D2" w:rsidRDefault="004776D2" w:rsidP="004776D2">
      <w:pPr>
        <w:numPr>
          <w:ilvl w:val="12"/>
          <w:numId w:val="0"/>
        </w:numPr>
        <w:spacing w:line="480" w:lineRule="auto"/>
        <w:ind w:firstLine="720"/>
      </w:pPr>
      <w:r w:rsidRPr="004776D2">
        <w:t>This phenomenon has been incorporated into EM reconstructions.  Point sources are independently acquired at different radial locations, and the spatial response, unique to the scanner, is measured and stored</w:t>
      </w:r>
      <w:r w:rsidR="00FC2C3E">
        <w:t xml:space="preserve"> </w:t>
      </w:r>
      <w:r w:rsidR="009B6816">
        <w:fldChar w:fldCharType="begin"/>
      </w:r>
      <w:r w:rsidR="00FC2C3E">
        <w:instrText xml:space="preserve"> ADDIN EN.CITE &lt;EndNote&gt;&lt;Cite&gt;&lt;Author&gt;Panin&lt;/Author&gt;&lt;Year&gt;2006&lt;/Year&gt;&lt;RecNum&gt;326&lt;/RecNum&gt;&lt;DisplayText&gt;(Panin, Kehren et al. 2006)&lt;/DisplayText&gt;&lt;record&gt;&lt;rec-number&gt;326&lt;/rec-number&gt;&lt;foreign-keys&gt;&lt;key app="EN" db-id="srwv9ppvvez5pgefxzi5ddeve5w2fe5x5esr"&gt;326&lt;/key&gt;&lt;/foreign-keys&gt;&lt;ref-type name="Journal Article"&gt;17&lt;/ref-type&gt;&lt;contributors&gt;&lt;authors&gt;&lt;author&gt;Panin, V.Y.&lt;/author&gt;&lt;author&gt;Kehren, F.&lt;/author&gt;&lt;author&gt;Michel, C.&lt;/author&gt;&lt;author&gt;Casey, M.&lt;/author&gt;&lt;/authors&gt;&lt;/contributors&gt;&lt;titles&gt;&lt;title&gt;Fully 3-D PET reconstruction with system matrix derived from point source measurements&lt;/title&gt;&lt;secondary-title&gt;Medical Imaging, IEEE Transactions on&lt;/secondary-title&gt;&lt;/titles&gt;&lt;periodical&gt;&lt;full-title&gt;Medical Imaging, IEEE Transactions on&lt;/full-title&gt;&lt;/periodical&gt;&lt;pages&gt;907-921&lt;/pages&gt;&lt;volume&gt;25&lt;/volume&gt;&lt;number&gt;7&lt;/number&gt;&lt;dates&gt;&lt;year&gt;2006&lt;/year&gt;&lt;/dates&gt;&lt;isbn&gt;0278-0062&lt;/isbn&gt;&lt;urls&gt;&lt;/urls&gt;&lt;/record&gt;&lt;/Cite&gt;&lt;/EndNote&gt;</w:instrText>
      </w:r>
      <w:r w:rsidR="009B6816">
        <w:fldChar w:fldCharType="separate"/>
      </w:r>
      <w:r w:rsidR="00FC2C3E">
        <w:rPr>
          <w:noProof/>
        </w:rPr>
        <w:t>(</w:t>
      </w:r>
      <w:hyperlink w:anchor="_ENREF_60" w:tooltip="Panin, 2006 #326" w:history="1">
        <w:r w:rsidR="007704DB">
          <w:rPr>
            <w:noProof/>
          </w:rPr>
          <w:t>Panin, Kehren et al. 2006</w:t>
        </w:r>
      </w:hyperlink>
      <w:r w:rsidR="00FC2C3E">
        <w:rPr>
          <w:noProof/>
        </w:rPr>
        <w:t>)</w:t>
      </w:r>
      <w:r w:rsidR="009B6816">
        <w:fldChar w:fldCharType="end"/>
      </w:r>
      <w:r w:rsidRPr="004776D2">
        <w:t xml:space="preserve">.  </w:t>
      </w:r>
      <w:r w:rsidR="00CA6B58" w:rsidRPr="004776D2">
        <w:t xml:space="preserve">As expected, the shape of the PSF model </w:t>
      </w:r>
      <w:r w:rsidR="000678EE">
        <w:t xml:space="preserve">broadens, for </w:t>
      </w:r>
      <w:r w:rsidR="000678EE" w:rsidRPr="004776D2">
        <w:t>each radial bin within the sinogram</w:t>
      </w:r>
      <w:r w:rsidR="000678EE">
        <w:t xml:space="preserve">, </w:t>
      </w:r>
      <w:r w:rsidR="00CF3795">
        <w:t>as</w:t>
      </w:r>
      <w:r w:rsidR="000678EE">
        <w:t xml:space="preserve"> the distance from the center</w:t>
      </w:r>
      <w:r w:rsidR="00CF3795">
        <w:t xml:space="preserve"> increases</w:t>
      </w:r>
      <w:r w:rsidR="00CA6B58" w:rsidRPr="004776D2">
        <w:t>.</w:t>
      </w:r>
      <w:r w:rsidR="00CA6B58">
        <w:t xml:space="preserve">  </w:t>
      </w:r>
      <w:r w:rsidRPr="004776D2">
        <w:t xml:space="preserve">This information is then incorporated in the system matrix so that this effect is modeled in the </w:t>
      </w:r>
      <w:r w:rsidR="002A595D">
        <w:t>f</w:t>
      </w:r>
      <w:r w:rsidR="00622E8A">
        <w:t>orward and backward</w:t>
      </w:r>
      <w:r w:rsidR="002A595D">
        <w:t xml:space="preserve"> projection</w:t>
      </w:r>
      <w:r w:rsidR="00622E8A">
        <w:t>s</w:t>
      </w:r>
      <w:r w:rsidRPr="004776D2">
        <w:t xml:space="preserve"> of the iterative algorithm.  </w:t>
      </w:r>
    </w:p>
    <w:p w:rsidR="00B33AAD" w:rsidRPr="00F920F6" w:rsidRDefault="004776D2" w:rsidP="00B33AAD">
      <w:pPr>
        <w:numPr>
          <w:ilvl w:val="12"/>
          <w:numId w:val="0"/>
        </w:numPr>
        <w:spacing w:line="480" w:lineRule="auto"/>
        <w:ind w:firstLine="720"/>
      </w:pPr>
      <w:r w:rsidRPr="004776D2">
        <w:t>This model</w:t>
      </w:r>
      <w:r w:rsidR="008B341E">
        <w:t xml:space="preserve"> </w:t>
      </w:r>
      <w:r w:rsidRPr="004776D2">
        <w:t xml:space="preserve">reduces high frequency noise within the image </w:t>
      </w:r>
      <w:r w:rsidR="00703AF0">
        <w:t>and</w:t>
      </w:r>
      <w:r w:rsidRPr="004776D2">
        <w:t xml:space="preserve"> improves spatial resolution, especially at large radial distances.  Both of these effects occur because the point spread functions act like matched filters, enhancing data that matches the model and penalizing the noisy data that does not</w:t>
      </w:r>
      <w:r w:rsidR="002E0EBB">
        <w:t xml:space="preserve"> </w:t>
      </w:r>
      <w:r w:rsidR="009B6816" w:rsidRPr="00FE37D0">
        <w:fldChar w:fldCharType="begin"/>
      </w:r>
      <w:r w:rsidR="002D7C36">
        <w:instrText xml:space="preserve"> ADDIN EN.CITE &lt;EndNote&gt;&lt;Cite&gt;&lt;Author&gt;Casey&lt;/Author&gt;&lt;Year&gt;2007&lt;/Year&gt;&lt;RecNum&gt;103&lt;/RecNum&gt;&lt;DisplayText&gt;(Casey 2007)&lt;/DisplayText&gt;&lt;record&gt;&lt;rec-number&gt;103&lt;/rec-number&gt;&lt;foreign-keys&gt;&lt;key app="EN" db-id="srwv9ppvvez5pgefxzi5ddeve5w2fe5x5esr"&gt;103&lt;/key&gt;&lt;/foreign-keys&gt;&lt;ref-type name="Journal Article"&gt;17&lt;/ref-type&gt;&lt;contributors&gt;&lt;authors&gt;&lt;author&gt;Casey, ME&lt;/author&gt;&lt;/authors&gt;&lt;/contributors&gt;&lt;titles&gt;&lt;title&gt;Point spread function reconstruction in PET&lt;/title&gt;&lt;secondary-title&gt;Siemens Medical Solution, Knoxville, USA&lt;/secondary-title&gt;&lt;/titles&gt;&lt;dates&gt;&lt;year&gt;2007&lt;/year&gt;&lt;/dates&gt;&lt;urls&gt;&lt;/urls&gt;&lt;/record&gt;&lt;/Cite&gt;&lt;/EndNote&gt;</w:instrText>
      </w:r>
      <w:r w:rsidR="009B6816" w:rsidRPr="00FE37D0">
        <w:fldChar w:fldCharType="separate"/>
      </w:r>
      <w:r w:rsidR="00B82802" w:rsidRPr="00FE37D0">
        <w:rPr>
          <w:noProof/>
        </w:rPr>
        <w:t>(</w:t>
      </w:r>
      <w:hyperlink w:anchor="_ENREF_22" w:tooltip="Casey, 2007 #103" w:history="1">
        <w:r w:rsidR="007704DB" w:rsidRPr="00FE37D0">
          <w:rPr>
            <w:noProof/>
          </w:rPr>
          <w:t>Casey 2007</w:t>
        </w:r>
      </w:hyperlink>
      <w:r w:rsidR="00B82802" w:rsidRPr="00FE37D0">
        <w:rPr>
          <w:noProof/>
        </w:rPr>
        <w:t>)</w:t>
      </w:r>
      <w:r w:rsidR="009B6816" w:rsidRPr="00FE37D0">
        <w:fldChar w:fldCharType="end"/>
      </w:r>
      <w:r w:rsidR="00892C07">
        <w:t>;</w:t>
      </w:r>
      <w:r w:rsidR="00893129">
        <w:t xml:space="preserve"> i</w:t>
      </w:r>
      <w:r w:rsidRPr="00FE37D0">
        <w:t xml:space="preserve">ncorporation of the PSF model </w:t>
      </w:r>
      <w:r w:rsidR="00FE37D0" w:rsidRPr="00FE37D0">
        <w:t xml:space="preserve">complicates the </w:t>
      </w:r>
      <w:r w:rsidR="00676E74">
        <w:t>projection steps</w:t>
      </w:r>
      <w:r w:rsidR="00FE37D0" w:rsidRPr="00FE37D0">
        <w:t xml:space="preserve"> </w:t>
      </w:r>
      <w:r w:rsidR="002E0EBB">
        <w:t xml:space="preserve">of iterative algorithms </w:t>
      </w:r>
      <w:r w:rsidR="00FE37D0" w:rsidRPr="00FE37D0">
        <w:t xml:space="preserve">and </w:t>
      </w:r>
      <w:r w:rsidRPr="00FE37D0">
        <w:t>results in delayed image convergence.</w:t>
      </w:r>
      <w:r w:rsidRPr="004776D2">
        <w:t xml:space="preserve"> </w:t>
      </w:r>
    </w:p>
    <w:p w:rsidR="00B33AAD" w:rsidRPr="00523651" w:rsidRDefault="00B33AAD" w:rsidP="00B33AAD">
      <w:pPr>
        <w:pStyle w:val="Heading2"/>
        <w:rPr>
          <w:color w:val="FF0000"/>
        </w:rPr>
      </w:pPr>
      <w:bookmarkStart w:id="50" w:name="_Toc351890004"/>
      <w:r>
        <w:t>Research Goals</w:t>
      </w:r>
      <w:bookmarkEnd w:id="50"/>
    </w:p>
    <w:p w:rsidR="00B33AAD" w:rsidRDefault="00B33AAD" w:rsidP="00B33AAD">
      <w:pPr>
        <w:numPr>
          <w:ilvl w:val="12"/>
          <w:numId w:val="0"/>
        </w:numPr>
        <w:spacing w:line="480" w:lineRule="auto"/>
        <w:ind w:firstLine="720"/>
      </w:pPr>
      <w:r>
        <w:t xml:space="preserve">PET imaging has undergone considerable development since the 1980s that has led to the integration into clinical practice.  These include improvements to the both the system hardware and software.  Ongoing work is essential to characterize the advances in performance from the introduction of new methods and technologies.  In many cases, it is also necessary to translate this to clinical applications, and to assess the impact that these new advances have on overall patient care.  </w:t>
      </w:r>
    </w:p>
    <w:p w:rsidR="00B33AAD" w:rsidRPr="004374C1" w:rsidRDefault="00B33AAD" w:rsidP="00B33AAD">
      <w:pPr>
        <w:numPr>
          <w:ilvl w:val="12"/>
          <w:numId w:val="0"/>
        </w:numPr>
        <w:spacing w:line="480" w:lineRule="auto"/>
        <w:ind w:firstLine="720"/>
      </w:pPr>
      <w:r>
        <w:lastRenderedPageBreak/>
        <w:t xml:space="preserve">This PhD focuses on the incorporation of point spread function modeling and time-of-flight information within PET reconstruction.  Throughout the course of this work several </w:t>
      </w:r>
      <w:r w:rsidRPr="004374C1">
        <w:t>questions are addressed, the most notable being:</w:t>
      </w:r>
    </w:p>
    <w:p w:rsidR="00B33AAD" w:rsidRPr="004374C1" w:rsidRDefault="00B33AAD" w:rsidP="00B33AAD">
      <w:pPr>
        <w:pStyle w:val="ListParagraph"/>
        <w:numPr>
          <w:ilvl w:val="0"/>
          <w:numId w:val="13"/>
        </w:numPr>
        <w:spacing w:line="480" w:lineRule="auto"/>
        <w:rPr>
          <w:rFonts w:ascii="Times New Roman" w:hAnsi="Times New Roman" w:cs="Times New Roman"/>
          <w:sz w:val="24"/>
          <w:szCs w:val="24"/>
        </w:rPr>
      </w:pPr>
      <w:r w:rsidRPr="004374C1">
        <w:rPr>
          <w:rFonts w:ascii="Times New Roman" w:hAnsi="Times New Roman" w:cs="Times New Roman"/>
          <w:sz w:val="24"/>
          <w:szCs w:val="24"/>
        </w:rPr>
        <w:t>What are the optimal parameters of the iterative algorithm and processing schemes when the point spread function and time-of-flight models are integrated in clinical reconstruction?</w:t>
      </w:r>
    </w:p>
    <w:p w:rsidR="00B33AAD" w:rsidRPr="004374C1" w:rsidRDefault="00B33AAD" w:rsidP="00B33AAD">
      <w:pPr>
        <w:pStyle w:val="ListParagraph"/>
        <w:numPr>
          <w:ilvl w:val="0"/>
          <w:numId w:val="13"/>
        </w:numPr>
        <w:spacing w:line="480" w:lineRule="auto"/>
        <w:rPr>
          <w:rFonts w:ascii="Times New Roman" w:hAnsi="Times New Roman" w:cs="Times New Roman"/>
          <w:sz w:val="24"/>
          <w:szCs w:val="24"/>
        </w:rPr>
      </w:pPr>
      <w:r w:rsidRPr="004374C1">
        <w:rPr>
          <w:rFonts w:ascii="Times New Roman" w:hAnsi="Times New Roman" w:cs="Times New Roman"/>
          <w:sz w:val="24"/>
          <w:szCs w:val="24"/>
        </w:rPr>
        <w:t xml:space="preserve">How does the optimization of these models improve clinical image quality, in terms of </w:t>
      </w:r>
      <w:r w:rsidR="00524A77">
        <w:rPr>
          <w:rFonts w:ascii="Times New Roman" w:hAnsi="Times New Roman" w:cs="Times New Roman"/>
          <w:sz w:val="24"/>
          <w:szCs w:val="24"/>
        </w:rPr>
        <w:t xml:space="preserve">observer </w:t>
      </w:r>
      <w:r w:rsidRPr="004374C1">
        <w:rPr>
          <w:rFonts w:ascii="Times New Roman" w:hAnsi="Times New Roman" w:cs="Times New Roman"/>
          <w:sz w:val="24"/>
          <w:szCs w:val="24"/>
        </w:rPr>
        <w:t>signal to noise?</w:t>
      </w:r>
    </w:p>
    <w:p w:rsidR="00B33AAD" w:rsidRPr="004374C1" w:rsidRDefault="00B33AAD" w:rsidP="00B33AAD">
      <w:pPr>
        <w:pStyle w:val="ListParagraph"/>
        <w:numPr>
          <w:ilvl w:val="0"/>
          <w:numId w:val="13"/>
        </w:numPr>
        <w:spacing w:line="480" w:lineRule="auto"/>
        <w:rPr>
          <w:rFonts w:ascii="Times New Roman" w:hAnsi="Times New Roman" w:cs="Times New Roman"/>
          <w:sz w:val="24"/>
          <w:szCs w:val="24"/>
        </w:rPr>
      </w:pPr>
      <w:r w:rsidRPr="004374C1">
        <w:rPr>
          <w:rFonts w:ascii="Times New Roman" w:hAnsi="Times New Roman" w:cs="Times New Roman"/>
          <w:sz w:val="24"/>
          <w:szCs w:val="24"/>
        </w:rPr>
        <w:t xml:space="preserve">Do these models improve detectability of small focal lesions in clinical images, and can these improvements be quantified? </w:t>
      </w:r>
    </w:p>
    <w:p w:rsidR="00B33AAD" w:rsidRPr="004374C1" w:rsidRDefault="00B33AAD" w:rsidP="00B33AAD">
      <w:pPr>
        <w:pStyle w:val="ListParagraph"/>
        <w:numPr>
          <w:ilvl w:val="0"/>
          <w:numId w:val="13"/>
        </w:numPr>
        <w:spacing w:line="480" w:lineRule="auto"/>
        <w:rPr>
          <w:rFonts w:ascii="Times New Roman" w:hAnsi="Times New Roman" w:cs="Times New Roman"/>
          <w:sz w:val="24"/>
          <w:szCs w:val="24"/>
        </w:rPr>
      </w:pPr>
      <w:r w:rsidRPr="004374C1">
        <w:rPr>
          <w:rFonts w:ascii="Times New Roman" w:hAnsi="Times New Roman" w:cs="Times New Roman"/>
          <w:sz w:val="24"/>
          <w:szCs w:val="24"/>
        </w:rPr>
        <w:t>Which numerical observer performs best in this task?</w:t>
      </w:r>
    </w:p>
    <w:p w:rsidR="00B72A41" w:rsidRDefault="00B33AAD" w:rsidP="00B33AAD">
      <w:pPr>
        <w:pStyle w:val="ListParagraph"/>
        <w:numPr>
          <w:ilvl w:val="0"/>
          <w:numId w:val="13"/>
        </w:numPr>
        <w:spacing w:line="480" w:lineRule="auto"/>
      </w:pPr>
      <w:r w:rsidRPr="004374C1">
        <w:rPr>
          <w:rFonts w:ascii="Times New Roman" w:hAnsi="Times New Roman" w:cs="Times New Roman"/>
          <w:sz w:val="24"/>
          <w:szCs w:val="24"/>
        </w:rPr>
        <w:t xml:space="preserve">Will the data from experienced radiologists validate those from mathematical </w:t>
      </w:r>
      <w:r w:rsidR="004C3713">
        <w:rPr>
          <w:rFonts w:ascii="Times New Roman" w:hAnsi="Times New Roman" w:cs="Times New Roman"/>
          <w:sz w:val="24"/>
          <w:szCs w:val="24"/>
        </w:rPr>
        <w:t>observers</w:t>
      </w:r>
      <w:r w:rsidRPr="004374C1">
        <w:rPr>
          <w:rFonts w:ascii="Times New Roman" w:hAnsi="Times New Roman" w:cs="Times New Roman"/>
          <w:sz w:val="24"/>
          <w:szCs w:val="24"/>
        </w:rPr>
        <w:t>, and which model observer agrees most closely with humans?</w:t>
      </w:r>
      <w:r>
        <w:t xml:space="preserve"> </w:t>
      </w:r>
      <w:r w:rsidR="00B72A41">
        <w:br w:type="page"/>
      </w:r>
    </w:p>
    <w:p w:rsidR="00B72A41" w:rsidRPr="00F920F6" w:rsidRDefault="00B72A41" w:rsidP="005E4C89">
      <w:pPr>
        <w:pStyle w:val="Heading1"/>
      </w:pPr>
      <w:bookmarkStart w:id="51" w:name="_Toc351890005"/>
      <w:r w:rsidRPr="00F920F6">
        <w:lastRenderedPageBreak/>
        <w:t>Chapter</w:t>
      </w:r>
      <w:r>
        <w:t xml:space="preserve"> 3 </w:t>
      </w:r>
      <w:r>
        <w:br/>
        <w:t>Signal Detection Theory</w:t>
      </w:r>
      <w:r w:rsidR="009B6816">
        <w:fldChar w:fldCharType="begin"/>
      </w:r>
      <w:r w:rsidR="00E26AFF">
        <w:instrText xml:space="preserve"> MACROBUTTON RemoveChapterIncreaseMark \* MERGEFORMAT </w:instrText>
      </w:r>
      <w:r w:rsidR="009B6816">
        <w:fldChar w:fldCharType="begin"/>
      </w:r>
      <w:r w:rsidR="00E26AFF">
        <w:instrText xml:space="preserve"> SEQ EqnChapter \n \h \* MERGEFORMAT </w:instrText>
      </w:r>
      <w:r w:rsidR="009B6816">
        <w:fldChar w:fldCharType="end"/>
      </w:r>
      <w:r w:rsidR="009B6816">
        <w:fldChar w:fldCharType="begin"/>
      </w:r>
      <w:r w:rsidR="00E26AFF">
        <w:instrText xml:space="preserve"> SEQ EquationNumber \r0 \h \* MERGEFORMAT </w:instrText>
      </w:r>
      <w:r w:rsidR="009B6816">
        <w:fldChar w:fldCharType="end"/>
      </w:r>
      <w:r w:rsidR="009B6816">
        <w:fldChar w:fldCharType="begin"/>
      </w:r>
      <w:r w:rsidR="00E26AFF">
        <w:instrText xml:space="preserve"> SEQ TheoremNumber \r0 \h \* MERGEFORMAT </w:instrText>
      </w:r>
      <w:r w:rsidR="009B6816">
        <w:fldChar w:fldCharType="end"/>
      </w:r>
      <w:r w:rsidR="00E26AFF" w:rsidRPr="00E26AFF">
        <w:rPr>
          <w:vanish/>
        </w:rPr>
        <w:sym w:font="Wingdings" w:char="F0F6"/>
      </w:r>
      <w:r w:rsidR="009B6816">
        <w:fldChar w:fldCharType="end"/>
      </w:r>
      <w:bookmarkEnd w:id="51"/>
    </w:p>
    <w:p w:rsidR="00BC0288" w:rsidRPr="00463767" w:rsidRDefault="00BC0288" w:rsidP="00BC0288">
      <w:pPr>
        <w:pStyle w:val="Heading2"/>
      </w:pPr>
      <w:bookmarkStart w:id="52" w:name="_Toc351890006"/>
      <w:r>
        <w:t>Receiver Operating Characteri</w:t>
      </w:r>
      <w:r w:rsidR="00EA7CE6">
        <w:t>sti</w:t>
      </w:r>
      <w:r>
        <w:t>cs</w:t>
      </w:r>
      <w:bookmarkEnd w:id="52"/>
    </w:p>
    <w:p w:rsidR="00BC0288" w:rsidRDefault="00BC0288" w:rsidP="00BC0288">
      <w:pPr>
        <w:numPr>
          <w:ilvl w:val="12"/>
          <w:numId w:val="0"/>
        </w:numPr>
        <w:spacing w:line="480" w:lineRule="auto"/>
        <w:ind w:firstLine="720"/>
      </w:pPr>
      <w:r>
        <w:t xml:space="preserve">An observer in a </w:t>
      </w:r>
      <w:r w:rsidR="007D748D">
        <w:t>classification</w:t>
      </w:r>
      <w:r>
        <w:t xml:space="preserve"> task is </w:t>
      </w:r>
      <w:r w:rsidR="000E0C04">
        <w:t>understood to arrive</w:t>
      </w:r>
      <w:r>
        <w:t xml:space="preserve"> at a decision by making a perc</w:t>
      </w:r>
      <w:r w:rsidR="000E0C04">
        <w:t>eptual measurement of an object; t</w:t>
      </w:r>
      <w:r>
        <w:t xml:space="preserve">his measurement is then compared to some threshold, </w:t>
      </w:r>
      <w:r w:rsidR="007D748D">
        <w:t>to determine from which hypothesis the test object came</w:t>
      </w:r>
      <w:r>
        <w:t>.  It is generally valid to assume that the</w:t>
      </w:r>
      <w:r w:rsidR="003F0751">
        <w:t xml:space="preserve"> </w:t>
      </w:r>
      <w:r>
        <w:t xml:space="preserve">decision probability functions </w:t>
      </w:r>
      <w:r w:rsidR="003E57EE">
        <w:t xml:space="preserve">of the measurement variable </w:t>
      </w:r>
      <w:r>
        <w:t xml:space="preserve">will be normally distributed, over observer threshold criteria.  </w:t>
      </w:r>
    </w:p>
    <w:p w:rsidR="00DF5D56" w:rsidRDefault="00585CEB" w:rsidP="00B72A41">
      <w:pPr>
        <w:numPr>
          <w:ilvl w:val="12"/>
          <w:numId w:val="0"/>
        </w:numPr>
        <w:spacing w:line="480" w:lineRule="auto"/>
        <w:ind w:firstLine="720"/>
      </w:pPr>
      <w:r>
        <w:t xml:space="preserve">Observer performance in a classification or detection task cannot generally be characterized by accuracy; the prevalence of one underlying hypothesis over any other will bias this measure.  </w:t>
      </w:r>
      <w:r w:rsidR="00BC4B8B">
        <w:t>I</w:t>
      </w:r>
      <w:r w:rsidR="00934C98">
        <w:t>nstead</w:t>
      </w:r>
      <w:r w:rsidR="00BC4B8B">
        <w:t>,</w:t>
      </w:r>
      <w:r w:rsidR="00934C98">
        <w:t xml:space="preserve"> performance is d</w:t>
      </w:r>
      <w:r w:rsidR="00B72A41">
        <w:t>efined</w:t>
      </w:r>
      <w:r w:rsidR="00B72A41" w:rsidRPr="00931627">
        <w:t xml:space="preserve"> </w:t>
      </w:r>
      <w:r w:rsidR="00553316">
        <w:t>in terms of</w:t>
      </w:r>
      <w:r w:rsidR="00B72A41" w:rsidRPr="00931627">
        <w:t xml:space="preserve"> the rate of </w:t>
      </w:r>
      <w:r w:rsidR="00B72A41">
        <w:t>correct and incorrect decisions</w:t>
      </w:r>
      <w:r w:rsidR="00B72A41" w:rsidRPr="00931627">
        <w:t xml:space="preserve">.  </w:t>
      </w:r>
      <w:r w:rsidR="00B72A41">
        <w:t>For example</w:t>
      </w:r>
      <w:r w:rsidR="00D72B21">
        <w:t>,</w:t>
      </w:r>
      <w:r w:rsidR="00B72A41">
        <w:t xml:space="preserve"> in a signal detection task,</w:t>
      </w:r>
      <w:r w:rsidR="00B72A41" w:rsidRPr="00931627">
        <w:t xml:space="preserve"> </w:t>
      </w:r>
      <w:r w:rsidR="000F0B74">
        <w:t>an observer will make</w:t>
      </w:r>
      <w:r w:rsidR="00B72A41" w:rsidRPr="00931627">
        <w:t xml:space="preserve"> a </w:t>
      </w:r>
      <w:r w:rsidR="00D72B21">
        <w:t>given</w:t>
      </w:r>
      <w:r w:rsidR="00B72A41" w:rsidRPr="00931627">
        <w:t xml:space="preserve"> number of </w:t>
      </w:r>
      <w:r w:rsidR="000F0B74">
        <w:t>detections</w:t>
      </w:r>
      <w:r w:rsidR="00D72B21">
        <w:t xml:space="preserve"> at any</w:t>
      </w:r>
      <w:r w:rsidR="00D72B21" w:rsidRPr="00931627">
        <w:t xml:space="preserve"> </w:t>
      </w:r>
      <w:r w:rsidR="00D72B21">
        <w:t xml:space="preserve">decision </w:t>
      </w:r>
      <w:r w:rsidR="00D72B21" w:rsidRPr="00931627">
        <w:t>threshold</w:t>
      </w:r>
      <w:r w:rsidR="0005327E">
        <w:t xml:space="preserve">, </w:t>
      </w:r>
      <w:r w:rsidR="00B72A41" w:rsidRPr="00931627">
        <w:t xml:space="preserve">some true and some false.  </w:t>
      </w:r>
      <w:r w:rsidR="00B72A41">
        <w:t>I</w:t>
      </w:r>
      <w:r w:rsidR="00B72A41" w:rsidRPr="00931627">
        <w:t xml:space="preserve">f the threshold is too low, many </w:t>
      </w:r>
      <w:r w:rsidR="004B7E18">
        <w:t>non-target signals</w:t>
      </w:r>
      <w:r w:rsidR="00B72A41" w:rsidRPr="00931627">
        <w:t xml:space="preserve"> will be detected giving rise to a high false positive rate.  Conversely, if the threshold is too high, it will eliminate the detection of </w:t>
      </w:r>
      <w:r w:rsidR="00B83C2A">
        <w:t>some</w:t>
      </w:r>
      <w:r w:rsidR="00B72A41" w:rsidRPr="00931627">
        <w:t xml:space="preserve"> false positive </w:t>
      </w:r>
      <w:r w:rsidR="00B83C2A">
        <w:t>decisions,</w:t>
      </w:r>
      <w:r w:rsidR="00B72A41" w:rsidRPr="00931627">
        <w:t xml:space="preserve"> but at the cost of</w:t>
      </w:r>
      <w:r w:rsidR="00B72A41">
        <w:t xml:space="preserve"> a</w:t>
      </w:r>
      <w:r w:rsidR="00B72A41" w:rsidRPr="00931627">
        <w:t xml:space="preserve"> lower </w:t>
      </w:r>
      <w:r w:rsidR="00B72A41">
        <w:t xml:space="preserve">rate of </w:t>
      </w:r>
      <w:r w:rsidR="00B72A41" w:rsidRPr="00931627">
        <w:t xml:space="preserve">detection of the true positives.  </w:t>
      </w:r>
    </w:p>
    <w:p w:rsidR="00AD2B77" w:rsidRDefault="00AD2B77" w:rsidP="00AD2B77">
      <w:pPr>
        <w:numPr>
          <w:ilvl w:val="12"/>
          <w:numId w:val="0"/>
        </w:numPr>
        <w:spacing w:line="480" w:lineRule="auto"/>
        <w:ind w:firstLine="720"/>
      </w:pPr>
      <w:r w:rsidRPr="00931627">
        <w:t xml:space="preserve">A receiver operating characteristic (ROC) curve is a plot of the true positive </w:t>
      </w:r>
      <w:r>
        <w:t>rate</w:t>
      </w:r>
      <w:r w:rsidRPr="00931627">
        <w:t xml:space="preserve"> against the false positive </w:t>
      </w:r>
      <w:r>
        <w:t>rate</w:t>
      </w:r>
      <w:r w:rsidRPr="00931627">
        <w:t>, ove</w:t>
      </w:r>
      <w:r>
        <w:t xml:space="preserve">r a full range of threshold values.  The ROC curve completely defines the observer performance in </w:t>
      </w:r>
      <w:r w:rsidR="007704DB">
        <w:t>a</w:t>
      </w:r>
      <w:r>
        <w:t xml:space="preserve"> binary classification task.  </w:t>
      </w:r>
      <w:r w:rsidRPr="00931627">
        <w:t xml:space="preserve">The area under this curve (AUC) is a well-accepted </w:t>
      </w:r>
      <w:r>
        <w:t>figure-of-merit for a given observer system</w:t>
      </w:r>
      <w:r w:rsidR="007704DB">
        <w:t xml:space="preserve"> </w:t>
      </w:r>
      <w:r w:rsidR="007704DB">
        <w:lastRenderedPageBreak/>
        <w:fldChar w:fldCharType="begin"/>
      </w:r>
      <w:r w:rsidR="007704DB">
        <w:instrText xml:space="preserve"> ADDIN EN.CITE &lt;EndNote&gt;&lt;Cite&gt;&lt;Author&gt;Barrett&lt;/Author&gt;&lt;Year&gt;2004&lt;/Year&gt;&lt;RecNum&gt;192&lt;/RecNum&gt;&lt;DisplayText&gt;(Barrett and Myers 2004)&lt;/DisplayText&gt;&lt;record&gt;&lt;rec-number&gt;192&lt;/rec-number&gt;&lt;foreign-keys&gt;&lt;key app="EN" db-id="srwv9ppvvez5pgefxzi5ddeve5w2fe5x5esr"&gt;192&lt;/key&gt;&lt;/foreign-keys&gt;&lt;ref-type name="Book"&gt;6&lt;/ref-type&gt;&lt;contributors&gt;&lt;authors&gt;&lt;author&gt;Barrett, Harrison H.&lt;/author&gt;&lt;author&gt;Myers, Kyle J.&lt;/author&gt;&lt;/authors&gt;&lt;/contributors&gt;&lt;titles&gt;&lt;title&gt;Foundations of image science&lt;/title&gt;&lt;secondary-title&gt;Wiley series in pure and applied optics&lt;/secondary-title&gt;&lt;/titles&gt;&lt;dates&gt;&lt;year&gt;2004&lt;/year&gt;&lt;/dates&gt;&lt;pub-location&gt;Hoboken, NJ&lt;/pub-location&gt;&lt;publisher&gt;Wiley&lt;/publisher&gt;&lt;isbn&gt;0471153001 9780471153009&lt;/isbn&gt;&lt;urls&gt;&lt;/urls&gt;&lt;remote-database-name&gt;/z-wcorg/&lt;/remote-database-name&gt;&lt;remote-database-provider&gt;http://worldcat.org&lt;/remote-database-provider&gt;&lt;language&gt;English&lt;/language&gt;&lt;/record&gt;&lt;/Cite&gt;&lt;/EndNote&gt;</w:instrText>
      </w:r>
      <w:r w:rsidR="007704DB">
        <w:fldChar w:fldCharType="separate"/>
      </w:r>
      <w:r w:rsidR="007704DB">
        <w:rPr>
          <w:noProof/>
        </w:rPr>
        <w:t>(</w:t>
      </w:r>
      <w:hyperlink w:anchor="_ENREF_9" w:tooltip="Barrett, 2004 #192" w:history="1">
        <w:r w:rsidR="007704DB">
          <w:rPr>
            <w:noProof/>
          </w:rPr>
          <w:t>Barrett and Myers 2004</w:t>
        </w:r>
      </w:hyperlink>
      <w:r w:rsidR="007704DB">
        <w:rPr>
          <w:noProof/>
        </w:rPr>
        <w:t>)</w:t>
      </w:r>
      <w:r w:rsidR="007704DB">
        <w:fldChar w:fldCharType="end"/>
      </w:r>
      <w:r>
        <w:t xml:space="preserve">.  A value of </w:t>
      </w:r>
      <w:r w:rsidR="007704DB">
        <w:t>1</w:t>
      </w:r>
      <w:r w:rsidR="008713EC">
        <w:t xml:space="preserve"> </w:t>
      </w:r>
      <w:r>
        <w:t>means the system performed perfectly</w:t>
      </w:r>
      <w:r w:rsidRPr="00931627">
        <w:t xml:space="preserve"> </w:t>
      </w:r>
      <w:r>
        <w:t>and value of 0.5 means the observer performed no better than blind guessing.</w:t>
      </w:r>
    </w:p>
    <w:p w:rsidR="002C7E62" w:rsidRDefault="009548F1" w:rsidP="002C7E62">
      <w:pPr>
        <w:numPr>
          <w:ilvl w:val="12"/>
          <w:numId w:val="0"/>
        </w:numPr>
        <w:spacing w:line="480" w:lineRule="auto"/>
        <w:ind w:firstLine="720"/>
      </w:pPr>
      <w:r>
        <w:t xml:space="preserve">Signal detection </w:t>
      </w:r>
      <w:r w:rsidR="00AD2B77">
        <w:t>experiments measure</w:t>
      </w:r>
      <w:r>
        <w:t xml:space="preserve"> observer</w:t>
      </w:r>
      <w:r w:rsidR="00AD2B77">
        <w:t xml:space="preserve"> ROC statistics using samples that are known to have come from both classes, in our case, abnormal (target) or normal (non-target) images.  </w:t>
      </w:r>
      <w:r w:rsidR="002C7E62">
        <w:t xml:space="preserve">If the probability distribution of the decisions in the non-target </w:t>
      </w:r>
      <w:r w:rsidR="00773232">
        <w:t>locations</w:t>
      </w:r>
      <w:r w:rsidR="002C7E62">
        <w:t xml:space="preserve"> </w:t>
      </w:r>
      <w:proofErr w:type="gramStart"/>
      <w:r w:rsidR="00585CEB">
        <w:t xml:space="preserve">is </w:t>
      </w:r>
      <m:oMath>
        <w:proofErr w:type="gramEnd"/>
        <m:r>
          <w:rPr>
            <w:rFonts w:ascii="Cambria Math" w:hAnsi="Cambria Math"/>
          </w:rPr>
          <m:t>g</m:t>
        </m:r>
        <m:d>
          <m:dPr>
            <m:ctrlPr>
              <w:rPr>
                <w:rFonts w:ascii="Cambria Math" w:hAnsi="Cambria Math"/>
                <w:i/>
              </w:rPr>
            </m:ctrlPr>
          </m:dPr>
          <m:e>
            <m:r>
              <w:rPr>
                <w:rFonts w:ascii="Cambria Math" w:hAnsi="Cambria Math"/>
              </w:rPr>
              <m:t>X</m:t>
            </m:r>
          </m:e>
        </m:d>
      </m:oMath>
      <w:r w:rsidR="002C7E62">
        <w:t>, the probability of a false positive decision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(Z)=</m:t>
                </m:r>
                <m:nary>
                  <m:naryPr>
                    <m:limLoc m:val="subSup"/>
                    <m:ctrlPr>
                      <w:rPr>
                        <w:rFonts w:ascii="Cambria Math" w:hAnsi="Cambria Math"/>
                        <w:i/>
                      </w:rPr>
                    </m:ctrlPr>
                  </m:naryPr>
                  <m:sub>
                    <m:r>
                      <w:rPr>
                        <w:rFonts w:ascii="Cambria Math" w:hAnsi="Cambria Math"/>
                      </w:rPr>
                      <m:t>Z</m:t>
                    </m:r>
                  </m:sub>
                  <m:sup>
                    <m:r>
                      <w:rPr>
                        <w:rFonts w:ascii="Cambria Math" w:hAnsi="Cambria Math"/>
                      </w:rPr>
                      <m:t>∞</m:t>
                    </m:r>
                  </m:sup>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dX</m:t>
                    </m:r>
                  </m:e>
                </m:nary>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3</w:instrText>
              </w:r>
            </w:fldSimple>
            <w:r w:rsidR="00E26AFF">
              <w:instrText>.</w:instrText>
            </w:r>
            <w:fldSimple w:instr=" SEQ EquationNumber \n \* Arabic \* MERGEFORMAT ">
              <w:r w:rsidR="005B6C27">
                <w:rPr>
                  <w:noProof/>
                </w:rPr>
                <w:instrText>1</w:instrText>
              </w:r>
            </w:fldSimple>
            <w:r w:rsidR="00E26AFF">
              <w:instrText>)</w:instrText>
            </w:r>
            <w:r>
              <w:fldChar w:fldCharType="end"/>
            </w:r>
          </w:p>
        </w:tc>
      </w:tr>
    </w:tbl>
    <w:p w:rsidR="002C7E62" w:rsidRDefault="002C7E62" w:rsidP="002C7E62">
      <w:pPr>
        <w:numPr>
          <w:ilvl w:val="12"/>
          <w:numId w:val="0"/>
        </w:numPr>
        <w:spacing w:line="480" w:lineRule="auto"/>
      </w:pPr>
      <w:proofErr w:type="gramStart"/>
      <w:r>
        <w:t>or</w:t>
      </w:r>
      <w:proofErr w:type="gramEnd"/>
      <w:r>
        <w:t xml:space="preserve"> equivalently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(Z)=1-G(Z)=1-</m:t>
                </m:r>
                <m:nary>
                  <m:naryPr>
                    <m:limLoc m:val="subSup"/>
                    <m:ctrlPr>
                      <w:rPr>
                        <w:rFonts w:ascii="Cambria Math" w:hAnsi="Cambria Math"/>
                        <w:i/>
                      </w:rPr>
                    </m:ctrlPr>
                  </m:naryPr>
                  <m:sub>
                    <m:r>
                      <w:rPr>
                        <w:rFonts w:ascii="Cambria Math" w:hAnsi="Cambria Math"/>
                      </w:rPr>
                      <m:t>-∞</m:t>
                    </m:r>
                  </m:sub>
                  <m:sup>
                    <m:r>
                      <w:rPr>
                        <w:rFonts w:ascii="Cambria Math" w:hAnsi="Cambria Math"/>
                      </w:rPr>
                      <m:t>Z</m:t>
                    </m:r>
                  </m:sup>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dX</m:t>
                    </m:r>
                  </m:e>
                </m:nary>
              </m:oMath>
            </m:oMathPara>
          </w:p>
        </w:tc>
        <w:bookmarkStart w:id="53" w:name="NumberRef5334240198"/>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3</w:instrText>
              </w:r>
            </w:fldSimple>
            <w:r w:rsidR="00E26AFF">
              <w:instrText>.</w:instrText>
            </w:r>
            <w:fldSimple w:instr=" SEQ EquationNumber \n \* Arabic \* MERGEFORMAT ">
              <w:r w:rsidR="005B6C27">
                <w:rPr>
                  <w:noProof/>
                </w:rPr>
                <w:instrText>2</w:instrText>
              </w:r>
            </w:fldSimple>
            <w:r w:rsidR="00E26AFF">
              <w:instrText>)</w:instrText>
            </w:r>
            <w:r>
              <w:fldChar w:fldCharType="end"/>
            </w:r>
            <w:bookmarkEnd w:id="53"/>
          </w:p>
        </w:tc>
      </w:tr>
    </w:tbl>
    <w:p w:rsidR="003B4C8E" w:rsidRDefault="00C63521" w:rsidP="00824C18">
      <w:pPr>
        <w:numPr>
          <w:ilvl w:val="12"/>
          <w:numId w:val="0"/>
        </w:numPr>
        <w:spacing w:line="480" w:lineRule="auto"/>
      </w:pPr>
      <w:r>
        <w:t xml:space="preserve">Here, Z is the observer’s decision threshold and </w:t>
      </w:r>
      <m:oMath>
        <m:r>
          <w:rPr>
            <w:rFonts w:ascii="Cambria Math" w:hAnsi="Cambria Math"/>
          </w:rPr>
          <m:t>G(Z)</m:t>
        </m:r>
      </m:oMath>
      <w:r>
        <w:t xml:space="preserve"> is the probability that the measurement at the non-target site is less than Z.  </w:t>
      </w:r>
      <w:r w:rsidR="003B4C8E">
        <w:t>This model assumes that the presence (or absence) of lesions has no effect on the observers perceptual measurement</w:t>
      </w:r>
      <w:r w:rsidR="00F52DE8">
        <w:t xml:space="preserve">, </w:t>
      </w:r>
      <w:proofErr w:type="spellStart"/>
      <w:r w:rsidR="00F52DE8">
        <w:t>ie</w:t>
      </w:r>
      <w:proofErr w:type="spellEnd"/>
      <w:r w:rsidR="00F52DE8">
        <w:t xml:space="preserve">. </w:t>
      </w:r>
      <w:proofErr w:type="gramStart"/>
      <w:r w:rsidR="00F52DE8">
        <w:t>a</w:t>
      </w:r>
      <w:proofErr w:type="gramEnd"/>
      <w:r w:rsidR="003B4C8E">
        <w:t xml:space="preserve"> false positive </w:t>
      </w:r>
      <w:r w:rsidR="00AD55AF">
        <w:t>measurement</w:t>
      </w:r>
      <w:r w:rsidR="003B4C8E">
        <w:t xml:space="preserve"> on a non-target </w:t>
      </w:r>
      <w:r w:rsidR="004458C7">
        <w:t>location</w:t>
      </w:r>
      <w:r w:rsidR="00F52DE8">
        <w:t xml:space="preserve"> would have exactly the same measurement on the corresponding target image.  Here, the decision would only be changed if the measurement of the actual target </w:t>
      </w:r>
      <w:r w:rsidR="00C46BA5">
        <w:t>location</w:t>
      </w:r>
      <w:r w:rsidR="00F52DE8">
        <w:t xml:space="preserve"> exceeded that of the non-target one.  Thus, the false positive rate </w:t>
      </w:r>
      <w:r w:rsidR="00C04EC3">
        <w:t>is</w:t>
      </w:r>
      <w:r w:rsidR="00F52DE8">
        <w:t xml:space="preserve"> </w:t>
      </w:r>
      <w:r w:rsidR="004458C7">
        <w:t xml:space="preserve">defined by the decisions within the non-target locations and is </w:t>
      </w:r>
      <w:r w:rsidR="00F52DE8">
        <w:t xml:space="preserve">completely characterized using only the non-target images.  </w:t>
      </w:r>
    </w:p>
    <w:p w:rsidR="00426EDE" w:rsidRDefault="00B07F74" w:rsidP="00237380">
      <w:pPr>
        <w:numPr>
          <w:ilvl w:val="12"/>
          <w:numId w:val="0"/>
        </w:numPr>
        <w:spacing w:line="480" w:lineRule="auto"/>
        <w:ind w:firstLine="720"/>
      </w:pPr>
      <w:r>
        <w:t>Similarly</w:t>
      </w:r>
      <w:r w:rsidR="00AD2B77">
        <w:t>,</w:t>
      </w:r>
      <w:r>
        <w:t xml:space="preserve"> we define </w:t>
      </w:r>
      <m:oMath>
        <m:r>
          <w:rPr>
            <w:rFonts w:ascii="Cambria Math" w:hAnsi="Cambria Math"/>
          </w:rPr>
          <m:t>f</m:t>
        </m:r>
        <m:d>
          <m:dPr>
            <m:ctrlPr>
              <w:rPr>
                <w:rFonts w:ascii="Cambria Math" w:hAnsi="Cambria Math"/>
                <w:i/>
              </w:rPr>
            </m:ctrlPr>
          </m:dPr>
          <m:e>
            <m:r>
              <w:rPr>
                <w:rFonts w:ascii="Cambria Math" w:hAnsi="Cambria Math"/>
              </w:rPr>
              <m:t>X</m:t>
            </m:r>
          </m:e>
        </m:d>
      </m:oMath>
      <w:r>
        <w:t xml:space="preserve"> as the decision probability </w:t>
      </w:r>
      <w:r w:rsidR="00B61D9F">
        <w:t>function</w:t>
      </w:r>
      <w:r>
        <w:t xml:space="preserve"> in </w:t>
      </w:r>
      <w:r w:rsidR="002C0EB6">
        <w:t xml:space="preserve">the </w:t>
      </w:r>
      <w:r w:rsidR="00B61D9F">
        <w:t xml:space="preserve">distribution of </w:t>
      </w:r>
      <w:r w:rsidR="004458C7">
        <w:t>target locations</w:t>
      </w:r>
      <w:r>
        <w:t xml:space="preserve">.  </w:t>
      </w:r>
      <w:r w:rsidR="00F52DE8">
        <w:t xml:space="preserve">The positive </w:t>
      </w:r>
      <w:r w:rsidR="00B61D9F">
        <w:t xml:space="preserve">decision </w:t>
      </w:r>
      <w:r w:rsidR="00F52DE8">
        <w:t xml:space="preserve">rate </w:t>
      </w:r>
      <w:r w:rsidR="00B61D9F">
        <w:t>in the set of</w:t>
      </w:r>
      <w:r w:rsidR="004458C7">
        <w:t xml:space="preserve"> target </w:t>
      </w:r>
      <w:r w:rsidR="004458C7" w:rsidRPr="004458C7">
        <w:rPr>
          <w:i/>
        </w:rPr>
        <w:t>images</w:t>
      </w:r>
      <w:r w:rsidR="004458C7">
        <w:t xml:space="preserve"> </w:t>
      </w:r>
      <w:r w:rsidR="00B61D9F">
        <w:t xml:space="preserve">is </w:t>
      </w:r>
      <w:r>
        <w:t xml:space="preserve">not completely defined by </w:t>
      </w:r>
      <m:oMath>
        <m:r>
          <w:rPr>
            <w:rFonts w:ascii="Cambria Math" w:hAnsi="Cambria Math"/>
          </w:rPr>
          <m:t>f</m:t>
        </m:r>
        <m:d>
          <m:dPr>
            <m:ctrlPr>
              <w:rPr>
                <w:rFonts w:ascii="Cambria Math" w:hAnsi="Cambria Math"/>
                <w:i/>
              </w:rPr>
            </m:ctrlPr>
          </m:dPr>
          <m:e>
            <m:r>
              <w:rPr>
                <w:rFonts w:ascii="Cambria Math" w:hAnsi="Cambria Math"/>
              </w:rPr>
              <m:t>X</m:t>
            </m:r>
          </m:e>
        </m:d>
      </m:oMath>
      <w:r w:rsidR="004B0AC4">
        <w:t xml:space="preserve"> however</w:t>
      </w:r>
      <w:r w:rsidR="004458C7">
        <w:t xml:space="preserve">, since </w:t>
      </w:r>
      <w:r w:rsidR="004E2868">
        <w:t>some</w:t>
      </w:r>
      <w:r w:rsidR="004458C7">
        <w:t xml:space="preserve"> non-target locations </w:t>
      </w:r>
      <w:r w:rsidR="00673772">
        <w:t xml:space="preserve">may </w:t>
      </w:r>
      <w:r w:rsidR="004458C7">
        <w:t xml:space="preserve">yield higher </w:t>
      </w:r>
      <w:r w:rsidR="00103A34">
        <w:t xml:space="preserve">perceptual </w:t>
      </w:r>
      <w:r w:rsidR="004458C7">
        <w:t>measurements than</w:t>
      </w:r>
      <w:r w:rsidR="00C65018">
        <w:t xml:space="preserve"> those of</w:t>
      </w:r>
      <w:r w:rsidR="004458C7">
        <w:t xml:space="preserve"> the actual targets</w:t>
      </w:r>
      <w:r w:rsidR="00F52DE8">
        <w:t xml:space="preserve">.  </w:t>
      </w:r>
    </w:p>
    <w:p w:rsidR="00B800CB" w:rsidRDefault="00426EDE" w:rsidP="00237380">
      <w:pPr>
        <w:numPr>
          <w:ilvl w:val="12"/>
          <w:numId w:val="0"/>
        </w:numPr>
        <w:spacing w:line="480" w:lineRule="auto"/>
        <w:ind w:firstLine="720"/>
      </w:pPr>
      <w:r>
        <w:lastRenderedPageBreak/>
        <w:t>We look at</w:t>
      </w:r>
      <w:r w:rsidR="00B07F74">
        <w:t xml:space="preserve"> the simple </w:t>
      </w:r>
      <w:r w:rsidR="00F52DE8">
        <w:t>case where there is only one</w:t>
      </w:r>
      <w:r w:rsidR="006346CD">
        <w:t xml:space="preserve"> type of</w:t>
      </w:r>
      <w:r w:rsidR="00F52DE8">
        <w:t xml:space="preserve"> lesion present </w:t>
      </w:r>
      <w:r>
        <w:t>in</w:t>
      </w:r>
      <w:r w:rsidR="00F52DE8">
        <w:t xml:space="preserve"> each target image</w:t>
      </w:r>
      <w:r>
        <w:t>,</w:t>
      </w:r>
      <w:r w:rsidR="00F52DE8">
        <w:t xml:space="preserve"> an</w:t>
      </w:r>
      <w:r w:rsidR="00BA607B">
        <w:t>d the observer rep</w:t>
      </w:r>
      <w:r w:rsidR="00DC2375">
        <w:t>orts if it is present or</w:t>
      </w:r>
      <w:r>
        <w:t xml:space="preserve"> not</w:t>
      </w:r>
      <w:r w:rsidR="00F52DE8">
        <w:t xml:space="preserve">.  The observer </w:t>
      </w:r>
      <w:r w:rsidR="00360029">
        <w:t>reports</w:t>
      </w:r>
      <w:r w:rsidR="00F52DE8">
        <w:t xml:space="preserve"> a </w:t>
      </w:r>
      <w:r w:rsidR="00360029">
        <w:t xml:space="preserve">positive </w:t>
      </w:r>
      <w:r>
        <w:t xml:space="preserve">decision </w:t>
      </w:r>
      <w:r w:rsidRPr="00426EDE">
        <w:t xml:space="preserve">if the perceptual measurement at the lesion site </w:t>
      </w:r>
      <w:r w:rsidRPr="00426EDE">
        <w:rPr>
          <w:i/>
        </w:rPr>
        <w:t>or</w:t>
      </w:r>
      <w:r w:rsidRPr="00426EDE">
        <w:t xml:space="preserve"> at any other (non-target) site is greater than the observer threshold</w:t>
      </w:r>
      <w:r w:rsidR="00B800CB">
        <w:t>.</w:t>
      </w:r>
      <w:r w:rsidR="00235904">
        <w:t xml:space="preserve"> </w:t>
      </w:r>
      <w:r w:rsidR="004B265D">
        <w:t xml:space="preserve"> </w:t>
      </w:r>
      <w:r w:rsidR="00B800CB">
        <w:t>The probability of a positive decision</w:t>
      </w:r>
      <w:r w:rsidR="00C04EC3">
        <w:t xml:space="preserve"> in the</w:t>
      </w:r>
      <w:r w:rsidR="00CC6976">
        <w:t xml:space="preserve"> </w:t>
      </w:r>
      <w:r w:rsidR="00C04EC3">
        <w:t xml:space="preserve">target class </w:t>
      </w:r>
      <w:r w:rsidR="00B800CB">
        <w:t>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Z</m:t>
                    </m:r>
                  </m:e>
                </m:d>
                <m:r>
                  <w:rPr>
                    <w:rFonts w:ascii="Cambria Math" w:hAnsi="Cambria Math"/>
                  </w:rPr>
                  <m:t>=1-</m:t>
                </m:r>
                <m:r>
                  <m:rPr>
                    <m:sty m:val="p"/>
                  </m:rPr>
                  <w:rPr>
                    <w:rFonts w:ascii="Cambria Math" w:hAnsi="Cambria Math"/>
                  </w:rPr>
                  <m:t>H</m:t>
                </m:r>
                <m:r>
                  <w:rPr>
                    <w:rFonts w:ascii="Cambria Math" w:hAnsi="Cambria Math"/>
                  </w:rPr>
                  <m:t>(Z)=1-</m:t>
                </m:r>
                <m:nary>
                  <m:naryPr>
                    <m:limLoc m:val="subSup"/>
                    <m:ctrlPr>
                      <w:rPr>
                        <w:rFonts w:ascii="Cambria Math" w:hAnsi="Cambria Math"/>
                        <w:i/>
                      </w:rPr>
                    </m:ctrlPr>
                  </m:naryPr>
                  <m:sub>
                    <m:r>
                      <w:rPr>
                        <w:rFonts w:ascii="Cambria Math" w:hAnsi="Cambria Math"/>
                      </w:rPr>
                      <m:t>-∞</m:t>
                    </m:r>
                  </m:sub>
                  <m:sup>
                    <m:r>
                      <w:rPr>
                        <w:rFonts w:ascii="Cambria Math" w:hAnsi="Cambria Math"/>
                      </w:rPr>
                      <m:t>Z</m:t>
                    </m:r>
                  </m:sup>
                  <m:e>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dX</m:t>
                    </m:r>
                  </m:e>
                </m:nary>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3</w:instrText>
              </w:r>
            </w:fldSimple>
            <w:r w:rsidR="00E26AFF">
              <w:instrText>.</w:instrText>
            </w:r>
            <w:fldSimple w:instr=" SEQ EquationNumber \n \* Arabic \* MERGEFORMAT ">
              <w:r w:rsidR="005B6C27">
                <w:rPr>
                  <w:noProof/>
                </w:rPr>
                <w:instrText>3</w:instrText>
              </w:r>
            </w:fldSimple>
            <w:r w:rsidR="00E26AFF">
              <w:instrText>)</w:instrText>
            </w:r>
            <w:r>
              <w:fldChar w:fldCharType="end"/>
            </w:r>
          </w:p>
        </w:tc>
      </w:tr>
    </w:tbl>
    <w:p w:rsidR="00031057" w:rsidRDefault="00237380" w:rsidP="00103A34">
      <w:pPr>
        <w:numPr>
          <w:ilvl w:val="12"/>
          <w:numId w:val="0"/>
        </w:numPr>
        <w:spacing w:line="480" w:lineRule="auto"/>
      </w:pPr>
      <w:proofErr w:type="gramStart"/>
      <w:r>
        <w:t>where</w:t>
      </w:r>
      <w:proofErr w:type="gramEnd"/>
      <w:r>
        <w:t xml:space="preserve"> </w:t>
      </w:r>
      <m:oMath>
        <m:r>
          <m:rPr>
            <m:sty m:val="p"/>
          </m:rPr>
          <w:rPr>
            <w:rFonts w:ascii="Cambria Math" w:hAnsi="Cambria Math"/>
          </w:rPr>
          <m:t>H</m:t>
        </m:r>
        <m:d>
          <m:dPr>
            <m:ctrlPr>
              <w:rPr>
                <w:rFonts w:ascii="Cambria Math" w:hAnsi="Cambria Math"/>
                <w:i/>
              </w:rPr>
            </m:ctrlPr>
          </m:dPr>
          <m:e>
            <m:r>
              <w:rPr>
                <w:rFonts w:ascii="Cambria Math" w:hAnsi="Cambria Math"/>
              </w:rPr>
              <m:t>Z</m:t>
            </m:r>
          </m:e>
        </m:d>
        <m:r>
          <w:rPr>
            <w:rFonts w:ascii="Cambria Math" w:hAnsi="Cambria Math"/>
          </w:rPr>
          <m:t>=</m:t>
        </m:r>
        <m:r>
          <m:rPr>
            <m:sty m:val="p"/>
          </m:rPr>
          <w:rPr>
            <w:rFonts w:ascii="Cambria Math" w:hAnsi="Cambria Math"/>
          </w:rPr>
          <m:t>F</m:t>
        </m:r>
        <m:d>
          <m:dPr>
            <m:ctrlPr>
              <w:rPr>
                <w:rFonts w:ascii="Cambria Math" w:hAnsi="Cambria Math"/>
                <w:i/>
              </w:rPr>
            </m:ctrlPr>
          </m:dPr>
          <m:e>
            <m:r>
              <w:rPr>
                <w:rFonts w:ascii="Cambria Math" w:hAnsi="Cambria Math"/>
              </w:rPr>
              <m:t>Z</m:t>
            </m:r>
          </m:e>
        </m:d>
        <m:r>
          <m:rPr>
            <m:sty m:val="p"/>
          </m:rPr>
          <w:rPr>
            <w:rFonts w:ascii="Cambria Math" w:hAnsi="Cambria Math"/>
          </w:rPr>
          <m:t>G</m:t>
        </m:r>
        <m:r>
          <w:rPr>
            <w:rFonts w:ascii="Cambria Math" w:hAnsi="Cambria Math"/>
          </w:rPr>
          <m:t>(Z)</m:t>
        </m:r>
      </m:oMath>
      <w:r>
        <w:t xml:space="preserve"> </w:t>
      </w:r>
      <w:r w:rsidR="00BC1471">
        <w:t xml:space="preserve">is the </w:t>
      </w:r>
      <w:r w:rsidR="00311CF7">
        <w:t>combined</w:t>
      </w:r>
      <w:r w:rsidR="00BC1471">
        <w:t xml:space="preserve"> cumulative </w:t>
      </w:r>
      <w:r>
        <w:t xml:space="preserve">probability </w:t>
      </w:r>
      <w:r w:rsidR="002A351E">
        <w:t xml:space="preserve">of the </w:t>
      </w:r>
      <w:r w:rsidR="002C0EB6">
        <w:t xml:space="preserve">choosing the </w:t>
      </w:r>
      <w:r w:rsidR="002A351E">
        <w:t>maximum value of the</w:t>
      </w:r>
      <w:r w:rsidR="00BC1471">
        <w:t xml:space="preserve"> target or non-target</w:t>
      </w:r>
      <w:r w:rsidR="002A351E">
        <w:t xml:space="preserve"> </w:t>
      </w:r>
      <w:r w:rsidR="005E64E8">
        <w:t xml:space="preserve">site in </w:t>
      </w:r>
      <w:r w:rsidR="002A351E">
        <w:t xml:space="preserve">target </w:t>
      </w:r>
      <w:r w:rsidR="005E64E8">
        <w:t>images</w:t>
      </w:r>
      <w:r w:rsidR="002A351E">
        <w:t>.</w:t>
      </w:r>
      <w:r w:rsidR="00103A34">
        <w:t xml:space="preserve">  </w:t>
      </w:r>
      <w:r w:rsidR="00AD2B77">
        <w:t xml:space="preserve">The distribution </w:t>
      </w:r>
      <m:oMath>
        <m:r>
          <w:rPr>
            <w:rFonts w:ascii="Cambria Math" w:hAnsi="Cambria Math"/>
          </w:rPr>
          <m:t>h(Z)=f</m:t>
        </m:r>
        <m:d>
          <m:dPr>
            <m:ctrlPr>
              <w:rPr>
                <w:rFonts w:ascii="Cambria Math" w:hAnsi="Cambria Math"/>
                <w:i/>
              </w:rPr>
            </m:ctrlPr>
          </m:dPr>
          <m:e>
            <m:r>
              <w:rPr>
                <w:rFonts w:ascii="Cambria Math" w:hAnsi="Cambria Math"/>
              </w:rPr>
              <m:t>Z</m:t>
            </m:r>
          </m:e>
        </m:d>
        <m:r>
          <m:rPr>
            <m:sty m:val="p"/>
          </m:rPr>
          <w:rPr>
            <w:rFonts w:ascii="Cambria Math" w:hAnsi="Cambria Math"/>
          </w:rPr>
          <m:t>G</m:t>
        </m:r>
        <m:d>
          <m:dPr>
            <m:ctrlPr>
              <w:rPr>
                <w:rFonts w:ascii="Cambria Math" w:hAnsi="Cambria Math"/>
                <w:i/>
              </w:rPr>
            </m:ctrlPr>
          </m:dPr>
          <m:e>
            <m:r>
              <w:rPr>
                <w:rFonts w:ascii="Cambria Math" w:hAnsi="Cambria Math"/>
              </w:rPr>
              <m:t>Z</m:t>
            </m:r>
          </m:e>
        </m:d>
        <m:r>
          <w:rPr>
            <w:rFonts w:ascii="Cambria Math" w:hAnsi="Cambria Math"/>
          </w:rPr>
          <m:t>+g</m:t>
        </m:r>
        <m:d>
          <m:dPr>
            <m:ctrlPr>
              <w:rPr>
                <w:rFonts w:ascii="Cambria Math" w:hAnsi="Cambria Math"/>
                <w:i/>
              </w:rPr>
            </m:ctrlPr>
          </m:dPr>
          <m:e>
            <m:r>
              <w:rPr>
                <w:rFonts w:ascii="Cambria Math" w:hAnsi="Cambria Math"/>
              </w:rPr>
              <m:t>Z</m:t>
            </m:r>
          </m:e>
        </m:d>
        <m:r>
          <m:rPr>
            <m:sty m:val="p"/>
          </m:rPr>
          <w:rPr>
            <w:rFonts w:ascii="Cambria Math" w:hAnsi="Cambria Math"/>
          </w:rPr>
          <m:t>F</m:t>
        </m:r>
        <m:r>
          <w:rPr>
            <w:rFonts w:ascii="Cambria Math" w:hAnsi="Cambria Math"/>
          </w:rPr>
          <m:t>(Z)</m:t>
        </m:r>
      </m:oMath>
      <w:r w:rsidR="00AD2B77">
        <w:t xml:space="preserve"> is the </w:t>
      </w:r>
      <w:r w:rsidR="002C0EB6">
        <w:t>joint density function</w:t>
      </w:r>
      <w:r w:rsidR="00AD2B77">
        <w:t>.  The figure</w:t>
      </w:r>
      <w:r w:rsidR="00031057">
        <w:t>s below illustrate</w:t>
      </w:r>
      <w:r w:rsidR="00DB1D1E">
        <w:t xml:space="preserve"> this.</w:t>
      </w:r>
      <w:r w:rsidR="00031057" w:rsidRPr="00031057">
        <w:t xml:space="preserve"> </w:t>
      </w:r>
    </w:p>
    <w:p w:rsidR="0086578D" w:rsidRDefault="0086578D" w:rsidP="00103A34">
      <w:pPr>
        <w:numPr>
          <w:ilvl w:val="12"/>
          <w:numId w:val="0"/>
        </w:numPr>
        <w:spacing w:line="480" w:lineRule="auto"/>
      </w:pPr>
    </w:p>
    <w:p w:rsidR="00DB1D1E" w:rsidRDefault="00DB1D1E">
      <w:r>
        <w:br w:type="page"/>
      </w:r>
    </w:p>
    <w:p w:rsidR="00031057" w:rsidRDefault="00FF1770" w:rsidP="00031057">
      <w:pPr>
        <w:suppressAutoHyphens/>
        <w:autoSpaceDE w:val="0"/>
        <w:ind w:right="-180"/>
      </w:pPr>
      <w:r>
        <w:rPr>
          <w:noProof/>
        </w:rPr>
        <w:lastRenderedPageBreak/>
        <w:drawing>
          <wp:inline distT="0" distB="0" distL="0" distR="0">
            <wp:extent cx="5169535" cy="2365375"/>
            <wp:effectExtent l="19050" t="0" r="0" b="0"/>
            <wp:docPr id="18" name="Picture 4" descr="C:\Users\Josh\Desktop\temp\ROCpdf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Desktop\temp\ROCpdfs.tif"/>
                    <pic:cNvPicPr>
                      <a:picLocks noChangeAspect="1" noChangeArrowheads="1"/>
                    </pic:cNvPicPr>
                  </pic:nvPicPr>
                  <pic:blipFill>
                    <a:blip r:embed="rId33" cstate="print"/>
                    <a:srcRect/>
                    <a:stretch>
                      <a:fillRect/>
                    </a:stretch>
                  </pic:blipFill>
                  <pic:spPr bwMode="auto">
                    <a:xfrm>
                      <a:off x="0" y="0"/>
                      <a:ext cx="5169535" cy="2365375"/>
                    </a:xfrm>
                    <a:prstGeom prst="rect">
                      <a:avLst/>
                    </a:prstGeom>
                    <a:noFill/>
                    <a:ln w="9525">
                      <a:noFill/>
                      <a:miter lim="800000"/>
                      <a:headEnd/>
                      <a:tailEnd/>
                    </a:ln>
                  </pic:spPr>
                </pic:pic>
              </a:graphicData>
            </a:graphic>
          </wp:inline>
        </w:drawing>
      </w:r>
      <w:r w:rsidR="00031057" w:rsidRPr="00AD2B77">
        <w:t xml:space="preserve"> </w:t>
      </w:r>
    </w:p>
    <w:p w:rsidR="00031057" w:rsidRDefault="00031057" w:rsidP="0084023C">
      <w:pPr>
        <w:pStyle w:val="Caption"/>
      </w:pPr>
      <w:bookmarkStart w:id="54" w:name="_Ref311013387"/>
      <w:bookmarkStart w:id="55" w:name="_Ref311013439"/>
      <w:bookmarkStart w:id="56" w:name="_Toc351890059"/>
      <w:proofErr w:type="gramStart"/>
      <w:r>
        <w:t xml:space="preserve">Figure </w:t>
      </w:r>
      <w:r w:rsidR="009B6816">
        <w:fldChar w:fldCharType="begin"/>
      </w:r>
      <w:r w:rsidR="00EE0740">
        <w:instrText xml:space="preserve"> SEQ Figure \* ARABIC </w:instrText>
      </w:r>
      <w:r w:rsidR="009B6816">
        <w:fldChar w:fldCharType="separate"/>
      </w:r>
      <w:r w:rsidR="005B6C27">
        <w:rPr>
          <w:noProof/>
        </w:rPr>
        <w:t>18</w:t>
      </w:r>
      <w:r w:rsidR="009B6816">
        <w:fldChar w:fldCharType="end"/>
      </w:r>
      <w:bookmarkEnd w:id="55"/>
      <w:r>
        <w:t>.</w:t>
      </w:r>
      <w:proofErr w:type="gramEnd"/>
      <w:r>
        <w:t xml:space="preserve"> Probability distributions for the perceptual variables assumed to determine the ROC curve</w:t>
      </w:r>
      <w:bookmarkEnd w:id="54"/>
      <w:bookmarkEnd w:id="56"/>
    </w:p>
    <w:p w:rsidR="00DB1D1E" w:rsidRPr="00DB1D1E" w:rsidRDefault="00DB1D1E" w:rsidP="00DB1D1E"/>
    <w:p w:rsidR="00031057" w:rsidRDefault="00031057" w:rsidP="00031057">
      <w:pPr>
        <w:suppressAutoHyphens/>
        <w:autoSpaceDE w:val="0"/>
        <w:ind w:right="-180"/>
      </w:pPr>
      <w:r>
        <w:rPr>
          <w:noProof/>
        </w:rPr>
        <w:drawing>
          <wp:inline distT="0" distB="0" distL="0" distR="0">
            <wp:extent cx="2450465" cy="2377440"/>
            <wp:effectExtent l="19050" t="0" r="6985" b="0"/>
            <wp:docPr id="17" name="Picture 3" descr="C:\Users\Josh\Desktop\temp\RO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temp\ROC.tif"/>
                    <pic:cNvPicPr>
                      <a:picLocks noChangeAspect="1" noChangeArrowheads="1"/>
                    </pic:cNvPicPr>
                  </pic:nvPicPr>
                  <pic:blipFill>
                    <a:blip r:embed="rId34" cstate="print"/>
                    <a:srcRect/>
                    <a:stretch>
                      <a:fillRect/>
                    </a:stretch>
                  </pic:blipFill>
                  <pic:spPr bwMode="auto">
                    <a:xfrm>
                      <a:off x="0" y="0"/>
                      <a:ext cx="2450465" cy="2377440"/>
                    </a:xfrm>
                    <a:prstGeom prst="rect">
                      <a:avLst/>
                    </a:prstGeom>
                    <a:noFill/>
                    <a:ln w="9525">
                      <a:noFill/>
                      <a:miter lim="800000"/>
                      <a:headEnd/>
                      <a:tailEnd/>
                    </a:ln>
                  </pic:spPr>
                </pic:pic>
              </a:graphicData>
            </a:graphic>
          </wp:inline>
        </w:drawing>
      </w:r>
      <w:r w:rsidRPr="00AD2B77">
        <w:t xml:space="preserve"> </w:t>
      </w:r>
    </w:p>
    <w:p w:rsidR="008439FD" w:rsidRDefault="00031057" w:rsidP="0084023C">
      <w:pPr>
        <w:pStyle w:val="Caption"/>
      </w:pPr>
      <w:bookmarkStart w:id="57" w:name="_Toc351890060"/>
      <w:proofErr w:type="gramStart"/>
      <w:r>
        <w:t xml:space="preserve">Figure </w:t>
      </w:r>
      <w:r w:rsidR="009B6816">
        <w:fldChar w:fldCharType="begin"/>
      </w:r>
      <w:r w:rsidR="00EE0740">
        <w:instrText xml:space="preserve"> SEQ Figure \* ARABIC </w:instrText>
      </w:r>
      <w:r w:rsidR="009B6816">
        <w:fldChar w:fldCharType="separate"/>
      </w:r>
      <w:r w:rsidR="005B6C27">
        <w:rPr>
          <w:noProof/>
        </w:rPr>
        <w:t>19</w:t>
      </w:r>
      <w:r w:rsidR="009B6816">
        <w:fldChar w:fldCharType="end"/>
      </w:r>
      <w:r>
        <w:t>.</w:t>
      </w:r>
      <w:proofErr w:type="gramEnd"/>
      <w:r>
        <w:t xml:space="preserve"> ROC curve</w:t>
      </w:r>
      <w:r w:rsidR="008439FD">
        <w:t xml:space="preserve"> </w:t>
      </w:r>
      <w:r w:rsidR="00AD1CAD">
        <w:t>generated</w:t>
      </w:r>
      <w:r w:rsidR="008439FD">
        <w:t xml:space="preserve"> from the distributions in </w:t>
      </w:r>
      <w:r w:rsidR="009B6816">
        <w:fldChar w:fldCharType="begin"/>
      </w:r>
      <w:r w:rsidR="009E6B59">
        <w:instrText xml:space="preserve"> REF _Ref311013439 \h </w:instrText>
      </w:r>
      <w:r w:rsidR="009B6816">
        <w:fldChar w:fldCharType="separate"/>
      </w:r>
      <w:r w:rsidR="005B6C27">
        <w:t xml:space="preserve">Figure </w:t>
      </w:r>
      <w:r w:rsidR="005B6C27">
        <w:rPr>
          <w:noProof/>
        </w:rPr>
        <w:t>18</w:t>
      </w:r>
      <w:bookmarkEnd w:id="57"/>
      <w:r w:rsidR="009B6816">
        <w:fldChar w:fldCharType="end"/>
      </w:r>
    </w:p>
    <w:p w:rsidR="0086578D" w:rsidRDefault="0086578D" w:rsidP="00B23EFE">
      <w:pPr>
        <w:numPr>
          <w:ilvl w:val="12"/>
          <w:numId w:val="0"/>
        </w:numPr>
        <w:spacing w:line="480" w:lineRule="auto"/>
        <w:ind w:firstLine="720"/>
      </w:pPr>
    </w:p>
    <w:p w:rsidR="00B23EFE" w:rsidRDefault="00B23EFE" w:rsidP="00B23EFE">
      <w:pPr>
        <w:numPr>
          <w:ilvl w:val="12"/>
          <w:numId w:val="0"/>
        </w:numPr>
        <w:spacing w:line="480" w:lineRule="auto"/>
        <w:ind w:firstLine="720"/>
      </w:pPr>
      <w:r>
        <w:t>The detectability index can be determined from the AUC</w:t>
      </w:r>
      <w:r>
        <w:rPr>
          <w:rStyle w:val="FootnoteReference"/>
        </w:rPr>
        <w:footnoteReference w:id="7"/>
      </w:r>
      <w:r>
        <w:t xml:space="preserve"> by the relation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E26AFF" w:rsidP="00E26AFF">
            <w:pPr>
              <w:numPr>
                <w:ilvl w:val="12"/>
                <w:numId w:val="0"/>
              </w:numPr>
              <w:spacing w:line="480" w:lineRule="auto"/>
              <w:ind w:firstLine="720"/>
            </w:pPr>
            <m:oMathPara>
              <m:oMath>
                <m:r>
                  <m:rPr>
                    <m:sty m:val="p"/>
                  </m:rPr>
                  <w:rPr>
                    <w:rFonts w:ascii="Cambria Math" w:hAnsi="Cambria Math"/>
                  </w:rPr>
                  <w:lastRenderedPageBreak/>
                  <m:t>AUC</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erf</m:t>
                </m:r>
                <m:d>
                  <m:dPr>
                    <m:ctrlPr>
                      <w:rPr>
                        <w:rFonts w:ascii="Cambria Math" w:hAnsi="Cambria Math"/>
                      </w:rPr>
                    </m:ctrlPr>
                  </m:dPr>
                  <m:e>
                    <m:f>
                      <m:fPr>
                        <m:ctrlPr>
                          <w:rPr>
                            <w:rFonts w:ascii="Cambria Math" w:hAnsi="Cambria Math"/>
                          </w:rPr>
                        </m:ctrlPr>
                      </m:fPr>
                      <m:num>
                        <m:r>
                          <m:rPr>
                            <m:sty m:val="p"/>
                          </m:rPr>
                          <w:rPr>
                            <w:rFonts w:ascii="Cambria Math" w:hAnsi="Cambria Math"/>
                          </w:rPr>
                          <m:t>d</m:t>
                        </m:r>
                      </m:num>
                      <m:den>
                        <m:r>
                          <m:rPr>
                            <m:sty m:val="p"/>
                          </m:rPr>
                          <w:rPr>
                            <w:rFonts w:ascii="Cambria Math" w:hAnsi="Cambria Math"/>
                          </w:rPr>
                          <m:t>2</m:t>
                        </m:r>
                      </m:den>
                    </m:f>
                  </m:e>
                </m:d>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3</w:instrText>
              </w:r>
            </w:fldSimple>
            <w:r w:rsidR="00E26AFF">
              <w:instrText>.</w:instrText>
            </w:r>
            <w:fldSimple w:instr=" SEQ EquationNumber \n \* Arabic \* MERGEFORMAT ">
              <w:r w:rsidR="005B6C27">
                <w:rPr>
                  <w:noProof/>
                </w:rPr>
                <w:instrText>4</w:instrText>
              </w:r>
            </w:fldSimple>
            <w:r w:rsidR="00E26AFF">
              <w:instrText>)</w:instrText>
            </w:r>
            <w:r>
              <w:fldChar w:fldCharType="end"/>
            </w:r>
          </w:p>
        </w:tc>
      </w:tr>
    </w:tbl>
    <w:p w:rsidR="00D84C3E" w:rsidRDefault="00B23EFE" w:rsidP="00D84C3E">
      <w:pPr>
        <w:numPr>
          <w:ilvl w:val="12"/>
          <w:numId w:val="0"/>
        </w:numPr>
        <w:spacing w:line="480" w:lineRule="auto"/>
      </w:pPr>
      <w:r>
        <w:t>With this relationship, the SNR can be derived for any human, without knowledge of the specific test statistic</w:t>
      </w:r>
      <w:r w:rsidR="00DB1D1E">
        <w:t>s</w:t>
      </w:r>
      <w:r w:rsidR="00350757">
        <w:t>.</w:t>
      </w:r>
      <w:r w:rsidR="00D84C3E">
        <w:t xml:space="preserve"> </w:t>
      </w:r>
    </w:p>
    <w:p w:rsidR="00D84C3E" w:rsidRDefault="008439FD" w:rsidP="00D84C3E">
      <w:pPr>
        <w:pStyle w:val="Heading2"/>
      </w:pPr>
      <w:bookmarkStart w:id="58" w:name="_Toc351890007"/>
      <w:r>
        <w:t>Location Receiver Operating Characteristics</w:t>
      </w:r>
      <w:bookmarkEnd w:id="58"/>
    </w:p>
    <w:p w:rsidR="008439FD" w:rsidRDefault="002815F5" w:rsidP="008439FD">
      <w:pPr>
        <w:numPr>
          <w:ilvl w:val="12"/>
          <w:numId w:val="0"/>
        </w:numPr>
        <w:spacing w:line="480" w:lineRule="auto"/>
        <w:ind w:firstLine="720"/>
      </w:pPr>
      <w:r>
        <w:t xml:space="preserve">This is provides a good segue to the extension of the ROC to include localization performance, namely the localization receiver operating characteristic (LROC) formulation.  The ROC model neglects localization information and treats all decisions as binary image ratings.  The performance of correct lesion localization can also be represented as a function of false positives, similar to the ROC, but the curve does not go to unity (except for the slim chance of a 100% rate of correct localization).  The distribution of observer decisions in the target images comprises those from target and non-target locations.  </w:t>
      </w:r>
    </w:p>
    <w:p w:rsidR="0031784E" w:rsidRDefault="00A13330" w:rsidP="0031784E">
      <w:pPr>
        <w:numPr>
          <w:ilvl w:val="12"/>
          <w:numId w:val="0"/>
        </w:numPr>
        <w:spacing w:line="480" w:lineRule="auto"/>
        <w:ind w:firstLine="720"/>
      </w:pPr>
      <w:r>
        <w:t>The</w:t>
      </w:r>
      <w:r w:rsidR="008439FD">
        <w:t xml:space="preserve"> </w:t>
      </w:r>
      <w:r w:rsidR="008A3FDD">
        <w:t>target-image distribution</w:t>
      </w:r>
      <w:r w:rsidR="003A1C10">
        <w:t xml:space="preserve"> </w:t>
      </w:r>
      <w:r w:rsidR="00213283">
        <w:t>in the ROC formulism consist</w:t>
      </w:r>
      <w:r w:rsidR="00D64E23">
        <w:t>s</w:t>
      </w:r>
      <w:r w:rsidR="00213283">
        <w:t xml:space="preserve"> of </w:t>
      </w:r>
      <w:r w:rsidR="003A1C10">
        <w:t xml:space="preserve">two mutually exclusive groups, </w:t>
      </w:r>
      <w:r w:rsidR="00213283">
        <w:t xml:space="preserve">correctly and incorrectly localized lesions.  </w:t>
      </w:r>
      <w:r w:rsidR="0031784E">
        <w:t>The probability of correctly localizing a target is</w:t>
      </w:r>
      <w:r w:rsidR="008A3FDD">
        <w:t xml:space="preserve"> the joint probability that </w:t>
      </w:r>
      <w:r w:rsidR="00574181">
        <w:t>the</w:t>
      </w:r>
      <w:r w:rsidR="008A3FDD">
        <w:t xml:space="preserve"> target </w:t>
      </w:r>
      <w:r>
        <w:t>location yields a perceptual</w:t>
      </w:r>
      <w:r w:rsidR="008A3FDD">
        <w:t xml:space="preserve"> measurement greater than </w:t>
      </w:r>
      <m:oMath>
        <m:r>
          <w:rPr>
            <w:rFonts w:ascii="Cambria Math" w:hAnsi="Cambria Math"/>
          </w:rPr>
          <m:t>Z</m:t>
        </m:r>
      </m:oMath>
      <w:r w:rsidR="008A3FDD">
        <w:t xml:space="preserve"> and </w:t>
      </w:r>
      <w:r w:rsidR="00A948F8">
        <w:t xml:space="preserve">that </w:t>
      </w:r>
      <w:r w:rsidR="003A7A27">
        <w:t>th</w:t>
      </w:r>
      <w:r w:rsidR="00A64786">
        <w:t>is</w:t>
      </w:r>
      <w:r w:rsidR="003A7A27">
        <w:t xml:space="preserve"> measurement is greater than that of all other</w:t>
      </w:r>
      <w:r w:rsidR="00A64786">
        <w:t xml:space="preserve"> (non-target)</w:t>
      </w:r>
      <w:r w:rsidR="003A7A27">
        <w:t xml:space="preserve"> locations.</w:t>
      </w:r>
      <w:r w:rsidR="00F66E7E">
        <w:t xml:space="preserve">  </w:t>
      </w:r>
      <w:r w:rsidR="008A3FDD">
        <w:t>It is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26AFF" w:rsidTr="00E26AFF">
        <w:tc>
          <w:tcPr>
            <w:tcW w:w="7920" w:type="dxa"/>
            <w:shd w:val="clear" w:color="auto" w:fill="auto"/>
            <w:vAlign w:val="center"/>
          </w:tcPr>
          <w:p w:rsidR="00E26AFF" w:rsidRDefault="009B6816" w:rsidP="00E26AFF">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CL</m:t>
                    </m:r>
                  </m:sub>
                </m:sSub>
                <m:r>
                  <w:rPr>
                    <w:rFonts w:ascii="Cambria Math" w:hAnsi="Cambria Math"/>
                  </w:rPr>
                  <m:t>(Z)=</m:t>
                </m:r>
                <m:nary>
                  <m:naryPr>
                    <m:limLoc m:val="subSup"/>
                    <m:ctrlPr>
                      <w:rPr>
                        <w:rFonts w:ascii="Cambria Math" w:hAnsi="Cambria Math"/>
                        <w:i/>
                      </w:rPr>
                    </m:ctrlPr>
                  </m:naryPr>
                  <m:sub>
                    <m:r>
                      <w:rPr>
                        <w:rFonts w:ascii="Cambria Math" w:hAnsi="Cambria Math"/>
                      </w:rPr>
                      <m:t>Z</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G(X)dX</m:t>
                    </m:r>
                  </m:e>
                </m:nary>
              </m:oMath>
            </m:oMathPara>
          </w:p>
        </w:tc>
        <w:tc>
          <w:tcPr>
            <w:tcW w:w="720" w:type="dxa"/>
            <w:shd w:val="clear" w:color="auto" w:fill="auto"/>
            <w:vAlign w:val="center"/>
          </w:tcPr>
          <w:p w:rsidR="00E26AFF" w:rsidRDefault="009B6816" w:rsidP="00E26AFF">
            <w:pPr>
              <w:pStyle w:val="EquationNumberStyle"/>
            </w:pPr>
            <w:r>
              <w:fldChar w:fldCharType="begin"/>
            </w:r>
            <w:r w:rsidR="00E26AFF">
              <w:instrText xml:space="preserve"> MACROBUTTON NumberReference \* MERGEFORMAT (</w:instrText>
            </w:r>
            <w:fldSimple w:instr=" SEQ EqnChapter \c \* Arabic \* MERGEFORMAT ">
              <w:r w:rsidR="005B6C27">
                <w:rPr>
                  <w:noProof/>
                </w:rPr>
                <w:instrText>3</w:instrText>
              </w:r>
            </w:fldSimple>
            <w:r w:rsidR="00E26AFF">
              <w:instrText>.</w:instrText>
            </w:r>
            <w:fldSimple w:instr=" SEQ EquationNumber \n \* Arabic \* MERGEFORMAT ">
              <w:r w:rsidR="005B6C27">
                <w:rPr>
                  <w:noProof/>
                </w:rPr>
                <w:instrText>5</w:instrText>
              </w:r>
            </w:fldSimple>
            <w:r w:rsidR="00E26AFF">
              <w:instrText>)</w:instrText>
            </w:r>
            <w:r>
              <w:fldChar w:fldCharType="end"/>
            </w:r>
          </w:p>
        </w:tc>
      </w:tr>
    </w:tbl>
    <w:p w:rsidR="009510C4" w:rsidRDefault="009510C4" w:rsidP="00FF1770">
      <w:pPr>
        <w:numPr>
          <w:ilvl w:val="12"/>
          <w:numId w:val="0"/>
        </w:numPr>
        <w:spacing w:line="480" w:lineRule="auto"/>
      </w:pPr>
      <w:r>
        <w:t>Similarly, the probability of incorrectly localizing a target in the target image</w:t>
      </w:r>
      <w:r w:rsidR="00E226E2">
        <w:t>s</w:t>
      </w:r>
      <w:r>
        <w:t xml:space="preserve"> is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9510C4" w:rsidTr="009B53A7">
        <w:tc>
          <w:tcPr>
            <w:tcW w:w="7920" w:type="dxa"/>
            <w:shd w:val="clear" w:color="auto" w:fill="auto"/>
            <w:vAlign w:val="center"/>
          </w:tcPr>
          <w:p w:rsidR="009510C4" w:rsidRDefault="009510C4" w:rsidP="009510C4">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IL</m:t>
                    </m:r>
                  </m:sub>
                </m:sSub>
                <m:r>
                  <w:rPr>
                    <w:rFonts w:ascii="Cambria Math" w:hAnsi="Cambria Math"/>
                  </w:rPr>
                  <m:t>(Z)=</m:t>
                </m:r>
                <m:nary>
                  <m:naryPr>
                    <m:limLoc m:val="subSup"/>
                    <m:ctrlPr>
                      <w:rPr>
                        <w:rFonts w:ascii="Cambria Math" w:hAnsi="Cambria Math"/>
                        <w:i/>
                      </w:rPr>
                    </m:ctrlPr>
                  </m:naryPr>
                  <m:sub>
                    <m:r>
                      <w:rPr>
                        <w:rFonts w:ascii="Cambria Math" w:hAnsi="Cambria Math"/>
                      </w:rPr>
                      <m:t>Z</m:t>
                    </m:r>
                  </m:sub>
                  <m:sup>
                    <m:r>
                      <w:rPr>
                        <w:rFonts w:ascii="Cambria Math" w:hAnsi="Cambria Math"/>
                      </w:rPr>
                      <m:t>∞</m:t>
                    </m:r>
                  </m:sup>
                  <m:e>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F(X)dX</m:t>
                    </m:r>
                  </m:e>
                </m:nary>
              </m:oMath>
            </m:oMathPara>
          </w:p>
        </w:tc>
        <w:tc>
          <w:tcPr>
            <w:tcW w:w="720" w:type="dxa"/>
            <w:shd w:val="clear" w:color="auto" w:fill="auto"/>
            <w:vAlign w:val="center"/>
          </w:tcPr>
          <w:p w:rsidR="009510C4" w:rsidRDefault="009510C4" w:rsidP="009B53A7">
            <w:pPr>
              <w:pStyle w:val="EquationNumberStyle"/>
            </w:pPr>
            <w:r>
              <w:fldChar w:fldCharType="begin"/>
            </w:r>
            <w:r>
              <w:instrText xml:space="preserve"> MACROBUTTON NumberReference \* MERGEFORMAT (</w:instrText>
            </w:r>
            <w:fldSimple w:instr=" SEQ EqnChapter \c \* Arabic \* MERGEFORMAT ">
              <w:r w:rsidR="005B6C27">
                <w:rPr>
                  <w:noProof/>
                </w:rPr>
                <w:instrText>3</w:instrText>
              </w:r>
            </w:fldSimple>
            <w:r>
              <w:instrText>.</w:instrText>
            </w:r>
            <w:fldSimple w:instr=" SEQ EquationNumber \n \* Arabic \* MERGEFORMAT ">
              <w:r w:rsidR="005B6C27">
                <w:rPr>
                  <w:noProof/>
                </w:rPr>
                <w:instrText>6</w:instrText>
              </w:r>
            </w:fldSimple>
            <w:r>
              <w:instrText>)</w:instrText>
            </w:r>
            <w:r>
              <w:fldChar w:fldCharType="end"/>
            </w:r>
          </w:p>
        </w:tc>
      </w:tr>
    </w:tbl>
    <w:p w:rsidR="00FF1770" w:rsidRDefault="00A948F8" w:rsidP="00FF1770">
      <w:pPr>
        <w:numPr>
          <w:ilvl w:val="12"/>
          <w:numId w:val="0"/>
        </w:numPr>
        <w:spacing w:line="480" w:lineRule="auto"/>
      </w:pPr>
      <w:r>
        <w:lastRenderedPageBreak/>
        <w:t xml:space="preserve">The respective </w:t>
      </w:r>
      <w:r w:rsidR="00432A01">
        <w:t xml:space="preserve">LROC </w:t>
      </w:r>
      <w:r>
        <w:t>curves are seen below.</w:t>
      </w:r>
      <w:r w:rsidR="00FF1770" w:rsidRPr="00FF1770">
        <w:t xml:space="preserve"> </w:t>
      </w:r>
    </w:p>
    <w:p w:rsidR="0086578D" w:rsidRDefault="0086578D" w:rsidP="00FF1770">
      <w:pPr>
        <w:numPr>
          <w:ilvl w:val="12"/>
          <w:numId w:val="0"/>
        </w:numPr>
        <w:spacing w:line="480" w:lineRule="auto"/>
      </w:pPr>
    </w:p>
    <w:p w:rsidR="00FF1770" w:rsidRDefault="00FF1770" w:rsidP="00FF1770">
      <w:pPr>
        <w:suppressAutoHyphens/>
        <w:autoSpaceDE w:val="0"/>
        <w:ind w:right="-180"/>
      </w:pPr>
      <w:r>
        <w:rPr>
          <w:noProof/>
        </w:rPr>
        <w:drawing>
          <wp:inline distT="0" distB="0" distL="0" distR="0">
            <wp:extent cx="5169535" cy="2365375"/>
            <wp:effectExtent l="19050" t="0" r="0" b="0"/>
            <wp:docPr id="25" name="Picture 5" descr="C:\Users\Josh\Desktop\temp\LROCpdf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h\Desktop\temp\LROCpdfs.tif"/>
                    <pic:cNvPicPr>
                      <a:picLocks noChangeAspect="1" noChangeArrowheads="1"/>
                    </pic:cNvPicPr>
                  </pic:nvPicPr>
                  <pic:blipFill>
                    <a:blip r:embed="rId35" cstate="print"/>
                    <a:srcRect/>
                    <a:stretch>
                      <a:fillRect/>
                    </a:stretch>
                  </pic:blipFill>
                  <pic:spPr bwMode="auto">
                    <a:xfrm>
                      <a:off x="0" y="0"/>
                      <a:ext cx="5169535" cy="2365375"/>
                    </a:xfrm>
                    <a:prstGeom prst="rect">
                      <a:avLst/>
                    </a:prstGeom>
                    <a:noFill/>
                    <a:ln w="9525">
                      <a:noFill/>
                      <a:miter lim="800000"/>
                      <a:headEnd/>
                      <a:tailEnd/>
                    </a:ln>
                  </pic:spPr>
                </pic:pic>
              </a:graphicData>
            </a:graphic>
          </wp:inline>
        </w:drawing>
      </w:r>
      <w:r w:rsidRPr="00AD2B77">
        <w:t xml:space="preserve"> </w:t>
      </w:r>
    </w:p>
    <w:p w:rsidR="00FF1770" w:rsidRDefault="00FF1770" w:rsidP="0084023C">
      <w:pPr>
        <w:pStyle w:val="Caption"/>
      </w:pPr>
      <w:bookmarkStart w:id="59" w:name="_Ref311013462"/>
      <w:bookmarkStart w:id="60" w:name="_Toc351890061"/>
      <w:proofErr w:type="gramStart"/>
      <w:r>
        <w:t xml:space="preserve">Figure </w:t>
      </w:r>
      <w:r w:rsidR="009B6816">
        <w:fldChar w:fldCharType="begin"/>
      </w:r>
      <w:r w:rsidR="00EE0740">
        <w:instrText xml:space="preserve"> SEQ Figure \* ARABIC </w:instrText>
      </w:r>
      <w:r w:rsidR="009B6816">
        <w:fldChar w:fldCharType="separate"/>
      </w:r>
      <w:r w:rsidR="005B6C27">
        <w:rPr>
          <w:noProof/>
        </w:rPr>
        <w:t>20</w:t>
      </w:r>
      <w:r w:rsidR="009B6816">
        <w:fldChar w:fldCharType="end"/>
      </w:r>
      <w:bookmarkEnd w:id="59"/>
      <w:r>
        <w:t>.</w:t>
      </w:r>
      <w:proofErr w:type="gramEnd"/>
      <w:r>
        <w:t xml:space="preserve"> Probability distributions for the LROC model</w:t>
      </w:r>
      <w:bookmarkEnd w:id="60"/>
    </w:p>
    <w:p w:rsidR="0086578D" w:rsidRDefault="0086578D" w:rsidP="0086578D"/>
    <w:p w:rsidR="0086578D" w:rsidRPr="0086578D" w:rsidRDefault="0086578D" w:rsidP="0086578D"/>
    <w:p w:rsidR="00FF1770" w:rsidRDefault="00FF1770" w:rsidP="00FF1770">
      <w:pPr>
        <w:suppressAutoHyphens/>
        <w:autoSpaceDE w:val="0"/>
        <w:ind w:right="-180"/>
      </w:pPr>
      <w:r>
        <w:rPr>
          <w:noProof/>
        </w:rPr>
        <w:drawing>
          <wp:inline distT="0" distB="0" distL="0" distR="0">
            <wp:extent cx="2462530" cy="2365375"/>
            <wp:effectExtent l="19050" t="0" r="0" b="0"/>
            <wp:docPr id="26" name="Picture 6" descr="C:\Users\Josh\Desktop\temp\LRO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h\Desktop\temp\LROC.tif"/>
                    <pic:cNvPicPr>
                      <a:picLocks noChangeAspect="1" noChangeArrowheads="1"/>
                    </pic:cNvPicPr>
                  </pic:nvPicPr>
                  <pic:blipFill>
                    <a:blip r:embed="rId36" cstate="print"/>
                    <a:srcRect/>
                    <a:stretch>
                      <a:fillRect/>
                    </a:stretch>
                  </pic:blipFill>
                  <pic:spPr bwMode="auto">
                    <a:xfrm>
                      <a:off x="0" y="0"/>
                      <a:ext cx="2462530" cy="2365375"/>
                    </a:xfrm>
                    <a:prstGeom prst="rect">
                      <a:avLst/>
                    </a:prstGeom>
                    <a:noFill/>
                    <a:ln w="9525">
                      <a:noFill/>
                      <a:miter lim="800000"/>
                      <a:headEnd/>
                      <a:tailEnd/>
                    </a:ln>
                  </pic:spPr>
                </pic:pic>
              </a:graphicData>
            </a:graphic>
          </wp:inline>
        </w:drawing>
      </w:r>
      <w:r w:rsidRPr="00AD2B77">
        <w:t xml:space="preserve"> </w:t>
      </w:r>
    </w:p>
    <w:p w:rsidR="00C8461F" w:rsidRDefault="00FF1770" w:rsidP="0084023C">
      <w:pPr>
        <w:pStyle w:val="Caption"/>
      </w:pPr>
      <w:bookmarkStart w:id="61" w:name="_Toc351890062"/>
      <w:proofErr w:type="gramStart"/>
      <w:r>
        <w:t xml:space="preserve">Figure </w:t>
      </w:r>
      <w:r w:rsidR="009B6816">
        <w:fldChar w:fldCharType="begin"/>
      </w:r>
      <w:r w:rsidR="00EE0740">
        <w:instrText xml:space="preserve"> SEQ Figure \* ARABIC </w:instrText>
      </w:r>
      <w:r w:rsidR="009B6816">
        <w:fldChar w:fldCharType="separate"/>
      </w:r>
      <w:r w:rsidR="005B6C27">
        <w:rPr>
          <w:noProof/>
        </w:rPr>
        <w:t>21</w:t>
      </w:r>
      <w:r w:rsidR="009B6816">
        <w:fldChar w:fldCharType="end"/>
      </w:r>
      <w:r>
        <w:t>.</w:t>
      </w:r>
      <w:proofErr w:type="gramEnd"/>
      <w:r>
        <w:t xml:space="preserve"> LROC curve from </w:t>
      </w:r>
      <w:r w:rsidR="003B6600">
        <w:t xml:space="preserve">the </w:t>
      </w:r>
      <w:r>
        <w:t xml:space="preserve">distributions in </w:t>
      </w:r>
      <w:r w:rsidR="009B6816">
        <w:fldChar w:fldCharType="begin"/>
      </w:r>
      <w:r w:rsidR="009E6B59">
        <w:instrText xml:space="preserve"> REF _Ref311013462 \h </w:instrText>
      </w:r>
      <w:r w:rsidR="009B6816">
        <w:fldChar w:fldCharType="separate"/>
      </w:r>
      <w:r w:rsidR="005B6C27">
        <w:t xml:space="preserve">Figure </w:t>
      </w:r>
      <w:r w:rsidR="005B6C27">
        <w:rPr>
          <w:noProof/>
        </w:rPr>
        <w:t>20</w:t>
      </w:r>
      <w:bookmarkEnd w:id="61"/>
      <w:r w:rsidR="009B6816">
        <w:fldChar w:fldCharType="end"/>
      </w:r>
    </w:p>
    <w:p w:rsidR="0086578D" w:rsidRDefault="0086578D" w:rsidP="00E514E6">
      <w:pPr>
        <w:numPr>
          <w:ilvl w:val="12"/>
          <w:numId w:val="0"/>
        </w:numPr>
        <w:spacing w:line="480" w:lineRule="auto"/>
        <w:ind w:firstLine="720"/>
      </w:pPr>
    </w:p>
    <w:p w:rsidR="00D84C3E" w:rsidRDefault="00C8461F" w:rsidP="00E514E6">
      <w:pPr>
        <w:numPr>
          <w:ilvl w:val="12"/>
          <w:numId w:val="0"/>
        </w:numPr>
        <w:spacing w:line="480" w:lineRule="auto"/>
        <w:ind w:firstLine="720"/>
      </w:pPr>
      <w:r>
        <w:t xml:space="preserve">Other </w:t>
      </w:r>
      <w:r w:rsidR="00671558">
        <w:t>derivatives of the ROC</w:t>
      </w:r>
      <w:r w:rsidR="00DD565F">
        <w:t xml:space="preserve"> </w:t>
      </w:r>
      <w:r>
        <w:t xml:space="preserve">model include free-response receiver operating characteristic (FROC) and alternative free-response receiver operating characteristic </w:t>
      </w:r>
      <w:r>
        <w:lastRenderedPageBreak/>
        <w:t>(AFROC).</w:t>
      </w:r>
      <w:r w:rsidR="00DD565F">
        <w:t xml:space="preserve">  </w:t>
      </w:r>
      <w:r w:rsidR="00C80D8E">
        <w:t xml:space="preserve">Under the </w:t>
      </w:r>
      <w:r w:rsidR="00DD565F">
        <w:t>FROC</w:t>
      </w:r>
      <w:r w:rsidR="00C80D8E">
        <w:t xml:space="preserve"> paradigm, </w:t>
      </w:r>
      <w:r w:rsidR="005E6CF7">
        <w:t>the images are not limited to only one</w:t>
      </w:r>
      <w:r w:rsidR="00671558">
        <w:t xml:space="preserve"> known</w:t>
      </w:r>
      <w:r w:rsidR="005E6CF7">
        <w:t xml:space="preserve"> lesion.  The</w:t>
      </w:r>
      <w:r w:rsidR="001706B2">
        <w:t xml:space="preserve"> </w:t>
      </w:r>
      <w:r w:rsidR="005E6CF7">
        <w:t>observer has no knowledge of the number of lesions in each image, but</w:t>
      </w:r>
      <w:r w:rsidR="00C80D8E">
        <w:t xml:space="preserve"> choose</w:t>
      </w:r>
      <w:r w:rsidR="001706B2">
        <w:t>s</w:t>
      </w:r>
      <w:r w:rsidR="00C80D8E">
        <w:t xml:space="preserve"> and rate</w:t>
      </w:r>
      <w:r w:rsidR="001706B2">
        <w:t>s</w:t>
      </w:r>
      <w:r w:rsidR="00C80D8E">
        <w:t xml:space="preserve"> multiple locations</w:t>
      </w:r>
      <w:r w:rsidR="005E6CF7">
        <w:t>.  The FROC curve is a plot of the correct localization rate versus the rate of incorrect localizations per image; it can extend indefinitely to the right.  The AFROC is also a free response task, and</w:t>
      </w:r>
      <w:r w:rsidR="0049685E">
        <w:t xml:space="preserve"> like the FROC curve,</w:t>
      </w:r>
      <w:r w:rsidR="005E6CF7">
        <w:t xml:space="preserve"> its ordinate is the fraction of correctly localized lesions</w:t>
      </w:r>
      <w:r w:rsidR="0049685E">
        <w:t>.  However the abscissa is the false positive fraction, and like (L</w:t>
      </w:r>
      <w:proofErr w:type="gramStart"/>
      <w:r w:rsidR="0049685E">
        <w:t>)ROC</w:t>
      </w:r>
      <w:proofErr w:type="gramEnd"/>
      <w:r w:rsidR="0049685E">
        <w:t>, the curves are constrained to the unit square.</w:t>
      </w:r>
      <w:r w:rsidR="00D84C3E" w:rsidRPr="00D84C3E">
        <w:t xml:space="preserve"> </w:t>
      </w:r>
    </w:p>
    <w:p w:rsidR="00E514E6" w:rsidRDefault="00E514E6" w:rsidP="00E514E6">
      <w:pPr>
        <w:numPr>
          <w:ilvl w:val="12"/>
          <w:numId w:val="0"/>
        </w:numPr>
        <w:spacing w:line="480" w:lineRule="auto"/>
        <w:ind w:firstLine="720"/>
      </w:pPr>
      <w:r>
        <w:t xml:space="preserve">Free response tasks are statistically superior to those of ROC and LROC, but some data suggest that human observers may violate </w:t>
      </w:r>
      <w:r w:rsidR="00624853">
        <w:t>“</w:t>
      </w:r>
      <w:r>
        <w:t>stationar</w:t>
      </w:r>
      <w:r w:rsidR="00624853">
        <w:t>y performance”</w:t>
      </w:r>
      <w:r>
        <w:t xml:space="preserve"> assumptions when making multiple report interpretations of images </w:t>
      </w:r>
      <w:r w:rsidR="009B6816">
        <w:fldChar w:fldCharType="begin"/>
      </w:r>
      <w:r w:rsidR="000F64FB">
        <w:instrText xml:space="preserve"> ADDIN EN.CITE &lt;EndNote&gt;&lt;Cite&gt;&lt;Author&gt;Swensson&lt;/Author&gt;&lt;Year&gt;1996&lt;/Year&gt;&lt;RecNum&gt;95&lt;/RecNum&gt;&lt;DisplayText&gt;(Swensson 1996)&lt;/DisplayText&gt;&lt;record&gt;&lt;rec-number&gt;95&lt;/rec-number&gt;&lt;foreign-keys&gt;&lt;key app="EN" db-id="srwv9ppvvez5pgefxzi5ddeve5w2fe5x5esr"&gt;95&lt;/key&gt;&lt;/foreign-keys&gt;&lt;ref-type name="Journal Article"&gt;17&lt;/ref-type&gt;&lt;contributors&gt;&lt;authors&gt;&lt;author&gt;Swensson, RG&lt;/author&gt;&lt;/authors&gt;&lt;/contributors&gt;&lt;titles&gt;&lt;title&gt;Unified measurement of observer performance in detecting and localizing target objects on images&lt;/title&gt;&lt;secondary-title&gt;Medical Physics&lt;/secondary-title&gt;&lt;/titles&gt;&lt;pages&gt;1709-1725&lt;/pages&gt;&lt;volume&gt;23&lt;/volume&gt;&lt;dates&gt;&lt;year&gt;1996&lt;/year&gt;&lt;/dates&gt;&lt;urls&gt;&lt;/urls&gt;&lt;/record&gt;&lt;/Cite&gt;&lt;/EndNote&gt;</w:instrText>
      </w:r>
      <w:r w:rsidR="009B6816">
        <w:fldChar w:fldCharType="separate"/>
      </w:r>
      <w:r>
        <w:rPr>
          <w:noProof/>
        </w:rPr>
        <w:t>(</w:t>
      </w:r>
      <w:hyperlink w:anchor="_ENREF_74" w:tooltip="Swensson, 1996 #95" w:history="1">
        <w:r w:rsidR="007704DB">
          <w:rPr>
            <w:noProof/>
          </w:rPr>
          <w:t>Swensson 1996</w:t>
        </w:r>
      </w:hyperlink>
      <w:r>
        <w:rPr>
          <w:noProof/>
        </w:rPr>
        <w:t>)</w:t>
      </w:r>
      <w:r w:rsidR="009B6816">
        <w:fldChar w:fldCharType="end"/>
      </w:r>
      <w:r w:rsidR="00BC6EEC">
        <w:t>.</w:t>
      </w:r>
    </w:p>
    <w:p w:rsidR="00D84C3E" w:rsidRPr="003469EB" w:rsidRDefault="00D84C3E" w:rsidP="00D84C3E">
      <w:pPr>
        <w:pStyle w:val="Heading2"/>
        <w:rPr>
          <w:vertAlign w:val="subscript"/>
        </w:rPr>
      </w:pPr>
      <w:bookmarkStart w:id="62" w:name="_Toc351890008"/>
      <w:r>
        <w:t>Confidence Rating</w:t>
      </w:r>
      <w:bookmarkEnd w:id="62"/>
    </w:p>
    <w:p w:rsidR="00E0472C" w:rsidRDefault="00525780" w:rsidP="0062578A">
      <w:pPr>
        <w:numPr>
          <w:ilvl w:val="12"/>
          <w:numId w:val="0"/>
        </w:numPr>
        <w:spacing w:line="480" w:lineRule="auto"/>
        <w:ind w:firstLine="720"/>
      </w:pPr>
      <w:r>
        <w:t>To completely characterize observer performance, each flavor of the ROC formalism need</w:t>
      </w:r>
      <w:r w:rsidR="00651B2C">
        <w:t>s</w:t>
      </w:r>
      <w:r>
        <w:t xml:space="preserve"> decision information across a full range of threshold values.  In a signal detection experiment, this is </w:t>
      </w:r>
      <w:r w:rsidR="00596FF0">
        <w:t>approximated</w:t>
      </w:r>
      <w:r>
        <w:t xml:space="preserve"> through the use </w:t>
      </w:r>
      <w:r w:rsidR="004449B8">
        <w:t xml:space="preserve">of a </w:t>
      </w:r>
      <w:r w:rsidR="00341E60">
        <w:t xml:space="preserve">decision </w:t>
      </w:r>
      <w:r w:rsidR="004449B8">
        <w:t>rating scale</w:t>
      </w:r>
      <w:r>
        <w:t xml:space="preserve">.  Each </w:t>
      </w:r>
      <w:r w:rsidR="004449B8">
        <w:t>perceptual measurement</w:t>
      </w:r>
      <w:r>
        <w:t xml:space="preserve"> is accompanied by a rating that </w:t>
      </w:r>
      <w:r w:rsidR="004449B8">
        <w:t xml:space="preserve">reflects the observer’s confidence in </w:t>
      </w:r>
      <w:r w:rsidR="00A822FE">
        <w:t xml:space="preserve">the </w:t>
      </w:r>
      <w:r w:rsidR="004449B8">
        <w:t>decision</w:t>
      </w:r>
      <w:r w:rsidR="00E01D21">
        <w:t xml:space="preserve">.  </w:t>
      </w:r>
      <w:r w:rsidR="00DB42B1">
        <w:t xml:space="preserve">Under the assumption that the observer’s </w:t>
      </w:r>
      <w:r w:rsidR="00202283">
        <w:t>decision criteria remain static throughout the experiment, the</w:t>
      </w:r>
      <w:r w:rsidR="00E0472C">
        <w:t xml:space="preserve"> confidence rating</w:t>
      </w:r>
      <w:r w:rsidR="00036FB6">
        <w:t xml:space="preserve"> </w:t>
      </w:r>
      <w:r w:rsidR="00E0472C">
        <w:t xml:space="preserve">is </w:t>
      </w:r>
      <w:r w:rsidR="00202283">
        <w:t>a</w:t>
      </w:r>
      <w:r w:rsidR="00E0472C">
        <w:t xml:space="preserve"> surrogate for </w:t>
      </w:r>
      <w:r w:rsidR="00E01D21">
        <w:t>observer threshold</w:t>
      </w:r>
      <w:r w:rsidR="00636468">
        <w:t>.  For example, s</w:t>
      </w:r>
      <w:r w:rsidR="00E0472C">
        <w:t>ay an</w:t>
      </w:r>
      <w:r w:rsidR="009013C4">
        <w:t xml:space="preserve"> observer </w:t>
      </w:r>
      <w:r w:rsidR="00925811">
        <w:t>detects a lesion at</w:t>
      </w:r>
      <w:r w:rsidR="009013C4">
        <w:t xml:space="preserve"> a given location with a confidence of </w:t>
      </w:r>
      <w:r w:rsidR="00925811">
        <w:t>5</w:t>
      </w:r>
      <w:r w:rsidR="009013C4">
        <w:t xml:space="preserve">0%.  </w:t>
      </w:r>
      <w:r w:rsidR="00925811">
        <w:t xml:space="preserve">At another location (in that image or another), </w:t>
      </w:r>
      <w:r w:rsidR="00E0472C">
        <w:t>he/she</w:t>
      </w:r>
      <w:r w:rsidR="00925811">
        <w:t xml:space="preserve"> identifies another lesion with 90% certainty.  It is </w:t>
      </w:r>
      <w:r w:rsidR="00392D95">
        <w:t>reasonable to assume</w:t>
      </w:r>
      <w:r w:rsidR="00925811">
        <w:t xml:space="preserve"> that the lesion</w:t>
      </w:r>
      <w:r w:rsidR="008562EE">
        <w:t xml:space="preserve"> rated at 90%</w:t>
      </w:r>
      <w:r w:rsidR="00925811">
        <w:t xml:space="preserve"> would also have been detected with the more </w:t>
      </w:r>
      <w:r w:rsidR="00D55250">
        <w:t>relaxed</w:t>
      </w:r>
      <w:r w:rsidR="00925811">
        <w:t xml:space="preserve"> criteria of the 50% lesion, but not vice versa.  It follows that every lesion rated at a certain </w:t>
      </w:r>
      <w:r w:rsidR="00AB60E8">
        <w:t xml:space="preserve">confidence </w:t>
      </w:r>
      <w:r w:rsidR="00925811">
        <w:t xml:space="preserve">level would also be </w:t>
      </w:r>
      <w:r w:rsidR="00925811">
        <w:lastRenderedPageBreak/>
        <w:t xml:space="preserve">detected by the </w:t>
      </w:r>
      <w:r w:rsidR="008F18D6">
        <w:t xml:space="preserve">perceptual </w:t>
      </w:r>
      <w:r w:rsidR="00925811">
        <w:t>standard</w:t>
      </w:r>
      <w:r w:rsidR="00DC31FD">
        <w:t xml:space="preserve">s </w:t>
      </w:r>
      <w:r w:rsidR="00596FF0">
        <w:t>of</w:t>
      </w:r>
      <w:r w:rsidR="008F18D6">
        <w:t xml:space="preserve"> </w:t>
      </w:r>
      <w:r w:rsidR="00DC31FD">
        <w:t xml:space="preserve">any of </w:t>
      </w:r>
      <w:r w:rsidR="008F18D6">
        <w:t>the</w:t>
      </w:r>
      <w:r w:rsidR="00DC31FD">
        <w:t xml:space="preserve"> lower levels</w:t>
      </w:r>
      <w:r w:rsidR="00925811">
        <w:t xml:space="preserve">.  </w:t>
      </w:r>
      <w:r w:rsidR="009D19A2">
        <w:t xml:space="preserve">The </w:t>
      </w:r>
      <w:r w:rsidR="00E0472C">
        <w:t>example</w:t>
      </w:r>
      <w:r w:rsidR="009D19A2">
        <w:t xml:space="preserve"> below illustrates </w:t>
      </w:r>
      <w:r w:rsidR="00E0472C">
        <w:t xml:space="preserve">how </w:t>
      </w:r>
      <w:r w:rsidR="009D19A2">
        <w:t>this method</w:t>
      </w:r>
      <w:r w:rsidR="00E0472C">
        <w:t xml:space="preserve"> </w:t>
      </w:r>
      <w:r w:rsidR="00636468">
        <w:t>is implemented in</w:t>
      </w:r>
      <w:r w:rsidR="00E0472C">
        <w:t xml:space="preserve"> the ROC paradigm</w:t>
      </w:r>
      <w:r w:rsidR="009D19A2">
        <w:t>.</w:t>
      </w:r>
      <w:r w:rsidR="00E0472C" w:rsidRPr="00E0472C">
        <w:t xml:space="preserve"> </w:t>
      </w:r>
    </w:p>
    <w:p w:rsidR="0086578D" w:rsidRDefault="0086578D" w:rsidP="0062578A">
      <w:pPr>
        <w:numPr>
          <w:ilvl w:val="12"/>
          <w:numId w:val="0"/>
        </w:numPr>
        <w:spacing w:line="480" w:lineRule="auto"/>
        <w:ind w:firstLine="720"/>
      </w:pPr>
    </w:p>
    <w:p w:rsidR="00E0472C" w:rsidRDefault="00E0472C" w:rsidP="0084023C">
      <w:pPr>
        <w:pStyle w:val="Caption"/>
      </w:pPr>
      <w:bookmarkStart w:id="63" w:name="_Ref321216967"/>
      <w:bookmarkStart w:id="64" w:name="_Toc351890040"/>
      <w:proofErr w:type="gramStart"/>
      <w:r>
        <w:t xml:space="preserve">Table </w:t>
      </w:r>
      <w:fldSimple w:instr=" SEQ Table \* ARABIC ">
        <w:r w:rsidR="005B6C27">
          <w:rPr>
            <w:noProof/>
          </w:rPr>
          <w:t>3</w:t>
        </w:r>
      </w:fldSimple>
      <w:bookmarkEnd w:id="63"/>
      <w:r>
        <w:t>.</w:t>
      </w:r>
      <w:proofErr w:type="gramEnd"/>
      <w:r>
        <w:t xml:space="preserve"> </w:t>
      </w:r>
      <w:r w:rsidR="00DA39D6">
        <w:t>Sample</w:t>
      </w:r>
      <w:r>
        <w:t xml:space="preserve"> of confidence-rated decision choices for a binary task</w:t>
      </w:r>
      <w:bookmarkEnd w:id="64"/>
    </w:p>
    <w:tbl>
      <w:tblPr>
        <w:tblW w:w="5584" w:type="dxa"/>
        <w:tblLayout w:type="fixed"/>
        <w:tblCellMar>
          <w:left w:w="91" w:type="dxa"/>
          <w:right w:w="91" w:type="dxa"/>
        </w:tblCellMar>
        <w:tblLook w:val="0000"/>
      </w:tblPr>
      <w:tblGrid>
        <w:gridCol w:w="1099"/>
        <w:gridCol w:w="2438"/>
        <w:gridCol w:w="90"/>
        <w:gridCol w:w="1957"/>
      </w:tblGrid>
      <w:tr w:rsidR="00DA39D6" w:rsidRPr="00F920F6" w:rsidTr="00DA39D6">
        <w:trPr>
          <w:cantSplit/>
          <w:trHeight w:val="432"/>
        </w:trPr>
        <w:tc>
          <w:tcPr>
            <w:tcW w:w="1099" w:type="dxa"/>
            <w:tcBorders>
              <w:top w:val="single" w:sz="12" w:space="0" w:color="000000"/>
              <w:bottom w:val="single" w:sz="12" w:space="0" w:color="000000"/>
            </w:tcBorders>
          </w:tcPr>
          <w:p w:rsidR="00DA39D6" w:rsidRPr="0061679A" w:rsidRDefault="00DA39D6" w:rsidP="00DA39D6">
            <w:pPr>
              <w:numPr>
                <w:ilvl w:val="12"/>
                <w:numId w:val="0"/>
              </w:numPr>
              <w:spacing w:before="96"/>
              <w:rPr>
                <w:sz w:val="22"/>
                <w:szCs w:val="22"/>
              </w:rPr>
            </w:pPr>
            <w:r>
              <w:br w:type="page"/>
            </w:r>
            <w:r>
              <w:rPr>
                <w:b/>
                <w:bCs/>
                <w:i/>
                <w:iCs/>
                <w:sz w:val="22"/>
                <w:szCs w:val="22"/>
              </w:rPr>
              <w:t>Rating</w:t>
            </w:r>
          </w:p>
        </w:tc>
        <w:tc>
          <w:tcPr>
            <w:tcW w:w="2438" w:type="dxa"/>
            <w:tcBorders>
              <w:top w:val="single" w:sz="12" w:space="0" w:color="000000"/>
              <w:bottom w:val="single" w:sz="12" w:space="0" w:color="000000"/>
            </w:tcBorders>
          </w:tcPr>
          <w:p w:rsidR="00DA39D6" w:rsidRPr="00F920F6" w:rsidRDefault="00DA39D6" w:rsidP="00DA39D6">
            <w:pPr>
              <w:numPr>
                <w:ilvl w:val="12"/>
                <w:numId w:val="0"/>
              </w:numPr>
              <w:spacing w:before="96"/>
              <w:rPr>
                <w:sz w:val="22"/>
                <w:szCs w:val="22"/>
              </w:rPr>
            </w:pPr>
            <w:r>
              <w:rPr>
                <w:b/>
                <w:bCs/>
                <w:i/>
                <w:iCs/>
                <w:sz w:val="22"/>
                <w:szCs w:val="22"/>
              </w:rPr>
              <w:t>Non-target Distribution</w:t>
            </w:r>
          </w:p>
        </w:tc>
        <w:tc>
          <w:tcPr>
            <w:tcW w:w="2047" w:type="dxa"/>
            <w:gridSpan w:val="2"/>
            <w:tcBorders>
              <w:top w:val="single" w:sz="12" w:space="0" w:color="000000"/>
              <w:bottom w:val="single" w:sz="12" w:space="0" w:color="000000"/>
            </w:tcBorders>
          </w:tcPr>
          <w:p w:rsidR="00DA39D6" w:rsidRDefault="00DA39D6" w:rsidP="00DA39D6">
            <w:pPr>
              <w:numPr>
                <w:ilvl w:val="12"/>
                <w:numId w:val="0"/>
              </w:numPr>
              <w:spacing w:before="96"/>
              <w:rPr>
                <w:b/>
                <w:bCs/>
                <w:i/>
                <w:iCs/>
                <w:sz w:val="22"/>
                <w:szCs w:val="22"/>
              </w:rPr>
            </w:pPr>
            <w:r>
              <w:rPr>
                <w:b/>
                <w:bCs/>
                <w:i/>
                <w:iCs/>
                <w:sz w:val="22"/>
                <w:szCs w:val="22"/>
              </w:rPr>
              <w:t>Target Distribution</w:t>
            </w:r>
          </w:p>
        </w:tc>
      </w:tr>
      <w:tr w:rsidR="00DA39D6" w:rsidRPr="00F920F6" w:rsidTr="00DA39D6">
        <w:trPr>
          <w:cantSplit/>
          <w:trHeight w:val="1741"/>
        </w:trPr>
        <w:tc>
          <w:tcPr>
            <w:tcW w:w="1099" w:type="dxa"/>
            <w:tcBorders>
              <w:top w:val="single" w:sz="12" w:space="0" w:color="000000"/>
              <w:bottom w:val="single" w:sz="12" w:space="0" w:color="000000"/>
            </w:tcBorders>
          </w:tcPr>
          <w:p w:rsidR="00DA39D6" w:rsidRPr="006F7AEE" w:rsidRDefault="00DA39D6" w:rsidP="004B265D">
            <w:pPr>
              <w:numPr>
                <w:ilvl w:val="12"/>
                <w:numId w:val="0"/>
              </w:numPr>
              <w:spacing w:before="96" w:after="51"/>
              <w:rPr>
                <w:sz w:val="22"/>
                <w:szCs w:val="22"/>
              </w:rPr>
            </w:pPr>
            <w:r>
              <w:rPr>
                <w:sz w:val="22"/>
                <w:szCs w:val="22"/>
              </w:rPr>
              <w:t>0-20%</w:t>
            </w:r>
          </w:p>
          <w:p w:rsidR="00DA39D6" w:rsidRPr="006F7AEE" w:rsidRDefault="00DA39D6" w:rsidP="004B265D">
            <w:pPr>
              <w:numPr>
                <w:ilvl w:val="12"/>
                <w:numId w:val="0"/>
              </w:numPr>
              <w:spacing w:before="96" w:after="51"/>
              <w:rPr>
                <w:sz w:val="22"/>
                <w:szCs w:val="22"/>
              </w:rPr>
            </w:pPr>
            <w:r>
              <w:rPr>
                <w:color w:val="000000"/>
                <w:sz w:val="22"/>
                <w:szCs w:val="22"/>
              </w:rPr>
              <w:t>20-40%</w:t>
            </w:r>
          </w:p>
          <w:p w:rsidR="00DA39D6" w:rsidRPr="00DA39D6" w:rsidRDefault="00DA39D6" w:rsidP="004B265D">
            <w:pPr>
              <w:numPr>
                <w:ilvl w:val="12"/>
                <w:numId w:val="0"/>
              </w:numPr>
              <w:spacing w:before="96" w:after="51"/>
              <w:rPr>
                <w:color w:val="000000"/>
                <w:sz w:val="22"/>
                <w:szCs w:val="22"/>
              </w:rPr>
            </w:pPr>
            <w:r>
              <w:rPr>
                <w:color w:val="000000"/>
                <w:sz w:val="22"/>
                <w:szCs w:val="22"/>
              </w:rPr>
              <w:t>40-60%</w:t>
            </w:r>
          </w:p>
          <w:p w:rsidR="00DA39D6" w:rsidRPr="006F7AEE" w:rsidRDefault="00DA39D6" w:rsidP="004B265D">
            <w:pPr>
              <w:numPr>
                <w:ilvl w:val="12"/>
                <w:numId w:val="0"/>
              </w:numPr>
              <w:spacing w:before="96" w:after="51"/>
              <w:rPr>
                <w:color w:val="000000"/>
                <w:sz w:val="22"/>
                <w:szCs w:val="22"/>
              </w:rPr>
            </w:pPr>
            <w:r>
              <w:rPr>
                <w:color w:val="000000"/>
                <w:sz w:val="22"/>
                <w:szCs w:val="22"/>
              </w:rPr>
              <w:t>60-80%</w:t>
            </w:r>
          </w:p>
          <w:p w:rsidR="00DA39D6" w:rsidRPr="00F920F6" w:rsidRDefault="00DA39D6" w:rsidP="00DA39D6">
            <w:pPr>
              <w:numPr>
                <w:ilvl w:val="12"/>
                <w:numId w:val="0"/>
              </w:numPr>
              <w:spacing w:before="96" w:after="51"/>
              <w:rPr>
                <w:sz w:val="22"/>
                <w:szCs w:val="22"/>
              </w:rPr>
            </w:pPr>
            <w:r>
              <w:rPr>
                <w:color w:val="000000"/>
                <w:sz w:val="22"/>
                <w:szCs w:val="22"/>
              </w:rPr>
              <w:t>80-100%</w:t>
            </w:r>
          </w:p>
        </w:tc>
        <w:tc>
          <w:tcPr>
            <w:tcW w:w="2528" w:type="dxa"/>
            <w:gridSpan w:val="2"/>
            <w:tcBorders>
              <w:top w:val="single" w:sz="12" w:space="0" w:color="000000"/>
              <w:bottom w:val="single" w:sz="12" w:space="0" w:color="000000"/>
            </w:tcBorders>
          </w:tcPr>
          <w:p w:rsidR="00DA39D6" w:rsidRPr="00F920F6" w:rsidRDefault="00DA39D6" w:rsidP="00DA39D6">
            <w:pPr>
              <w:numPr>
                <w:ilvl w:val="12"/>
                <w:numId w:val="0"/>
              </w:numPr>
              <w:spacing w:before="96" w:after="51"/>
              <w:jc w:val="center"/>
              <w:rPr>
                <w:sz w:val="22"/>
                <w:szCs w:val="22"/>
              </w:rPr>
            </w:pPr>
            <w:r>
              <w:rPr>
                <w:sz w:val="22"/>
                <w:szCs w:val="22"/>
              </w:rPr>
              <w:t>9</w:t>
            </w:r>
          </w:p>
          <w:p w:rsidR="00DA39D6" w:rsidRDefault="00DA39D6" w:rsidP="00DA39D6">
            <w:pPr>
              <w:numPr>
                <w:ilvl w:val="12"/>
                <w:numId w:val="0"/>
              </w:numPr>
              <w:spacing w:before="96" w:after="51"/>
              <w:jc w:val="center"/>
              <w:rPr>
                <w:sz w:val="22"/>
                <w:szCs w:val="22"/>
              </w:rPr>
            </w:pPr>
            <w:r>
              <w:rPr>
                <w:sz w:val="22"/>
                <w:szCs w:val="22"/>
              </w:rPr>
              <w:t>6</w:t>
            </w:r>
          </w:p>
          <w:p w:rsidR="00DA39D6" w:rsidRDefault="00DA39D6" w:rsidP="00DA39D6">
            <w:pPr>
              <w:numPr>
                <w:ilvl w:val="12"/>
                <w:numId w:val="0"/>
              </w:numPr>
              <w:spacing w:before="96" w:after="51"/>
              <w:jc w:val="center"/>
              <w:rPr>
                <w:sz w:val="22"/>
                <w:szCs w:val="22"/>
              </w:rPr>
            </w:pPr>
            <w:r>
              <w:rPr>
                <w:sz w:val="22"/>
                <w:szCs w:val="22"/>
              </w:rPr>
              <w:t>4</w:t>
            </w:r>
          </w:p>
          <w:p w:rsidR="00DA39D6" w:rsidRPr="00F920F6" w:rsidRDefault="00DA39D6" w:rsidP="00DA39D6">
            <w:pPr>
              <w:numPr>
                <w:ilvl w:val="12"/>
                <w:numId w:val="0"/>
              </w:numPr>
              <w:spacing w:before="96" w:after="51"/>
              <w:jc w:val="center"/>
              <w:rPr>
                <w:sz w:val="22"/>
                <w:szCs w:val="22"/>
              </w:rPr>
            </w:pPr>
            <w:r>
              <w:rPr>
                <w:sz w:val="22"/>
                <w:szCs w:val="22"/>
              </w:rPr>
              <w:t>1</w:t>
            </w:r>
          </w:p>
          <w:p w:rsidR="00DA39D6" w:rsidRPr="00F920F6" w:rsidRDefault="00DA39D6" w:rsidP="00DA39D6">
            <w:pPr>
              <w:numPr>
                <w:ilvl w:val="12"/>
                <w:numId w:val="0"/>
              </w:numPr>
              <w:spacing w:before="96" w:after="51"/>
              <w:jc w:val="center"/>
              <w:rPr>
                <w:sz w:val="22"/>
                <w:szCs w:val="22"/>
              </w:rPr>
            </w:pPr>
            <w:r>
              <w:rPr>
                <w:sz w:val="22"/>
                <w:szCs w:val="22"/>
              </w:rPr>
              <w:t>0</w:t>
            </w:r>
          </w:p>
        </w:tc>
        <w:tc>
          <w:tcPr>
            <w:tcW w:w="1957" w:type="dxa"/>
            <w:tcBorders>
              <w:top w:val="single" w:sz="12" w:space="0" w:color="000000"/>
              <w:bottom w:val="single" w:sz="12" w:space="0" w:color="000000"/>
            </w:tcBorders>
          </w:tcPr>
          <w:p w:rsidR="00DA39D6" w:rsidRDefault="00DA39D6" w:rsidP="00DA39D6">
            <w:pPr>
              <w:numPr>
                <w:ilvl w:val="12"/>
                <w:numId w:val="0"/>
              </w:numPr>
              <w:spacing w:before="96" w:after="51"/>
              <w:jc w:val="center"/>
              <w:rPr>
                <w:sz w:val="22"/>
                <w:szCs w:val="22"/>
              </w:rPr>
            </w:pPr>
            <w:r>
              <w:rPr>
                <w:sz w:val="22"/>
                <w:szCs w:val="22"/>
              </w:rPr>
              <w:t>1</w:t>
            </w:r>
          </w:p>
          <w:p w:rsidR="00DA39D6" w:rsidRDefault="00DA39D6" w:rsidP="00DA39D6">
            <w:pPr>
              <w:numPr>
                <w:ilvl w:val="12"/>
                <w:numId w:val="0"/>
              </w:numPr>
              <w:spacing w:before="96" w:after="51"/>
              <w:jc w:val="center"/>
              <w:rPr>
                <w:sz w:val="22"/>
                <w:szCs w:val="22"/>
              </w:rPr>
            </w:pPr>
            <w:r>
              <w:rPr>
                <w:sz w:val="22"/>
                <w:szCs w:val="22"/>
              </w:rPr>
              <w:t>4</w:t>
            </w:r>
          </w:p>
          <w:p w:rsidR="00DA39D6" w:rsidRDefault="00DA39D6" w:rsidP="00DA39D6">
            <w:pPr>
              <w:numPr>
                <w:ilvl w:val="12"/>
                <w:numId w:val="0"/>
              </w:numPr>
              <w:spacing w:before="96" w:after="51"/>
              <w:jc w:val="center"/>
              <w:rPr>
                <w:sz w:val="22"/>
                <w:szCs w:val="22"/>
              </w:rPr>
            </w:pPr>
            <w:r>
              <w:rPr>
                <w:sz w:val="22"/>
                <w:szCs w:val="22"/>
              </w:rPr>
              <w:t>7</w:t>
            </w:r>
          </w:p>
          <w:p w:rsidR="00DA39D6" w:rsidRDefault="00DA39D6" w:rsidP="00DA39D6">
            <w:pPr>
              <w:numPr>
                <w:ilvl w:val="12"/>
                <w:numId w:val="0"/>
              </w:numPr>
              <w:spacing w:before="96" w:after="51"/>
              <w:jc w:val="center"/>
              <w:rPr>
                <w:sz w:val="22"/>
                <w:szCs w:val="22"/>
              </w:rPr>
            </w:pPr>
            <w:r>
              <w:rPr>
                <w:sz w:val="22"/>
                <w:szCs w:val="22"/>
              </w:rPr>
              <w:t>6</w:t>
            </w:r>
          </w:p>
          <w:p w:rsidR="00DA39D6" w:rsidRDefault="00DA39D6" w:rsidP="00DA39D6">
            <w:pPr>
              <w:numPr>
                <w:ilvl w:val="12"/>
                <w:numId w:val="0"/>
              </w:numPr>
              <w:spacing w:before="96" w:after="51"/>
              <w:jc w:val="center"/>
              <w:rPr>
                <w:sz w:val="22"/>
                <w:szCs w:val="22"/>
              </w:rPr>
            </w:pPr>
            <w:r>
              <w:rPr>
                <w:sz w:val="22"/>
                <w:szCs w:val="22"/>
              </w:rPr>
              <w:t>2</w:t>
            </w:r>
          </w:p>
        </w:tc>
      </w:tr>
    </w:tbl>
    <w:p w:rsidR="00370190" w:rsidRDefault="00370190" w:rsidP="005F1803">
      <w:pPr>
        <w:numPr>
          <w:ilvl w:val="12"/>
          <w:numId w:val="0"/>
        </w:numPr>
        <w:spacing w:line="480" w:lineRule="auto"/>
        <w:ind w:firstLine="720"/>
      </w:pPr>
    </w:p>
    <w:p w:rsidR="0086578D" w:rsidRDefault="00B84226" w:rsidP="005F1803">
      <w:pPr>
        <w:numPr>
          <w:ilvl w:val="12"/>
          <w:numId w:val="0"/>
        </w:numPr>
        <w:spacing w:line="480" w:lineRule="auto"/>
        <w:ind w:firstLine="720"/>
      </w:pPr>
      <w:r>
        <w:t>T</w:t>
      </w:r>
      <w:r w:rsidR="00E01D21">
        <w:t xml:space="preserve">hese data </w:t>
      </w:r>
      <w:r w:rsidR="00974D8A">
        <w:t>are used to fit</w:t>
      </w:r>
      <w:r w:rsidR="00E01D21">
        <w:t xml:space="preserve"> a normal kernel density estimation of the distribution functions.  The resulting cumulative and probability density functions are shown below</w:t>
      </w:r>
      <w:r w:rsidR="00DC4E85">
        <w:t xml:space="preserve"> with the respective ROC curve</w:t>
      </w:r>
      <w:r w:rsidR="00E01D21">
        <w:t>.</w:t>
      </w:r>
      <w:r w:rsidR="00854421" w:rsidRPr="00854421">
        <w:t xml:space="preserve"> </w:t>
      </w:r>
    </w:p>
    <w:p w:rsidR="005F1803" w:rsidRDefault="005F1803" w:rsidP="005F1803">
      <w:pPr>
        <w:numPr>
          <w:ilvl w:val="12"/>
          <w:numId w:val="0"/>
        </w:numPr>
        <w:spacing w:line="480" w:lineRule="auto"/>
        <w:ind w:firstLine="720"/>
      </w:pPr>
    </w:p>
    <w:p w:rsidR="00370190" w:rsidRDefault="00370190">
      <w:r>
        <w:br w:type="page"/>
      </w:r>
    </w:p>
    <w:p w:rsidR="00854421" w:rsidRDefault="00285790" w:rsidP="007E03EC">
      <w:pPr>
        <w:suppressAutoHyphens/>
        <w:autoSpaceDE w:val="0"/>
        <w:ind w:right="-180"/>
      </w:pPr>
      <w:r>
        <w:rPr>
          <w:noProof/>
        </w:rPr>
        <w:lastRenderedPageBreak/>
        <w:drawing>
          <wp:inline distT="0" distB="0" distL="0" distR="0">
            <wp:extent cx="4008628" cy="1828800"/>
            <wp:effectExtent l="19050" t="0" r="0" b="0"/>
            <wp:docPr id="38" name="Picture 10" descr="C:\Users\Josh\Documents\PETCT\thesis stuff\exampleCDF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sh\Documents\PETCT\thesis stuff\exampleCDFs.tif"/>
                    <pic:cNvPicPr>
                      <a:picLocks noChangeAspect="1" noChangeArrowheads="1"/>
                    </pic:cNvPicPr>
                  </pic:nvPicPr>
                  <pic:blipFill>
                    <a:blip r:embed="rId37" cstate="print"/>
                    <a:srcRect/>
                    <a:stretch>
                      <a:fillRect/>
                    </a:stretch>
                  </pic:blipFill>
                  <pic:spPr bwMode="auto">
                    <a:xfrm>
                      <a:off x="0" y="0"/>
                      <a:ext cx="4008628" cy="1828800"/>
                    </a:xfrm>
                    <a:prstGeom prst="rect">
                      <a:avLst/>
                    </a:prstGeom>
                    <a:noFill/>
                    <a:ln w="9525">
                      <a:noFill/>
                      <a:miter lim="800000"/>
                      <a:headEnd/>
                      <a:tailEnd/>
                    </a:ln>
                  </pic:spPr>
                </pic:pic>
              </a:graphicData>
            </a:graphic>
          </wp:inline>
        </w:drawing>
      </w:r>
      <w:r w:rsidR="00854421" w:rsidRPr="00AD2B77">
        <w:t xml:space="preserve"> </w:t>
      </w:r>
    </w:p>
    <w:p w:rsidR="007E03EC" w:rsidRDefault="007E03EC" w:rsidP="007E03EC">
      <w:pPr>
        <w:suppressAutoHyphens/>
        <w:autoSpaceDE w:val="0"/>
        <w:ind w:right="-180"/>
      </w:pPr>
    </w:p>
    <w:p w:rsidR="007C3A73" w:rsidRDefault="00285790" w:rsidP="007E03EC">
      <w:pPr>
        <w:suppressAutoHyphens/>
        <w:autoSpaceDE w:val="0"/>
        <w:ind w:right="-180"/>
      </w:pPr>
      <w:r>
        <w:rPr>
          <w:noProof/>
        </w:rPr>
        <w:drawing>
          <wp:inline distT="0" distB="0" distL="0" distR="0">
            <wp:extent cx="3995951" cy="1828800"/>
            <wp:effectExtent l="19050" t="0" r="4549" b="0"/>
            <wp:docPr id="37" name="Picture 9" descr="C:\Users\Josh\Documents\PETCT\thesis stuff\examplePDF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h\Documents\PETCT\thesis stuff\examplePDFs.tif"/>
                    <pic:cNvPicPr>
                      <a:picLocks noChangeAspect="1" noChangeArrowheads="1"/>
                    </pic:cNvPicPr>
                  </pic:nvPicPr>
                  <pic:blipFill>
                    <a:blip r:embed="rId38" cstate="print"/>
                    <a:srcRect/>
                    <a:stretch>
                      <a:fillRect/>
                    </a:stretch>
                  </pic:blipFill>
                  <pic:spPr bwMode="auto">
                    <a:xfrm>
                      <a:off x="0" y="0"/>
                      <a:ext cx="3995951" cy="1828800"/>
                    </a:xfrm>
                    <a:prstGeom prst="rect">
                      <a:avLst/>
                    </a:prstGeom>
                    <a:noFill/>
                    <a:ln w="9525">
                      <a:noFill/>
                      <a:miter lim="800000"/>
                      <a:headEnd/>
                      <a:tailEnd/>
                    </a:ln>
                  </pic:spPr>
                </pic:pic>
              </a:graphicData>
            </a:graphic>
          </wp:inline>
        </w:drawing>
      </w:r>
      <w:r w:rsidR="00854421" w:rsidRPr="00AD2B77">
        <w:t xml:space="preserve"> </w:t>
      </w:r>
    </w:p>
    <w:p w:rsidR="007C3A73" w:rsidRDefault="00EB11BB" w:rsidP="007C3A73">
      <w:pPr>
        <w:suppressAutoHyphens/>
        <w:autoSpaceDE w:val="0"/>
        <w:ind w:right="-180"/>
      </w:pPr>
      <w:r>
        <w:rPr>
          <w:noProof/>
        </w:rPr>
        <w:drawing>
          <wp:inline distT="0" distB="0" distL="0" distR="0">
            <wp:extent cx="2524125" cy="2438400"/>
            <wp:effectExtent l="19050" t="0" r="9525" b="0"/>
            <wp:docPr id="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srcRect/>
                    <a:stretch>
                      <a:fillRect/>
                    </a:stretch>
                  </pic:blipFill>
                  <pic:spPr bwMode="auto">
                    <a:xfrm>
                      <a:off x="0" y="0"/>
                      <a:ext cx="2524125" cy="2438400"/>
                    </a:xfrm>
                    <a:prstGeom prst="rect">
                      <a:avLst/>
                    </a:prstGeom>
                    <a:noFill/>
                    <a:ln w="9525">
                      <a:noFill/>
                      <a:miter lim="800000"/>
                      <a:headEnd/>
                      <a:tailEnd/>
                    </a:ln>
                  </pic:spPr>
                </pic:pic>
              </a:graphicData>
            </a:graphic>
          </wp:inline>
        </w:drawing>
      </w:r>
      <w:r w:rsidR="007C3A73" w:rsidRPr="00AD2B77">
        <w:t xml:space="preserve"> </w:t>
      </w:r>
    </w:p>
    <w:p w:rsidR="007C3A73" w:rsidRDefault="0086032F" w:rsidP="0084023C">
      <w:pPr>
        <w:pStyle w:val="Caption"/>
      </w:pPr>
      <w:bookmarkStart w:id="65" w:name="_Toc351890063"/>
      <w:proofErr w:type="gramStart"/>
      <w:r>
        <w:t xml:space="preserve">Figure </w:t>
      </w:r>
      <w:r w:rsidR="009B6816">
        <w:fldChar w:fldCharType="begin"/>
      </w:r>
      <w:r w:rsidR="00EE0740">
        <w:instrText xml:space="preserve"> SEQ Figure \* ARABIC </w:instrText>
      </w:r>
      <w:r w:rsidR="009B6816">
        <w:fldChar w:fldCharType="separate"/>
      </w:r>
      <w:r w:rsidR="005B6C27">
        <w:rPr>
          <w:noProof/>
        </w:rPr>
        <w:t>22</w:t>
      </w:r>
      <w:r w:rsidR="009B6816">
        <w:fldChar w:fldCharType="end"/>
      </w:r>
      <w:r w:rsidR="007C3A73">
        <w:t>.</w:t>
      </w:r>
      <w:proofErr w:type="gramEnd"/>
      <w:r w:rsidR="007C3A73">
        <w:t xml:space="preserve"> </w:t>
      </w:r>
      <w:r w:rsidR="007E03EC">
        <w:t xml:space="preserve">Cumulative and probability density functions, along with the </w:t>
      </w:r>
      <w:r w:rsidR="003D660B">
        <w:t>resulting</w:t>
      </w:r>
      <w:r w:rsidR="007E03EC">
        <w:t xml:space="preserve"> </w:t>
      </w:r>
      <w:r w:rsidR="007C3A73">
        <w:t>ROC curve</w:t>
      </w:r>
      <w:r w:rsidR="000808F5" w:rsidRPr="000808F5">
        <w:t xml:space="preserve"> </w:t>
      </w:r>
      <w:r w:rsidR="00B527D5">
        <w:t>fit</w:t>
      </w:r>
      <w:r w:rsidR="000808F5">
        <w:t xml:space="preserve"> from the sample confidence-rated data </w:t>
      </w:r>
      <w:r w:rsidR="009E656F">
        <w:t xml:space="preserve">in </w:t>
      </w:r>
      <w:r w:rsidR="009B6816">
        <w:fldChar w:fldCharType="begin"/>
      </w:r>
      <w:r w:rsidR="009E656F">
        <w:instrText xml:space="preserve"> REF _Ref321216967 \h </w:instrText>
      </w:r>
      <w:r w:rsidR="009B6816">
        <w:fldChar w:fldCharType="separate"/>
      </w:r>
      <w:r w:rsidR="005B6C27">
        <w:t xml:space="preserve">Table </w:t>
      </w:r>
      <w:r w:rsidR="005B6C27">
        <w:rPr>
          <w:noProof/>
        </w:rPr>
        <w:t>3</w:t>
      </w:r>
      <w:bookmarkEnd w:id="65"/>
      <w:r w:rsidR="009B6816">
        <w:fldChar w:fldCharType="end"/>
      </w:r>
    </w:p>
    <w:p w:rsidR="005F1803" w:rsidRDefault="005F1803" w:rsidP="00E514E6">
      <w:pPr>
        <w:numPr>
          <w:ilvl w:val="12"/>
          <w:numId w:val="0"/>
        </w:numPr>
        <w:spacing w:line="480" w:lineRule="auto"/>
        <w:ind w:firstLine="720"/>
      </w:pPr>
    </w:p>
    <w:p w:rsidR="00E514E6" w:rsidRPr="003469EB" w:rsidRDefault="00E514E6" w:rsidP="00E514E6">
      <w:pPr>
        <w:pStyle w:val="Heading2"/>
        <w:rPr>
          <w:vertAlign w:val="subscript"/>
        </w:rPr>
      </w:pPr>
      <w:bookmarkStart w:id="66" w:name="_Toc351890009"/>
      <w:r>
        <w:lastRenderedPageBreak/>
        <w:t>Parametri</w:t>
      </w:r>
      <w:r w:rsidR="00675E24">
        <w:t>c</w:t>
      </w:r>
      <w:r>
        <w:t xml:space="preserve"> Fitting</w:t>
      </w:r>
      <w:bookmarkEnd w:id="66"/>
    </w:p>
    <w:p w:rsidR="003100CC" w:rsidRDefault="003100CC" w:rsidP="00E514E6">
      <w:pPr>
        <w:numPr>
          <w:ilvl w:val="12"/>
          <w:numId w:val="0"/>
        </w:numPr>
        <w:spacing w:line="480" w:lineRule="auto"/>
        <w:ind w:firstLine="720"/>
      </w:pPr>
      <w:r>
        <w:t xml:space="preserve">The </w:t>
      </w:r>
      <w:r w:rsidR="00365E47">
        <w:t>distribution equations</w:t>
      </w:r>
      <w:r>
        <w:t xml:space="preserve"> defined above constrain both the ROC and LROC curves to be monotonic</w:t>
      </w:r>
      <w:r w:rsidR="009D274E">
        <w:t xml:space="preserve">, </w:t>
      </w:r>
      <w:r w:rsidR="00C63521">
        <w:t>i.e.</w:t>
      </w:r>
      <w:r w:rsidR="009D274E">
        <w:t xml:space="preserve"> each point on the curve defines the lower bound of operating performance at that threshold level</w:t>
      </w:r>
      <w:r>
        <w:t xml:space="preserve">.  </w:t>
      </w:r>
      <w:r w:rsidR="00892485">
        <w:t>T</w:t>
      </w:r>
      <w:r w:rsidR="00AF553D">
        <w:t>his</w:t>
      </w:r>
      <w:r w:rsidR="009D274E">
        <w:t xml:space="preserve"> method</w:t>
      </w:r>
      <w:r w:rsidR="00892485">
        <w:t>,</w:t>
      </w:r>
      <w:r w:rsidR="009D274E">
        <w:t xml:space="preserve"> of </w:t>
      </w:r>
      <w:r w:rsidR="00892485">
        <w:t xml:space="preserve">fitting </w:t>
      </w:r>
      <w:r w:rsidR="00D25A84">
        <w:t xml:space="preserve">two </w:t>
      </w:r>
      <w:r w:rsidR="00892485">
        <w:t>data sets independently, was</w:t>
      </w:r>
      <w:r w:rsidR="009D274E">
        <w:t xml:space="preserve"> designed for less complicated analyses and may not </w:t>
      </w:r>
      <w:r w:rsidR="00AF553D">
        <w:t>impose monotony in the ROC curve</w:t>
      </w:r>
      <w:r w:rsidR="00B36894">
        <w:t xml:space="preserve"> </w:t>
      </w:r>
      <w:r w:rsidR="009B6816">
        <w:fldChar w:fldCharType="begin"/>
      </w:r>
      <w:r w:rsidR="002D7C36">
        <w:instrText xml:space="preserve"> ADDIN EN.CITE &lt;EndNote&gt;&lt;Cite&gt;&lt;Author&gt;Kadrmas&lt;/Author&gt;&lt;Year&gt;2009&lt;/Year&gt;&lt;RecNum&gt;284&lt;/RecNum&gt;&lt;DisplayText&gt;(Kadrmas, Casey et al. 2009)&lt;/DisplayText&gt;&lt;record&gt;&lt;rec-number&gt;284&lt;/rec-number&gt;&lt;foreign-keys&gt;&lt;key app="EN" db-id="srwv9ppvvez5pgefxzi5ddeve5w2fe5x5esr"&gt;284&lt;/key&gt;&lt;/foreign-keys&gt;&lt;ref-type name="Journal Article"&gt;17&lt;/ref-type&gt;&lt;contributors&gt;&lt;authors&gt;&lt;author&gt;Kadrmas, D. J.&lt;/author&gt;&lt;author&gt;Casey, M. E.&lt;/author&gt;&lt;author&gt;Black, N. F.&lt;/author&gt;&lt;author&gt;Hamill, J. J.&lt;/author&gt;&lt;author&gt;Panin, V. Y.&lt;/author&gt;&lt;author&gt;Conti, M.&lt;/author&gt;&lt;/authors&gt;&lt;/contributors&gt;&lt;auth-address&gt;Department of Radiology, Utah Center for Advanced Imaging Research, University of Utah, Salt Lake City, UT 84108 USA. kadrmas@ucair.med.utah.edu&lt;/auth-address&gt;&lt;titles&gt;&lt;title&gt;Experimental comparison of lesion detectability for four fully-3D PET reconstruction schemes&lt;/title&gt;&lt;secondary-title&gt;IEEE Trans Med Imaging&lt;/secondary-title&gt;&lt;alt-title&gt;IEEE transactions on medical imaging&lt;/alt-title&gt;&lt;/titles&gt;&lt;pages&gt;523-34&lt;/pages&gt;&lt;volume&gt;28&lt;/volume&gt;&lt;number&gt;4&lt;/number&gt;&lt;edition&gt;2009/03/11&lt;/edition&gt;&lt;keywords&gt;&lt;keyword&gt;Algorithms&lt;/keyword&gt;&lt;keyword&gt;Data Interpretation, Statistical&lt;/keyword&gt;&lt;keyword&gt;Humans&lt;/keyword&gt;&lt;keyword&gt;Image Processing, Computer-Assisted/*methods&lt;/keyword&gt;&lt;keyword&gt;Neoplasms/*radionuclide imaging&lt;/keyword&gt;&lt;keyword&gt;Observer Variation&lt;/keyword&gt;&lt;keyword&gt;Phantoms, Imaging&lt;/keyword&gt;&lt;keyword&gt;Positron-Emission Tomography/*methods&lt;/keyword&gt;&lt;keyword&gt;ROC Curve&lt;/keyword&gt;&lt;keyword&gt;Whole Body Imaging/*methods&lt;/keyword&gt;&lt;/keywords&gt;&lt;dates&gt;&lt;year&gt;2009&lt;/year&gt;&lt;pub-dates&gt;&lt;date&gt;Apr&lt;/date&gt;&lt;/pub-dates&gt;&lt;/dates&gt;&lt;isbn&gt;1558-0062 (Electronic)&amp;#xD;0278-0062 (Linking)&lt;/isbn&gt;&lt;accession-num&gt;19272998&lt;/accession-num&gt;&lt;work-type&gt;Comparative Study&amp;#xD;Research Support, N.I.H., Extramural&lt;/work-type&gt;&lt;urls&gt;&lt;related-urls&gt;&lt;url&gt;http://www.ncbi.nlm.nih.gov/pubmed/19272998&lt;/url&gt;&lt;/related-urls&gt;&lt;/urls&gt;&lt;custom2&gt;2798572&lt;/custom2&gt;&lt;electronic-resource-num&gt;10.1109/TMI.2008.2006520&lt;/electronic-resource-num&gt;&lt;language&gt;eng&lt;/language&gt;&lt;/record&gt;&lt;/Cite&gt;&lt;/EndNote&gt;</w:instrText>
      </w:r>
      <w:r w:rsidR="009B6816">
        <w:fldChar w:fldCharType="separate"/>
      </w:r>
      <w:r w:rsidR="005129CC">
        <w:rPr>
          <w:noProof/>
        </w:rPr>
        <w:t>(</w:t>
      </w:r>
      <w:hyperlink w:anchor="_ENREF_45" w:tooltip="Kadrmas, 2009 #284" w:history="1">
        <w:r w:rsidR="007704DB">
          <w:rPr>
            <w:noProof/>
          </w:rPr>
          <w:t>Kadrmas, Casey et al. 2009</w:t>
        </w:r>
      </w:hyperlink>
      <w:r w:rsidR="005129CC">
        <w:rPr>
          <w:noProof/>
        </w:rPr>
        <w:t>)</w:t>
      </w:r>
      <w:r w:rsidR="009B6816">
        <w:fldChar w:fldCharType="end"/>
      </w:r>
      <w:r w:rsidR="004B1E9C">
        <w:t>.  This results</w:t>
      </w:r>
      <w:r w:rsidR="009D274E">
        <w:t xml:space="preserve"> in </w:t>
      </w:r>
      <w:r w:rsidR="00C84A34">
        <w:t>nonsensical</w:t>
      </w:r>
      <w:r w:rsidR="009D274E">
        <w:t xml:space="preserve"> performance curves</w:t>
      </w:r>
      <w:r w:rsidR="00892485">
        <w:t>,</w:t>
      </w:r>
      <w:r w:rsidR="009D274E">
        <w:t xml:space="preserve"> which may be negative or exhibit an upward hook-like inflection.  </w:t>
      </w:r>
    </w:p>
    <w:p w:rsidR="005D13F2" w:rsidRDefault="00552C0C" w:rsidP="00E514E6">
      <w:pPr>
        <w:numPr>
          <w:ilvl w:val="12"/>
          <w:numId w:val="0"/>
        </w:numPr>
        <w:spacing w:line="480" w:lineRule="auto"/>
        <w:ind w:firstLine="720"/>
      </w:pPr>
      <w:r>
        <w:t>A</w:t>
      </w:r>
      <w:r w:rsidR="00235904">
        <w:t>n</w:t>
      </w:r>
      <w:r>
        <w:t xml:space="preserve"> </w:t>
      </w:r>
      <w:r w:rsidR="00490DA9">
        <w:t xml:space="preserve">alternative </w:t>
      </w:r>
      <w:r w:rsidR="00017B79">
        <w:t xml:space="preserve">parametric </w:t>
      </w:r>
      <w:r w:rsidR="00235904">
        <w:t xml:space="preserve">ROC </w:t>
      </w:r>
      <w:r w:rsidR="00490DA9">
        <w:t>fitting</w:t>
      </w:r>
      <w:r>
        <w:t xml:space="preserve"> </w:t>
      </w:r>
      <w:r w:rsidR="00490DA9">
        <w:t>technique</w:t>
      </w:r>
      <w:r>
        <w:t xml:space="preserve"> </w:t>
      </w:r>
      <w:r w:rsidR="00017B79">
        <w:t>has been</w:t>
      </w:r>
      <w:r w:rsidR="00077382">
        <w:t xml:space="preserve"> developed</w:t>
      </w:r>
      <w:r w:rsidR="00017B79">
        <w:t xml:space="preserve"> </w:t>
      </w:r>
      <w:r w:rsidR="00017B79">
        <w:fldChar w:fldCharType="begin"/>
      </w:r>
      <w:r w:rsidR="00017B79">
        <w:instrText xml:space="preserve"> ADDIN EN.CITE &lt;EndNote&gt;&lt;Cite&gt;&lt;Author&gt;Swensson&lt;/Author&gt;&lt;Year&gt;1996&lt;/Year&gt;&lt;RecNum&gt;95&lt;/RecNum&gt;&lt;DisplayText&gt;(Swensson 1996)&lt;/DisplayText&gt;&lt;record&gt;&lt;rec-number&gt;95&lt;/rec-number&gt;&lt;foreign-keys&gt;&lt;key app="EN" db-id="srwv9ppvvez5pgefxzi5ddeve5w2fe5x5esr"&gt;95&lt;/key&gt;&lt;/foreign-keys&gt;&lt;ref-type name="Journal Article"&gt;17&lt;/ref-type&gt;&lt;contributors&gt;&lt;authors&gt;&lt;author&gt;Swensson, RG&lt;/author&gt;&lt;/authors&gt;&lt;/contributors&gt;&lt;titles&gt;&lt;title&gt;Unified measurement of observer performance in detecting and localizing target objects on images&lt;/title&gt;&lt;secondary-title&gt;Medical Physics&lt;/secondary-title&gt;&lt;/titles&gt;&lt;pages&gt;1709-1725&lt;/pages&gt;&lt;volume&gt;23&lt;/volume&gt;&lt;dates&gt;&lt;year&gt;1996&lt;/year&gt;&lt;/dates&gt;&lt;urls&gt;&lt;/urls&gt;&lt;/record&gt;&lt;/Cite&gt;&lt;/EndNote&gt;</w:instrText>
      </w:r>
      <w:r w:rsidR="00017B79">
        <w:fldChar w:fldCharType="separate"/>
      </w:r>
      <w:r w:rsidR="00017B79">
        <w:rPr>
          <w:noProof/>
        </w:rPr>
        <w:t>(</w:t>
      </w:r>
      <w:hyperlink w:anchor="_ENREF_74" w:tooltip="Swensson, 1996 #95" w:history="1">
        <w:r w:rsidR="007704DB">
          <w:rPr>
            <w:noProof/>
          </w:rPr>
          <w:t>Swensson 1996</w:t>
        </w:r>
      </w:hyperlink>
      <w:r w:rsidR="00017B79">
        <w:rPr>
          <w:noProof/>
        </w:rPr>
        <w:t>)</w:t>
      </w:r>
      <w:r w:rsidR="00017B79">
        <w:fldChar w:fldCharType="end"/>
      </w:r>
      <w:r w:rsidR="00644B60">
        <w:t xml:space="preserve"> which mutually </w:t>
      </w:r>
      <w:r w:rsidR="00F10DC7">
        <w:t>relates</w:t>
      </w:r>
      <w:r w:rsidR="006E0262">
        <w:t xml:space="preserve"> the</w:t>
      </w:r>
      <w:r w:rsidR="00107807">
        <w:t xml:space="preserve"> </w:t>
      </w:r>
      <w:r w:rsidR="00644B60">
        <w:t xml:space="preserve">two </w:t>
      </w:r>
      <w:r w:rsidR="006E0262">
        <w:t>probability distribution functions</w:t>
      </w:r>
      <w:r w:rsidR="00644B60">
        <w:t>,</w:t>
      </w:r>
      <w:r w:rsidR="006E0262">
        <w:t xml:space="preserve"> </w:t>
      </w:r>
      <w:r w:rsidR="00F10DC7">
        <w:t>using only the</w:t>
      </w:r>
      <w:r w:rsidR="00582D89">
        <w:t xml:space="preserve"> relative</w:t>
      </w:r>
      <w:r w:rsidR="00F10DC7">
        <w:t xml:space="preserve"> mean</w:t>
      </w:r>
      <w:r w:rsidR="00646BFA">
        <w:t>s</w:t>
      </w:r>
      <w:r w:rsidR="00F10DC7">
        <w:t xml:space="preserve"> and </w:t>
      </w:r>
      <w:r w:rsidR="00646BFA">
        <w:t>variances of the distributions</w:t>
      </w:r>
      <w:r w:rsidR="006E0262">
        <w:t xml:space="preserve">.  </w:t>
      </w:r>
      <w:r w:rsidR="00B84226">
        <w:t>The non-target decision</w:t>
      </w:r>
      <w:r w:rsidR="00F10DC7">
        <w:t xml:space="preserve"> </w:t>
      </w:r>
      <w:r w:rsidR="00B84226">
        <w:t>distribution</w:t>
      </w:r>
      <w:r w:rsidR="00D76BE5">
        <w:t xml:space="preserve"> </w:t>
      </w:r>
      <m:oMath>
        <m:r>
          <w:rPr>
            <w:rFonts w:ascii="Cambria Math" w:hAnsi="Cambria Math"/>
          </w:rPr>
          <m:t>g</m:t>
        </m:r>
        <m:d>
          <m:dPr>
            <m:ctrlPr>
              <w:rPr>
                <w:rFonts w:ascii="Cambria Math" w:hAnsi="Cambria Math"/>
                <w:i/>
              </w:rPr>
            </m:ctrlPr>
          </m:dPr>
          <m:e>
            <m:r>
              <w:rPr>
                <w:rFonts w:ascii="Cambria Math" w:hAnsi="Cambria Math"/>
              </w:rPr>
              <m:t>X</m:t>
            </m:r>
          </m:e>
        </m:d>
      </m:oMath>
      <w:r w:rsidR="00F10DC7">
        <w:t xml:space="preserve"> </w:t>
      </w:r>
      <w:r w:rsidR="00AE029D">
        <w:t xml:space="preserve">is </w:t>
      </w:r>
      <w:r w:rsidR="00B84226">
        <w:t>arbitrarily scaled to standard</w:t>
      </w:r>
      <w:r w:rsidR="00C63146">
        <w:t xml:space="preserve"> (zero mean and unit standard deviation)</w:t>
      </w:r>
      <w:r w:rsidR="00B84226">
        <w:t xml:space="preserve"> form</w:t>
      </w:r>
      <w:r w:rsidR="005813DB">
        <w:t xml:space="preserve">, represented </w:t>
      </w:r>
      <w:r w:rsidR="001522BB">
        <w:t>by</w:t>
      </w:r>
      <w:r w:rsidR="005813DB">
        <w:t xml:space="preserve"> the Gaussian curve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5D13F2" w:rsidTr="009B53A7">
        <w:tc>
          <w:tcPr>
            <w:tcW w:w="7920" w:type="dxa"/>
            <w:shd w:val="clear" w:color="auto" w:fill="auto"/>
            <w:vAlign w:val="center"/>
          </w:tcPr>
          <w:p w:rsidR="005D13F2" w:rsidRDefault="001D7885" w:rsidP="005D13F2">
            <w:pPr>
              <w:numPr>
                <w:ilvl w:val="12"/>
                <w:numId w:val="0"/>
              </w:numPr>
              <w:spacing w:line="480" w:lineRule="auto"/>
              <w:ind w:firstLine="720"/>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r>
                  <w:rPr>
                    <w:rFonts w:ascii="Cambria Math" w:hAnsi="Cambria Math"/>
                  </w:rPr>
                  <m:t>ϕ</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ad>
                      <m:radPr>
                        <m:degHide m:val="on"/>
                        <m:ctrlPr>
                          <w:rPr>
                            <w:rFonts w:ascii="Cambria Math" w:hAnsi="Cambria Math"/>
                            <w:i/>
                          </w:rPr>
                        </m:ctrlPr>
                      </m:radPr>
                      <m:deg/>
                      <m:e>
                        <m:r>
                          <w:rPr>
                            <w:rFonts w:ascii="Cambria Math" w:hAnsi="Cambria Math"/>
                          </w:rPr>
                          <m:t>2π</m:t>
                        </m:r>
                      </m:e>
                    </m:rad>
                  </m:den>
                </m:f>
                <m:sSup>
                  <m:sSupPr>
                    <m:ctrlPr>
                      <w:rPr>
                        <w:rFonts w:ascii="Cambria Math" w:hAnsi="Cambria Math"/>
                        <w:i/>
                      </w:rPr>
                    </m:ctrlPr>
                  </m:sSupPr>
                  <m:e>
                    <m:r>
                      <w:rPr>
                        <w:rFonts w:ascii="Cambria Math" w:hAnsi="Cambria Math"/>
                      </w:rPr>
                      <m:t>e</m:t>
                    </m:r>
                  </m:e>
                  <m:sup>
                    <m:r>
                      <w:rPr>
                        <w:rFonts w:ascii="Cambria Math" w:hAnsi="Cambria Math"/>
                      </w:rPr>
                      <m:t>-</m:t>
                    </m:r>
                    <m:f>
                      <m:fPr>
                        <m:type m:val="skw"/>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sup>
                </m:sSup>
              </m:oMath>
            </m:oMathPara>
          </w:p>
        </w:tc>
        <w:tc>
          <w:tcPr>
            <w:tcW w:w="720" w:type="dxa"/>
            <w:shd w:val="clear" w:color="auto" w:fill="auto"/>
            <w:vAlign w:val="center"/>
          </w:tcPr>
          <w:p w:rsidR="005D13F2" w:rsidRDefault="005D13F2" w:rsidP="009B53A7">
            <w:pPr>
              <w:pStyle w:val="EquationNumberStyle"/>
            </w:pPr>
            <w:r>
              <w:fldChar w:fldCharType="begin"/>
            </w:r>
            <w:r>
              <w:instrText xml:space="preserve"> MACROBUTTON NumberReference \* MERGEFORMAT (</w:instrText>
            </w:r>
            <w:fldSimple w:instr=" SEQ EqnChapter \c \* Arabic \* MERGEFORMAT ">
              <w:r w:rsidR="005B6C27">
                <w:rPr>
                  <w:noProof/>
                </w:rPr>
                <w:instrText>3</w:instrText>
              </w:r>
            </w:fldSimple>
            <w:r>
              <w:instrText>.</w:instrText>
            </w:r>
            <w:fldSimple w:instr=" SEQ EquationNumber \n \* Arabic \* MERGEFORMAT ">
              <w:r w:rsidR="005B6C27">
                <w:rPr>
                  <w:noProof/>
                </w:rPr>
                <w:instrText>7</w:instrText>
              </w:r>
            </w:fldSimple>
            <w:r>
              <w:instrText>)</w:instrText>
            </w:r>
            <w:r>
              <w:fldChar w:fldCharType="end"/>
            </w:r>
          </w:p>
        </w:tc>
      </w:tr>
    </w:tbl>
    <w:p w:rsidR="001D7885" w:rsidRDefault="006036FB" w:rsidP="001D7885">
      <w:pPr>
        <w:numPr>
          <w:ilvl w:val="12"/>
          <w:numId w:val="0"/>
        </w:numPr>
        <w:spacing w:line="480" w:lineRule="auto"/>
      </w:pPr>
      <w:r>
        <w:t xml:space="preserve">The target </w:t>
      </w:r>
      <w:r w:rsidR="001D7885">
        <w:t xml:space="preserve">distribution </w:t>
      </w:r>
      <w:r w:rsidR="006770A9">
        <w:t>is then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1D7885" w:rsidTr="009B53A7">
        <w:tc>
          <w:tcPr>
            <w:tcW w:w="7920" w:type="dxa"/>
            <w:shd w:val="clear" w:color="auto" w:fill="auto"/>
            <w:vAlign w:val="center"/>
          </w:tcPr>
          <w:p w:rsidR="001D7885" w:rsidRDefault="001D7885" w:rsidP="001D7885">
            <w:pPr>
              <w:numPr>
                <w:ilvl w:val="12"/>
                <w:numId w:val="0"/>
              </w:numPr>
              <w:spacing w:line="480" w:lineRule="auto"/>
              <w:ind w:firstLine="720"/>
            </w:pPr>
            <m:oMathPara>
              <m:oMath>
                <m:r>
                  <w:rPr>
                    <w:rFonts w:ascii="Cambria Math" w:hAnsi="Cambria Math"/>
                  </w:rPr>
                  <m:t>f(X)≡</m:t>
                </m:r>
                <m:d>
                  <m:dPr>
                    <m:ctrlPr>
                      <w:rPr>
                        <w:rFonts w:ascii="Cambria Math" w:hAnsi="Cambria Math"/>
                      </w:rPr>
                    </m:ctrlPr>
                  </m:dPr>
                  <m:e>
                    <m:f>
                      <m:fPr>
                        <m:ctrlPr>
                          <w:rPr>
                            <w:rFonts w:ascii="Cambria Math" w:hAnsi="Cambria Math"/>
                            <w:i/>
                          </w:rPr>
                        </m:ctrlPr>
                      </m:fPr>
                      <m:num>
                        <m:r>
                          <w:rPr>
                            <w:rFonts w:ascii="Cambria Math" w:hAnsi="Cambria Math"/>
                          </w:rPr>
                          <m:t>1</m:t>
                        </m:r>
                      </m:num>
                      <m:den>
                        <m:r>
                          <w:rPr>
                            <w:rFonts w:ascii="Cambria Math" w:hAnsi="Cambria Math"/>
                          </w:rPr>
                          <m:t>σ</m:t>
                        </m:r>
                      </m:den>
                    </m:f>
                  </m:e>
                </m:d>
                <m:r>
                  <w:rPr>
                    <w:rFonts w:ascii="Cambria Math" w:hAnsi="Cambria Math"/>
                  </w:rPr>
                  <m:t>ϕ</m:t>
                </m:r>
                <m:d>
                  <m:dPr>
                    <m:ctrlPr>
                      <w:rPr>
                        <w:rFonts w:ascii="Cambria Math" w:hAnsi="Cambria Math"/>
                      </w:rPr>
                    </m:ctrlPr>
                  </m:dPr>
                  <m:e>
                    <m:f>
                      <m:fPr>
                        <m:ctrlPr>
                          <w:rPr>
                            <w:rFonts w:ascii="Cambria Math" w:hAnsi="Cambria Math"/>
                            <w:i/>
                          </w:rPr>
                        </m:ctrlPr>
                      </m:fPr>
                      <m:num>
                        <m:r>
                          <w:rPr>
                            <w:rFonts w:ascii="Cambria Math" w:hAnsi="Cambria Math"/>
                          </w:rPr>
                          <m:t>X-μ</m:t>
                        </m:r>
                      </m:num>
                      <m:den>
                        <m:r>
                          <w:rPr>
                            <w:rFonts w:ascii="Cambria Math" w:hAnsi="Cambria Math"/>
                          </w:rPr>
                          <m:t>σ</m:t>
                        </m:r>
                      </m:den>
                    </m:f>
                  </m:e>
                </m:d>
              </m:oMath>
            </m:oMathPara>
          </w:p>
        </w:tc>
        <w:tc>
          <w:tcPr>
            <w:tcW w:w="720" w:type="dxa"/>
            <w:shd w:val="clear" w:color="auto" w:fill="auto"/>
            <w:vAlign w:val="center"/>
          </w:tcPr>
          <w:p w:rsidR="001D7885" w:rsidRDefault="001D7885" w:rsidP="009B53A7">
            <w:pPr>
              <w:pStyle w:val="EquationNumberStyle"/>
            </w:pPr>
            <w:r>
              <w:fldChar w:fldCharType="begin"/>
            </w:r>
            <w:r>
              <w:instrText xml:space="preserve"> MACROBUTTON NumberReference \* MERGEFORMAT (</w:instrText>
            </w:r>
            <w:fldSimple w:instr=" SEQ EqnChapter \c \* Arabic \* MERGEFORMAT ">
              <w:r w:rsidR="005B6C27">
                <w:rPr>
                  <w:noProof/>
                </w:rPr>
                <w:instrText>3</w:instrText>
              </w:r>
            </w:fldSimple>
            <w:r>
              <w:instrText>.</w:instrText>
            </w:r>
            <w:fldSimple w:instr=" SEQ EquationNumber \n \* Arabic \* MERGEFORMAT ">
              <w:r w:rsidR="005B6C27">
                <w:rPr>
                  <w:noProof/>
                </w:rPr>
                <w:instrText>8</w:instrText>
              </w:r>
            </w:fldSimple>
            <w:r>
              <w:instrText>)</w:instrText>
            </w:r>
            <w:r>
              <w:fldChar w:fldCharType="end"/>
            </w:r>
          </w:p>
        </w:tc>
      </w:tr>
    </w:tbl>
    <w:p w:rsidR="00AC2C87" w:rsidRDefault="000F684B" w:rsidP="001D7885">
      <w:pPr>
        <w:numPr>
          <w:ilvl w:val="12"/>
          <w:numId w:val="0"/>
        </w:numPr>
        <w:spacing w:line="480" w:lineRule="auto"/>
      </w:pPr>
      <w:r>
        <w:t>These definitions provide a convenient way to characterize performance</w:t>
      </w:r>
      <w:r w:rsidR="00625F33">
        <w:t xml:space="preserve">, using </w:t>
      </w:r>
      <w:r w:rsidR="00F4721C">
        <w:t>o</w:t>
      </w:r>
      <w:r w:rsidR="00625F33">
        <w:t xml:space="preserve">nly two parameters </w:t>
      </w:r>
      <m:oMath>
        <m:r>
          <w:rPr>
            <w:rFonts w:ascii="Cambria Math" w:hAnsi="Cambria Math"/>
          </w:rPr>
          <m:t>μ</m:t>
        </m:r>
      </m:oMath>
      <w:r w:rsidR="00625F33">
        <w:t xml:space="preserve"> </w:t>
      </w:r>
      <w:proofErr w:type="gramStart"/>
      <w:r w:rsidR="00625F33">
        <w:t xml:space="preserve">and </w:t>
      </w:r>
      <m:oMath>
        <w:proofErr w:type="gramEnd"/>
        <m:r>
          <w:rPr>
            <w:rFonts w:ascii="Cambria Math" w:hAnsi="Cambria Math"/>
          </w:rPr>
          <m:t>σ</m:t>
        </m:r>
      </m:oMath>
      <w:r w:rsidR="00430D25">
        <w:t xml:space="preserve">.  </w:t>
      </w:r>
      <w:r w:rsidR="00625F33">
        <w:t>Given</w:t>
      </w:r>
      <w:r w:rsidR="00B9706E">
        <w:t xml:space="preserve"> that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AC2C87" w:rsidTr="00C61D1E">
        <w:tc>
          <w:tcPr>
            <w:tcW w:w="7920" w:type="dxa"/>
            <w:shd w:val="clear" w:color="auto" w:fill="auto"/>
            <w:vAlign w:val="center"/>
          </w:tcPr>
          <w:p w:rsidR="00AC2C87" w:rsidRDefault="00AC2C87" w:rsidP="00C61D1E">
            <w:pPr>
              <w:numPr>
                <w:ilvl w:val="12"/>
                <w:numId w:val="0"/>
              </w:numPr>
              <w:spacing w:line="480" w:lineRule="auto"/>
              <w:ind w:firstLine="720"/>
            </w:pPr>
            <m:oMathPara>
              <m:oMath>
                <m:r>
                  <m:rPr>
                    <m:sty m:val="p"/>
                  </m:rPr>
                  <w:rPr>
                    <w:rFonts w:ascii="Cambria Math" w:hAnsi="Cambria Math"/>
                  </w:rPr>
                  <m:t>Φ</m:t>
                </m:r>
                <m:d>
                  <m:dPr>
                    <m:ctrlPr>
                      <w:rPr>
                        <w:rFonts w:ascii="Cambria Math" w:hAnsi="Cambria Math"/>
                        <w:i/>
                      </w:rPr>
                    </m:ctrlPr>
                  </m:dPr>
                  <m:e>
                    <m:r>
                      <w:rPr>
                        <w:rFonts w:ascii="Cambria Math" w:hAnsi="Cambria Math"/>
                      </w:rPr>
                      <m:t>Z</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Z</m:t>
                    </m:r>
                  </m:sup>
                  <m:e>
                    <m:r>
                      <w:rPr>
                        <w:rFonts w:ascii="Cambria Math" w:hAnsi="Cambria Math"/>
                      </w:rPr>
                      <m:t>ϕ</m:t>
                    </m:r>
                    <m:d>
                      <m:dPr>
                        <m:ctrlPr>
                          <w:rPr>
                            <w:rFonts w:ascii="Cambria Math" w:hAnsi="Cambria Math"/>
                            <w:i/>
                          </w:rPr>
                        </m:ctrlPr>
                      </m:dPr>
                      <m:e>
                        <m:r>
                          <w:rPr>
                            <w:rFonts w:ascii="Cambria Math" w:hAnsi="Cambria Math"/>
                          </w:rPr>
                          <m:t>X</m:t>
                        </m:r>
                      </m:e>
                    </m:d>
                    <m:r>
                      <w:rPr>
                        <w:rFonts w:ascii="Cambria Math" w:hAnsi="Cambria Math"/>
                      </w:rPr>
                      <m:t>dX</m:t>
                    </m:r>
                  </m:e>
                </m:nary>
              </m:oMath>
            </m:oMathPara>
          </w:p>
        </w:tc>
        <w:tc>
          <w:tcPr>
            <w:tcW w:w="720" w:type="dxa"/>
            <w:shd w:val="clear" w:color="auto" w:fill="auto"/>
            <w:vAlign w:val="center"/>
          </w:tcPr>
          <w:p w:rsidR="00AC2C87" w:rsidRDefault="009B6816" w:rsidP="00C61D1E">
            <w:pPr>
              <w:pStyle w:val="EquationNumberStyle"/>
            </w:pPr>
            <w:r>
              <w:fldChar w:fldCharType="begin"/>
            </w:r>
            <w:r w:rsidR="00AC2C87">
              <w:instrText xml:space="preserve"> MACROBUTTON NumberReference \* MERGEFORMAT (</w:instrText>
            </w:r>
            <w:fldSimple w:instr=" SEQ EqnChapter \c \* Arabic \* MERGEFORMAT ">
              <w:r w:rsidR="005B6C27">
                <w:rPr>
                  <w:noProof/>
                </w:rPr>
                <w:instrText>3</w:instrText>
              </w:r>
            </w:fldSimple>
            <w:r w:rsidR="00AC2C87">
              <w:instrText>.</w:instrText>
            </w:r>
            <w:fldSimple w:instr=" SEQ EquationNumber \n \* Arabic \* MERGEFORMAT ">
              <w:r w:rsidR="005B6C27">
                <w:rPr>
                  <w:noProof/>
                </w:rPr>
                <w:instrText>9</w:instrText>
              </w:r>
            </w:fldSimple>
            <w:r w:rsidR="00AC2C87">
              <w:instrText>)</w:instrText>
            </w:r>
            <w:r>
              <w:fldChar w:fldCharType="end"/>
            </w:r>
          </w:p>
        </w:tc>
      </w:tr>
    </w:tbl>
    <w:p w:rsidR="00AC2C87" w:rsidRDefault="00AC2C87" w:rsidP="00AC2C87">
      <w:pPr>
        <w:numPr>
          <w:ilvl w:val="12"/>
          <w:numId w:val="0"/>
        </w:numPr>
        <w:spacing w:line="480" w:lineRule="auto"/>
      </w:pPr>
      <w:proofErr w:type="gramStart"/>
      <w:r>
        <w:t>and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AC2C87" w:rsidTr="00C61D1E">
        <w:tc>
          <w:tcPr>
            <w:tcW w:w="7920" w:type="dxa"/>
            <w:shd w:val="clear" w:color="auto" w:fill="auto"/>
            <w:vAlign w:val="center"/>
          </w:tcPr>
          <w:p w:rsidR="00AC2C87" w:rsidRDefault="00AC2C87" w:rsidP="00C61D1E">
            <w:pPr>
              <w:numPr>
                <w:ilvl w:val="12"/>
                <w:numId w:val="0"/>
              </w:numPr>
              <w:spacing w:line="480" w:lineRule="auto"/>
              <w:ind w:firstLine="720"/>
            </w:pPr>
            <m:oMathPara>
              <m:oMath>
                <m:r>
                  <m:rPr>
                    <m:sty m:val="p"/>
                  </m:rPr>
                  <w:rPr>
                    <w:rFonts w:ascii="Cambria Math" w:hAnsi="Cambria Math"/>
                  </w:rPr>
                  <w:lastRenderedPageBreak/>
                  <m:t>Φ</m:t>
                </m:r>
                <m:d>
                  <m:dPr>
                    <m:ctrlPr>
                      <w:rPr>
                        <w:rFonts w:ascii="Cambria Math" w:hAnsi="Cambria Math"/>
                      </w:rPr>
                    </m:ctrlPr>
                  </m:dPr>
                  <m:e>
                    <m:f>
                      <m:fPr>
                        <m:ctrlPr>
                          <w:rPr>
                            <w:rFonts w:ascii="Cambria Math" w:hAnsi="Cambria Math"/>
                            <w:i/>
                          </w:rPr>
                        </m:ctrlPr>
                      </m:fPr>
                      <m:num>
                        <m:r>
                          <w:rPr>
                            <w:rFonts w:ascii="Cambria Math" w:hAnsi="Cambria Math"/>
                          </w:rPr>
                          <m:t>Z-μ</m:t>
                        </m:r>
                      </m:num>
                      <m:den>
                        <m:r>
                          <w:rPr>
                            <w:rFonts w:ascii="Cambria Math" w:hAnsi="Cambria Math"/>
                          </w:rPr>
                          <m:t>σ</m:t>
                        </m:r>
                      </m:den>
                    </m:f>
                  </m:e>
                </m:d>
                <m:r>
                  <m:rPr>
                    <m:sty m:val="p"/>
                  </m:rPr>
                  <w:rPr>
                    <w:rFonts w:ascii="Cambria Math" w:hAnsi="Cambria Math"/>
                  </w:rPr>
                  <m:t>≡</m:t>
                </m:r>
                <m:nary>
                  <m:naryPr>
                    <m:limLoc m:val="subSup"/>
                    <m:ctrlPr>
                      <w:rPr>
                        <w:rFonts w:ascii="Cambria Math" w:hAnsi="Cambria Math"/>
                        <w:i/>
                      </w:rPr>
                    </m:ctrlPr>
                  </m:naryPr>
                  <m:sub>
                    <m:r>
                      <w:rPr>
                        <w:rFonts w:ascii="Cambria Math" w:hAnsi="Cambria Math"/>
                      </w:rPr>
                      <m:t>-∞</m:t>
                    </m:r>
                  </m:sub>
                  <m:sup>
                    <m:f>
                      <m:fPr>
                        <m:ctrlPr>
                          <w:rPr>
                            <w:rFonts w:ascii="Cambria Math" w:hAnsi="Cambria Math"/>
                            <w:i/>
                          </w:rPr>
                        </m:ctrlPr>
                      </m:fPr>
                      <m:num>
                        <m:r>
                          <w:rPr>
                            <w:rFonts w:ascii="Cambria Math" w:hAnsi="Cambria Math"/>
                          </w:rPr>
                          <m:t>Z-μ</m:t>
                        </m:r>
                      </m:num>
                      <m:den>
                        <m:r>
                          <w:rPr>
                            <w:rFonts w:ascii="Cambria Math" w:hAnsi="Cambria Math"/>
                          </w:rPr>
                          <m:t>σ</m:t>
                        </m:r>
                      </m:den>
                    </m:f>
                  </m:sup>
                  <m:e>
                    <m:r>
                      <w:rPr>
                        <w:rFonts w:ascii="Cambria Math" w:hAnsi="Cambria Math"/>
                      </w:rPr>
                      <m:t>ϕ</m:t>
                    </m:r>
                    <m:d>
                      <m:dPr>
                        <m:ctrlPr>
                          <w:rPr>
                            <w:rFonts w:ascii="Cambria Math" w:hAnsi="Cambria Math"/>
                            <w:i/>
                          </w:rPr>
                        </m:ctrlPr>
                      </m:dPr>
                      <m:e>
                        <m:r>
                          <w:rPr>
                            <w:rFonts w:ascii="Cambria Math" w:hAnsi="Cambria Math"/>
                          </w:rPr>
                          <m:t>X</m:t>
                        </m:r>
                      </m:e>
                    </m:d>
                    <m:r>
                      <w:rPr>
                        <w:rFonts w:ascii="Cambria Math" w:hAnsi="Cambria Math"/>
                      </w:rPr>
                      <m:t>d</m:t>
                    </m:r>
                    <m:r>
                      <w:rPr>
                        <w:rFonts w:ascii="Cambria Math" w:hAnsi="Cambria Math"/>
                      </w:rPr>
                      <m:t>X</m:t>
                    </m:r>
                  </m:e>
                </m:nary>
                <m:r>
                  <w:rPr>
                    <w:rFonts w:ascii="Cambria Math" w:hAnsi="Cambria Math"/>
                  </w:rPr>
                  <m:t>=</m:t>
                </m:r>
                <m:d>
                  <m:dPr>
                    <m:ctrlPr>
                      <w:rPr>
                        <w:rFonts w:ascii="Cambria Math" w:hAnsi="Cambria Math"/>
                      </w:rPr>
                    </m:ctrlPr>
                  </m:dPr>
                  <m:e>
                    <m:f>
                      <m:fPr>
                        <m:ctrlPr>
                          <w:rPr>
                            <w:rFonts w:ascii="Cambria Math" w:hAnsi="Cambria Math"/>
                            <w:i/>
                          </w:rPr>
                        </m:ctrlPr>
                      </m:fPr>
                      <m:num>
                        <m:r>
                          <w:rPr>
                            <w:rFonts w:ascii="Cambria Math" w:hAnsi="Cambria Math"/>
                          </w:rPr>
                          <m:t>1</m:t>
                        </m:r>
                      </m:num>
                      <m:den>
                        <m:r>
                          <w:rPr>
                            <w:rFonts w:ascii="Cambria Math" w:hAnsi="Cambria Math"/>
                          </w:rPr>
                          <m:t>σ</m:t>
                        </m:r>
                      </m:den>
                    </m:f>
                  </m:e>
                </m:d>
                <m:nary>
                  <m:naryPr>
                    <m:limLoc m:val="subSup"/>
                    <m:ctrlPr>
                      <w:rPr>
                        <w:rFonts w:ascii="Cambria Math" w:hAnsi="Cambria Math"/>
                        <w:i/>
                      </w:rPr>
                    </m:ctrlPr>
                  </m:naryPr>
                  <m:sub>
                    <m:r>
                      <w:rPr>
                        <w:rFonts w:ascii="Cambria Math" w:hAnsi="Cambria Math"/>
                      </w:rPr>
                      <m:t>-∞</m:t>
                    </m:r>
                  </m:sub>
                  <m:sup>
                    <m:r>
                      <w:rPr>
                        <w:rFonts w:ascii="Cambria Math" w:hAnsi="Cambria Math"/>
                      </w:rPr>
                      <m:t>Z</m:t>
                    </m:r>
                  </m:sup>
                  <m:e>
                    <m:r>
                      <w:rPr>
                        <w:rFonts w:ascii="Cambria Math" w:hAnsi="Cambria Math"/>
                      </w:rPr>
                      <m:t>ϕ</m:t>
                    </m:r>
                    <m:d>
                      <m:dPr>
                        <m:ctrlPr>
                          <w:rPr>
                            <w:rFonts w:ascii="Cambria Math" w:hAnsi="Cambria Math"/>
                          </w:rPr>
                        </m:ctrlPr>
                      </m:dPr>
                      <m:e>
                        <m:f>
                          <m:fPr>
                            <m:ctrlPr>
                              <w:rPr>
                                <w:rFonts w:ascii="Cambria Math" w:hAnsi="Cambria Math"/>
                                <w:i/>
                              </w:rPr>
                            </m:ctrlPr>
                          </m:fPr>
                          <m:num>
                            <m:r>
                              <w:rPr>
                                <w:rFonts w:ascii="Cambria Math" w:hAnsi="Cambria Math"/>
                              </w:rPr>
                              <m:t>X-μ</m:t>
                            </m:r>
                          </m:num>
                          <m:den>
                            <m:r>
                              <w:rPr>
                                <w:rFonts w:ascii="Cambria Math" w:hAnsi="Cambria Math"/>
                              </w:rPr>
                              <m:t>σ</m:t>
                            </m:r>
                          </m:den>
                        </m:f>
                      </m:e>
                    </m:d>
                    <m:r>
                      <w:rPr>
                        <w:rFonts w:ascii="Cambria Math" w:hAnsi="Cambria Math"/>
                      </w:rPr>
                      <m:t>dX</m:t>
                    </m:r>
                  </m:e>
                </m:nary>
              </m:oMath>
            </m:oMathPara>
          </w:p>
        </w:tc>
        <w:tc>
          <w:tcPr>
            <w:tcW w:w="720" w:type="dxa"/>
            <w:shd w:val="clear" w:color="auto" w:fill="auto"/>
            <w:vAlign w:val="center"/>
          </w:tcPr>
          <w:p w:rsidR="00AC2C87" w:rsidRDefault="009B6816" w:rsidP="00C61D1E">
            <w:pPr>
              <w:pStyle w:val="EquationNumberStyle"/>
            </w:pPr>
            <w:r>
              <w:fldChar w:fldCharType="begin"/>
            </w:r>
            <w:r w:rsidR="00AC2C87">
              <w:instrText xml:space="preserve"> MACROBUTTON NumberReference \* MERGEFORMAT (</w:instrText>
            </w:r>
            <w:fldSimple w:instr=" SEQ EqnChapter \c \* Arabic \* MERGEFORMAT ">
              <w:r w:rsidR="005B6C27">
                <w:rPr>
                  <w:noProof/>
                </w:rPr>
                <w:instrText>3</w:instrText>
              </w:r>
            </w:fldSimple>
            <w:r w:rsidR="00AC2C87">
              <w:instrText>.</w:instrText>
            </w:r>
            <w:fldSimple w:instr=" SEQ EquationNumber \n \* Arabic \* MERGEFORMAT ">
              <w:r w:rsidR="005B6C27">
                <w:rPr>
                  <w:noProof/>
                </w:rPr>
                <w:instrText>10</w:instrText>
              </w:r>
            </w:fldSimple>
            <w:r w:rsidR="00AC2C87">
              <w:instrText>)</w:instrText>
            </w:r>
            <w:r>
              <w:fldChar w:fldCharType="end"/>
            </w:r>
          </w:p>
        </w:tc>
      </w:tr>
    </w:tbl>
    <w:p w:rsidR="001426C6" w:rsidRDefault="00AC2C87" w:rsidP="00AC2C87">
      <w:pPr>
        <w:numPr>
          <w:ilvl w:val="12"/>
          <w:numId w:val="0"/>
        </w:numPr>
        <w:spacing w:line="480" w:lineRule="auto"/>
      </w:pPr>
      <w:proofErr w:type="gramStart"/>
      <w:r>
        <w:t>then</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D76BE5" w:rsidTr="00D76BE5">
        <w:tc>
          <w:tcPr>
            <w:tcW w:w="7920" w:type="dxa"/>
            <w:shd w:val="clear" w:color="auto" w:fill="auto"/>
            <w:vAlign w:val="center"/>
          </w:tcPr>
          <w:p w:rsidR="00D76BE5" w:rsidRDefault="009B6816" w:rsidP="00D76BE5">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Z</m:t>
                    </m:r>
                  </m:e>
                </m:d>
                <m:r>
                  <w:rPr>
                    <w:rFonts w:ascii="Cambria Math" w:hAnsi="Cambria Math"/>
                  </w:rPr>
                  <m:t>=1-</m:t>
                </m:r>
                <m:r>
                  <m:rPr>
                    <m:sty m:val="p"/>
                  </m:rPr>
                  <w:rPr>
                    <w:rFonts w:ascii="Cambria Math" w:hAnsi="Cambria Math"/>
                  </w:rPr>
                  <m:t>Φ</m:t>
                </m:r>
                <m:r>
                  <w:rPr>
                    <w:rFonts w:ascii="Cambria Math" w:hAnsi="Cambria Math"/>
                  </w:rPr>
                  <m:t>(Z)</m:t>
                </m:r>
              </m:oMath>
            </m:oMathPara>
          </w:p>
        </w:tc>
        <w:tc>
          <w:tcPr>
            <w:tcW w:w="720" w:type="dxa"/>
            <w:shd w:val="clear" w:color="auto" w:fill="auto"/>
            <w:vAlign w:val="center"/>
          </w:tcPr>
          <w:p w:rsidR="00D76BE5" w:rsidRDefault="009B6816" w:rsidP="00D76BE5">
            <w:pPr>
              <w:pStyle w:val="EquationNumberStyle"/>
            </w:pPr>
            <w:r>
              <w:fldChar w:fldCharType="begin"/>
            </w:r>
            <w:r w:rsidR="00D76BE5">
              <w:instrText xml:space="preserve"> MACROBUTTON NumberReference \* MERGEFORMAT (</w:instrText>
            </w:r>
            <w:fldSimple w:instr=" SEQ EqnChapter \c \* Arabic \* MERGEFORMAT ">
              <w:r w:rsidR="005B6C27">
                <w:rPr>
                  <w:noProof/>
                </w:rPr>
                <w:instrText>3</w:instrText>
              </w:r>
            </w:fldSimple>
            <w:r w:rsidR="00D76BE5">
              <w:instrText>.</w:instrText>
            </w:r>
            <w:fldSimple w:instr=" SEQ EquationNumber \n \* Arabic \* MERGEFORMAT ">
              <w:r w:rsidR="005B6C27">
                <w:rPr>
                  <w:noProof/>
                </w:rPr>
                <w:instrText>11</w:instrText>
              </w:r>
            </w:fldSimple>
            <w:r w:rsidR="00D76BE5">
              <w:instrText>)</w:instrText>
            </w:r>
            <w:r>
              <w:fldChar w:fldCharType="end"/>
            </w:r>
          </w:p>
        </w:tc>
      </w:tr>
      <w:tr w:rsidR="00D76BE5" w:rsidTr="00D76BE5">
        <w:tc>
          <w:tcPr>
            <w:tcW w:w="7920" w:type="dxa"/>
            <w:shd w:val="clear" w:color="auto" w:fill="auto"/>
            <w:vAlign w:val="center"/>
          </w:tcPr>
          <w:p w:rsidR="00D76BE5" w:rsidRDefault="009B6816" w:rsidP="00D76BE5">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Z</m:t>
                    </m:r>
                  </m:e>
                </m:d>
                <m:r>
                  <w:rPr>
                    <w:rFonts w:ascii="Cambria Math" w:hAnsi="Cambria Math"/>
                  </w:rPr>
                  <m:t>=1-</m:t>
                </m:r>
                <m:r>
                  <m:rPr>
                    <m:sty m:val="p"/>
                  </m:rPr>
                  <w:rPr>
                    <w:rFonts w:ascii="Cambria Math" w:hAnsi="Cambria Math"/>
                  </w:rPr>
                  <m:t>Φ</m:t>
                </m:r>
                <m:r>
                  <w:rPr>
                    <w:rFonts w:ascii="Cambria Math" w:hAnsi="Cambria Math"/>
                  </w:rPr>
                  <m:t>(Z)</m:t>
                </m:r>
                <m:r>
                  <m:rPr>
                    <m:sty m:val="p"/>
                  </m:rPr>
                  <w:rPr>
                    <w:rFonts w:ascii="Cambria Math" w:hAnsi="Cambria Math"/>
                  </w:rPr>
                  <m:t>Φ</m:t>
                </m:r>
                <m:d>
                  <m:dPr>
                    <m:ctrlPr>
                      <w:rPr>
                        <w:rFonts w:ascii="Cambria Math" w:hAnsi="Cambria Math"/>
                      </w:rPr>
                    </m:ctrlPr>
                  </m:dPr>
                  <m:e>
                    <m:f>
                      <m:fPr>
                        <m:ctrlPr>
                          <w:rPr>
                            <w:rFonts w:ascii="Cambria Math" w:hAnsi="Cambria Math"/>
                            <w:i/>
                          </w:rPr>
                        </m:ctrlPr>
                      </m:fPr>
                      <m:num>
                        <m:r>
                          <w:rPr>
                            <w:rFonts w:ascii="Cambria Math" w:hAnsi="Cambria Math"/>
                          </w:rPr>
                          <m:t>Z-μ</m:t>
                        </m:r>
                      </m:num>
                      <m:den>
                        <m:r>
                          <w:rPr>
                            <w:rFonts w:ascii="Cambria Math" w:hAnsi="Cambria Math"/>
                          </w:rPr>
                          <m:t>σ</m:t>
                        </m:r>
                      </m:den>
                    </m:f>
                  </m:e>
                </m:d>
              </m:oMath>
            </m:oMathPara>
          </w:p>
        </w:tc>
        <w:tc>
          <w:tcPr>
            <w:tcW w:w="720" w:type="dxa"/>
            <w:shd w:val="clear" w:color="auto" w:fill="auto"/>
            <w:vAlign w:val="center"/>
          </w:tcPr>
          <w:p w:rsidR="00D76BE5" w:rsidRDefault="009B6816" w:rsidP="00D76BE5">
            <w:pPr>
              <w:pStyle w:val="EquationNumberStyle"/>
            </w:pPr>
            <w:r>
              <w:fldChar w:fldCharType="begin"/>
            </w:r>
            <w:r w:rsidR="00D76BE5">
              <w:instrText xml:space="preserve"> MACROBUTTON NumberReference \* MERGEFORMAT (</w:instrText>
            </w:r>
            <w:fldSimple w:instr=" SEQ EqnChapter \c \* Arabic \* MERGEFORMAT ">
              <w:r w:rsidR="005B6C27">
                <w:rPr>
                  <w:noProof/>
                </w:rPr>
                <w:instrText>3</w:instrText>
              </w:r>
            </w:fldSimple>
            <w:r w:rsidR="00D76BE5">
              <w:instrText>.</w:instrText>
            </w:r>
            <w:fldSimple w:instr=" SEQ EquationNumber \n \* Arabic \* MERGEFORMAT ">
              <w:r w:rsidR="005B6C27">
                <w:rPr>
                  <w:noProof/>
                </w:rPr>
                <w:instrText>12</w:instrText>
              </w:r>
            </w:fldSimple>
            <w:r w:rsidR="00D76BE5">
              <w:instrText>)</w:instrText>
            </w:r>
            <w:r>
              <w:fldChar w:fldCharType="end"/>
            </w:r>
          </w:p>
        </w:tc>
      </w:tr>
    </w:tbl>
    <w:p w:rsidR="000F684B" w:rsidRDefault="00662363" w:rsidP="00FC7DA8">
      <w:pPr>
        <w:numPr>
          <w:ilvl w:val="12"/>
          <w:numId w:val="0"/>
        </w:numPr>
        <w:spacing w:line="480" w:lineRule="auto"/>
      </w:pPr>
      <w:r>
        <w:t xml:space="preserve">These are the parametric representations for the false positive rate and true positive rate as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t xml:space="preserve"> </w:t>
      </w:r>
      <w:proofErr w:type="gramStart"/>
      <w:r>
        <w:t xml:space="preserve">and </w:t>
      </w:r>
      <m:oMath>
        <w:proofErr w:type="gramEnd"/>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respectively.  </w:t>
      </w:r>
      <w:r w:rsidR="00AC2C87">
        <w:t>T</w:t>
      </w:r>
      <w:r w:rsidR="000F684B">
        <w:t xml:space="preserve">his model yields a direct calculation of localization accuracy using the two parameters.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D76BE5" w:rsidTr="00D76BE5">
        <w:tc>
          <w:tcPr>
            <w:tcW w:w="7920" w:type="dxa"/>
            <w:shd w:val="clear" w:color="auto" w:fill="auto"/>
            <w:vAlign w:val="center"/>
          </w:tcPr>
          <w:p w:rsidR="00D76BE5" w:rsidRDefault="009B6816" w:rsidP="00D76BE5">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P</m:t>
                    </m:r>
                  </m:e>
                  <m:sub>
                    <m:r>
                      <w:rPr>
                        <w:rFonts w:ascii="Cambria Math" w:hAnsi="Cambria Math"/>
                      </w:rPr>
                      <m:t>CL</m:t>
                    </m:r>
                  </m:sub>
                </m:sSub>
                <m:d>
                  <m:dPr>
                    <m:ctrlPr>
                      <w:rPr>
                        <w:rFonts w:ascii="Cambria Math" w:hAnsi="Cambria Math"/>
                        <w:i/>
                      </w:rPr>
                    </m:ctrlPr>
                  </m:dPr>
                  <m:e>
                    <m:r>
                      <w:rPr>
                        <w:rFonts w:ascii="Cambria Math" w:hAnsi="Cambria Math"/>
                      </w:rPr>
                      <m:t>Z</m:t>
                    </m:r>
                  </m:e>
                </m:d>
                <m:r>
                  <w:rPr>
                    <w:rFonts w:ascii="Cambria Math" w:hAnsi="Cambria Math"/>
                  </w:rPr>
                  <m:t>=</m:t>
                </m:r>
                <m:d>
                  <m:dPr>
                    <m:ctrlPr>
                      <w:rPr>
                        <w:rFonts w:ascii="Cambria Math" w:hAnsi="Cambria Math"/>
                      </w:rPr>
                    </m:ctrlPr>
                  </m:dPr>
                  <m:e>
                    <m:f>
                      <m:fPr>
                        <m:ctrlPr>
                          <w:rPr>
                            <w:rFonts w:ascii="Cambria Math" w:hAnsi="Cambria Math"/>
                            <w:i/>
                          </w:rPr>
                        </m:ctrlPr>
                      </m:fPr>
                      <m:num>
                        <m:r>
                          <w:rPr>
                            <w:rFonts w:ascii="Cambria Math" w:hAnsi="Cambria Math"/>
                          </w:rPr>
                          <m:t>1</m:t>
                        </m:r>
                      </m:num>
                      <m:den>
                        <m:r>
                          <w:rPr>
                            <w:rFonts w:ascii="Cambria Math" w:hAnsi="Cambria Math"/>
                          </w:rPr>
                          <m:t>σ</m:t>
                        </m:r>
                      </m:den>
                    </m:f>
                  </m:e>
                </m:d>
                <m:nary>
                  <m:naryPr>
                    <m:limLoc m:val="subSup"/>
                    <m:ctrlPr>
                      <w:rPr>
                        <w:rFonts w:ascii="Cambria Math" w:hAnsi="Cambria Math"/>
                        <w:i/>
                      </w:rPr>
                    </m:ctrlPr>
                  </m:naryPr>
                  <m:sub>
                    <m:r>
                      <w:rPr>
                        <w:rFonts w:ascii="Cambria Math" w:hAnsi="Cambria Math"/>
                      </w:rPr>
                      <m:t>Z</m:t>
                    </m:r>
                  </m:sub>
                  <m:sup>
                    <m:r>
                      <w:rPr>
                        <w:rFonts w:ascii="Cambria Math" w:hAnsi="Cambria Math"/>
                      </w:rPr>
                      <m:t>∞</m:t>
                    </m:r>
                  </m:sup>
                  <m:e>
                    <m:r>
                      <w:rPr>
                        <w:rFonts w:ascii="Cambria Math" w:hAnsi="Cambria Math"/>
                      </w:rPr>
                      <m:t>ϕ</m:t>
                    </m:r>
                    <m:d>
                      <m:dPr>
                        <m:ctrlPr>
                          <w:rPr>
                            <w:rFonts w:ascii="Cambria Math" w:hAnsi="Cambria Math"/>
                          </w:rPr>
                        </m:ctrlPr>
                      </m:dPr>
                      <m:e>
                        <m:f>
                          <m:fPr>
                            <m:ctrlPr>
                              <w:rPr>
                                <w:rFonts w:ascii="Cambria Math" w:hAnsi="Cambria Math"/>
                                <w:i/>
                              </w:rPr>
                            </m:ctrlPr>
                          </m:fPr>
                          <m:num>
                            <m:r>
                              <w:rPr>
                                <w:rFonts w:ascii="Cambria Math" w:hAnsi="Cambria Math"/>
                              </w:rPr>
                              <m:t>X-μ</m:t>
                            </m:r>
                          </m:num>
                          <m:den>
                            <m:r>
                              <w:rPr>
                                <w:rFonts w:ascii="Cambria Math" w:hAnsi="Cambria Math"/>
                              </w:rPr>
                              <m:t>σ</m:t>
                            </m:r>
                          </m:den>
                        </m:f>
                      </m:e>
                    </m:d>
                    <m:r>
                      <m:rPr>
                        <m:sty m:val="p"/>
                      </m:rPr>
                      <w:rPr>
                        <w:rFonts w:ascii="Cambria Math" w:hAnsi="Cambria Math"/>
                      </w:rPr>
                      <m:t>Φ</m:t>
                    </m:r>
                    <m:d>
                      <m:dPr>
                        <m:ctrlPr>
                          <w:rPr>
                            <w:rFonts w:ascii="Cambria Math" w:hAnsi="Cambria Math"/>
                            <w:i/>
                          </w:rPr>
                        </m:ctrlPr>
                      </m:dPr>
                      <m:e>
                        <m:r>
                          <w:rPr>
                            <w:rFonts w:ascii="Cambria Math" w:hAnsi="Cambria Math"/>
                          </w:rPr>
                          <m:t>X</m:t>
                        </m:r>
                      </m:e>
                    </m:d>
                    <m:r>
                      <w:rPr>
                        <w:rFonts w:ascii="Cambria Math" w:hAnsi="Cambria Math"/>
                      </w:rPr>
                      <m:t>dX</m:t>
                    </m:r>
                  </m:e>
                </m:nary>
              </m:oMath>
            </m:oMathPara>
          </w:p>
        </w:tc>
        <w:tc>
          <w:tcPr>
            <w:tcW w:w="720" w:type="dxa"/>
            <w:shd w:val="clear" w:color="auto" w:fill="auto"/>
            <w:vAlign w:val="center"/>
          </w:tcPr>
          <w:p w:rsidR="00D76BE5" w:rsidRDefault="009B6816" w:rsidP="00D76BE5">
            <w:pPr>
              <w:pStyle w:val="EquationNumberStyle"/>
            </w:pPr>
            <w:r>
              <w:fldChar w:fldCharType="begin"/>
            </w:r>
            <w:r w:rsidR="00D76BE5">
              <w:instrText xml:space="preserve"> MACROBUTTON NumberReference \* MERGEFORMAT (</w:instrText>
            </w:r>
            <w:fldSimple w:instr=" SEQ EqnChapter \c \* Arabic \* MERGEFORMAT ">
              <w:r w:rsidR="005B6C27">
                <w:rPr>
                  <w:noProof/>
                </w:rPr>
                <w:instrText>3</w:instrText>
              </w:r>
            </w:fldSimple>
            <w:r w:rsidR="00D76BE5">
              <w:instrText>.</w:instrText>
            </w:r>
            <w:fldSimple w:instr=" SEQ EquationNumber \n \* Arabic \* MERGEFORMAT ">
              <w:r w:rsidR="005B6C27">
                <w:rPr>
                  <w:noProof/>
                </w:rPr>
                <w:instrText>13</w:instrText>
              </w:r>
            </w:fldSimple>
            <w:r w:rsidR="00D76BE5">
              <w:instrText>)</w:instrText>
            </w:r>
            <w:r>
              <w:fldChar w:fldCharType="end"/>
            </w:r>
          </w:p>
        </w:tc>
      </w:tr>
    </w:tbl>
    <w:p w:rsidR="008E29E7" w:rsidRDefault="005903B2" w:rsidP="00687902">
      <w:pPr>
        <w:numPr>
          <w:ilvl w:val="12"/>
          <w:numId w:val="0"/>
        </w:numPr>
        <w:spacing w:line="480" w:lineRule="auto"/>
      </w:pPr>
      <w:r>
        <w:t xml:space="preserve">The estimation of all curves under </w:t>
      </w:r>
      <w:proofErr w:type="spellStart"/>
      <w:r w:rsidR="00DC061A">
        <w:t>Swensson’s</w:t>
      </w:r>
      <w:proofErr w:type="spellEnd"/>
      <w:r w:rsidR="00DC061A">
        <w:t xml:space="preserve"> </w:t>
      </w:r>
      <w:r w:rsidR="008E29E7">
        <w:t>approach</w:t>
      </w:r>
      <w:r w:rsidR="00DC061A">
        <w:t xml:space="preserve"> </w:t>
      </w:r>
      <w:r>
        <w:t>defines</w:t>
      </w:r>
      <w:r w:rsidR="008E29E7">
        <w:t xml:space="preserve"> the likelihood function given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60711" w:rsidTr="00260711">
        <w:tc>
          <w:tcPr>
            <w:tcW w:w="7920" w:type="dxa"/>
            <w:shd w:val="clear" w:color="auto" w:fill="auto"/>
            <w:vAlign w:val="center"/>
          </w:tcPr>
          <w:p w:rsidR="00260711" w:rsidRDefault="009B6816" w:rsidP="00260711">
            <w:pPr>
              <w:numPr>
                <w:ilvl w:val="12"/>
                <w:numId w:val="0"/>
              </w:numPr>
              <w:spacing w:line="480" w:lineRule="auto"/>
              <w:ind w:firstLine="720"/>
            </w:pPr>
            <m:oMathPara>
              <m:oMathParaPr>
                <m:jc m:val="left"/>
              </m:oMathParaP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L</m:t>
                        </m:r>
                      </m:e>
                    </m:d>
                  </m:e>
                </m:func>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nary>
                  <m:naryPr>
                    <m:chr m:val="∑"/>
                    <m:limLoc m:val="undOvr"/>
                    <m:ctrlPr>
                      <w:rPr>
                        <w:rFonts w:ascii="Cambria Math" w:hAnsi="Cambria Math"/>
                        <w:i/>
                      </w:rPr>
                    </m:ctrlPr>
                  </m:naryPr>
                  <m:sub>
                    <m:r>
                      <w:rPr>
                        <w:rFonts w:ascii="Cambria Math" w:hAnsi="Cambria Math"/>
                      </w:rPr>
                      <m:t>j=0</m:t>
                    </m:r>
                  </m:sub>
                  <m:sup>
                    <m:r>
                      <w:rPr>
                        <w:rFonts w:ascii="Cambria Math" w:hAnsi="Cambria Math"/>
                      </w:rPr>
                      <m:t>C-1</m:t>
                    </m:r>
                  </m:sup>
                  <m:e>
                    <m:sSub>
                      <m:sSubPr>
                        <m:ctrlPr>
                          <w:rPr>
                            <w:rFonts w:ascii="Cambria Math" w:hAnsi="Cambria Math"/>
                            <w:i/>
                          </w:rPr>
                        </m:ctrlPr>
                      </m:sSubPr>
                      <m:e>
                        <m:r>
                          <w:rPr>
                            <w:rFonts w:ascii="Cambria Math" w:hAnsi="Cambria Math"/>
                          </w:rPr>
                          <m:t>p</m:t>
                        </m:r>
                      </m:e>
                      <m:sub>
                        <m:r>
                          <w:rPr>
                            <w:rFonts w:ascii="Cambria Math" w:hAnsi="Cambria Math"/>
                          </w:rPr>
                          <m:t>0,j</m:t>
                        </m:r>
                      </m:sub>
                    </m:sSub>
                  </m:e>
                </m:nary>
                <m:func>
                  <m:funcPr>
                    <m:ctrlPr>
                      <w:rPr>
                        <w:rFonts w:ascii="Cambria Math" w:hAnsi="Cambria Math"/>
                        <w:i/>
                      </w:rPr>
                    </m:ctrlPr>
                  </m:funcPr>
                  <m:fName>
                    <m:r>
                      <m:rPr>
                        <m:sty m:val="p"/>
                      </m:rPr>
                      <w:rPr>
                        <w:rFonts w:ascii="Cambria Math" w:hAnsi="Cambria Math"/>
                      </w:rPr>
                      <m:t>ln</m:t>
                    </m:r>
                  </m:fName>
                  <m:e>
                    <m:d>
                      <m:dPr>
                        <m:begChr m:val="["/>
                        <m:endChr m:val="]"/>
                        <m:ctrlPr>
                          <w:rPr>
                            <w:rFonts w:ascii="Cambria Math" w:hAnsi="Cambria Math"/>
                            <w:i/>
                          </w:rPr>
                        </m:ctrlPr>
                      </m:dPr>
                      <m:e>
                        <m:r>
                          <m:rPr>
                            <m:sty m:val="p"/>
                          </m:rP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j+1</m:t>
                                </m:r>
                              </m:sub>
                            </m:sSub>
                          </m:e>
                        </m:d>
                        <m:r>
                          <w:rPr>
                            <w:rFonts w:ascii="Cambria Math" w:hAnsi="Cambria Math"/>
                          </w:rPr>
                          <m:t>-</m:t>
                        </m:r>
                        <m:r>
                          <m:rPr>
                            <m:sty m:val="p"/>
                          </m:rP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j</m:t>
                                </m:r>
                              </m:sub>
                            </m:sSub>
                          </m:e>
                        </m:d>
                      </m:e>
                    </m:d>
                  </m:e>
                </m:func>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nary>
                  <m:naryPr>
                    <m:chr m:val="∑"/>
                    <m:limLoc m:val="undOvr"/>
                    <m:ctrlPr>
                      <w:rPr>
                        <w:rFonts w:ascii="Cambria Math" w:hAnsi="Cambria Math"/>
                        <w:i/>
                      </w:rPr>
                    </m:ctrlPr>
                  </m:naryPr>
                  <m:sub>
                    <m:r>
                      <w:rPr>
                        <w:rFonts w:ascii="Cambria Math" w:hAnsi="Cambria Math"/>
                      </w:rPr>
                      <m:t>j=0</m:t>
                    </m:r>
                  </m:sub>
                  <m:sup>
                    <m:r>
                      <w:rPr>
                        <w:rFonts w:ascii="Cambria Math" w:hAnsi="Cambria Math"/>
                      </w:rPr>
                      <m:t>C-1</m:t>
                    </m:r>
                  </m:sup>
                  <m:e>
                    <m:d>
                      <m:dPr>
                        <m:ctrlPr>
                          <w:rPr>
                            <w:rFonts w:ascii="Cambria Math" w:hAnsi="Cambria Math"/>
                            <w:i/>
                          </w:rPr>
                        </m:ctrlPr>
                      </m:dPr>
                      <m:e>
                        <m:f>
                          <m:fPr>
                            <m:type m:val="noBar"/>
                            <m:ctrlPr>
                              <w:rPr>
                                <w:rFonts w:ascii="Cambria Math" w:hAnsi="Cambria Math"/>
                                <w:i/>
                              </w:rPr>
                            </m:ctrlPr>
                          </m:fPr>
                          <m:num>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1,j</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σ</m:t>
                                    </m:r>
                                  </m:den>
                                </m:f>
                              </m:e>
                            </m:d>
                            <m:r>
                              <m:rPr>
                                <m:sty m:val="p"/>
                              </m:rPr>
                              <w:rPr>
                                <w:rFonts w:ascii="Cambria Math" w:hAnsi="Cambria Math"/>
                              </w:rPr>
                              <m:t>ln</m:t>
                            </m:r>
                            <m:d>
                              <m:dPr>
                                <m:begChr m:val="{"/>
                                <m:endChr m:val="}"/>
                                <m:ctrlPr>
                                  <w:rPr>
                                    <w:rFonts w:ascii="Cambria Math" w:hAnsi="Cambria Math"/>
                                  </w:rPr>
                                </m:ctrlPr>
                              </m:dPr>
                              <m:e>
                                <m:nary>
                                  <m:naryPr>
                                    <m:limLoc m:val="subSup"/>
                                    <m:ctrlPr>
                                      <w:rPr>
                                        <w:rFonts w:ascii="Cambria Math" w:hAnsi="Cambria Math"/>
                                      </w:rPr>
                                    </m:ctrlPr>
                                  </m:naryPr>
                                  <m:sub>
                                    <m:sSub>
                                      <m:sSubPr>
                                        <m:ctrlPr>
                                          <w:rPr>
                                            <w:rFonts w:ascii="Cambria Math" w:hAnsi="Cambria Math"/>
                                          </w:rPr>
                                        </m:ctrlPr>
                                      </m:sSubPr>
                                      <m:e>
                                        <m:r>
                                          <m:rPr>
                                            <m:sty m:val="p"/>
                                          </m:rPr>
                                          <w:rPr>
                                            <w:rFonts w:ascii="Cambria Math" w:hAnsi="Cambria Math"/>
                                          </w:rPr>
                                          <m:t>Z</m:t>
                                        </m:r>
                                      </m:e>
                                      <m:sub>
                                        <m:r>
                                          <m:rPr>
                                            <m:sty m:val="p"/>
                                          </m:rPr>
                                          <w:rPr>
                                            <w:rFonts w:ascii="Cambria Math" w:hAnsi="Cambria Math"/>
                                          </w:rPr>
                                          <m:t>j</m:t>
                                        </m:r>
                                      </m:sub>
                                    </m:sSub>
                                  </m:sub>
                                  <m:sup>
                                    <m:sSub>
                                      <m:sSubPr>
                                        <m:ctrlPr>
                                          <w:rPr>
                                            <w:rFonts w:ascii="Cambria Math" w:hAnsi="Cambria Math"/>
                                          </w:rPr>
                                        </m:ctrlPr>
                                      </m:sSubPr>
                                      <m:e>
                                        <m:r>
                                          <m:rPr>
                                            <m:sty m:val="p"/>
                                          </m:rPr>
                                          <w:rPr>
                                            <w:rFonts w:ascii="Cambria Math" w:hAnsi="Cambria Math"/>
                                          </w:rPr>
                                          <m:t>Z</m:t>
                                        </m:r>
                                      </m:e>
                                      <m:sub>
                                        <m:r>
                                          <m:rPr>
                                            <m:sty m:val="p"/>
                                          </m:rPr>
                                          <w:rPr>
                                            <w:rFonts w:ascii="Cambria Math" w:hAnsi="Cambria Math"/>
                                          </w:rPr>
                                          <m:t>j+1</m:t>
                                        </m:r>
                                      </m:sub>
                                    </m:sSub>
                                  </m:sup>
                                  <m:e>
                                    <m:r>
                                      <m:rPr>
                                        <m:sty m:val="p"/>
                                      </m:rPr>
                                      <w:rPr>
                                        <w:rFonts w:ascii="Cambria Math" w:hAnsi="Cambria Math"/>
                                      </w:rPr>
                                      <m:t>ϕ</m:t>
                                    </m:r>
                                    <m:d>
                                      <m:dPr>
                                        <m:ctrlPr>
                                          <w:rPr>
                                            <w:rFonts w:ascii="Cambria Math" w:hAnsi="Cambria Math"/>
                                          </w:rPr>
                                        </m:ctrlPr>
                                      </m:dPr>
                                      <m:e>
                                        <m:f>
                                          <m:fPr>
                                            <m:ctrlPr>
                                              <w:rPr>
                                                <w:rFonts w:ascii="Cambria Math" w:hAnsi="Cambria Math"/>
                                              </w:rPr>
                                            </m:ctrlPr>
                                          </m:fPr>
                                          <m:num>
                                            <m:d>
                                              <m:dPr>
                                                <m:begChr m:val="["/>
                                                <m:endChr m:val="]"/>
                                                <m:ctrlPr>
                                                  <w:rPr>
                                                    <w:rFonts w:ascii="Cambria Math" w:hAnsi="Cambria Math"/>
                                                  </w:rPr>
                                                </m:ctrlPr>
                                              </m:dPr>
                                              <m:e>
                                                <m:r>
                                                  <m:rPr>
                                                    <m:sty m:val="p"/>
                                                  </m:rPr>
                                                  <w:rPr>
                                                    <w:rFonts w:ascii="Cambria Math" w:hAnsi="Cambria Math"/>
                                                  </w:rPr>
                                                  <m:t>X-μ</m:t>
                                                </m:r>
                                              </m:e>
                                            </m:d>
                                          </m:num>
                                          <m:den>
                                            <m:r>
                                              <m:rPr>
                                                <m:sty m:val="p"/>
                                              </m:rPr>
                                              <w:rPr>
                                                <w:rFonts w:ascii="Cambria Math" w:hAnsi="Cambria Math"/>
                                              </w:rPr>
                                              <m:t>σ</m:t>
                                            </m:r>
                                          </m:den>
                                        </m:f>
                                      </m:e>
                                    </m:d>
                                  </m:e>
                                </m:nary>
                                <m:r>
                                  <m:rPr>
                                    <m:sty m:val="p"/>
                                  </m:rPr>
                                  <w:rPr>
                                    <w:rFonts w:ascii="Cambria Math" w:hAnsi="Cambria Math"/>
                                  </w:rPr>
                                  <m:t>Φ</m:t>
                                </m:r>
                                <m:d>
                                  <m:dPr>
                                    <m:ctrlPr>
                                      <w:rPr>
                                        <w:rFonts w:ascii="Cambria Math" w:hAnsi="Cambria Math"/>
                                      </w:rPr>
                                    </m:ctrlPr>
                                  </m:dPr>
                                  <m:e>
                                    <m:r>
                                      <m:rPr>
                                        <m:sty m:val="p"/>
                                      </m:rPr>
                                      <w:rPr>
                                        <w:rFonts w:ascii="Cambria Math" w:hAnsi="Cambria Math"/>
                                      </w:rPr>
                                      <m:t>X</m:t>
                                    </m:r>
                                  </m:e>
                                </m:d>
                                <m:box>
                                  <m:boxPr>
                                    <m:diff m:val="on"/>
                                    <m:ctrlPr>
                                      <w:rPr>
                                        <w:rFonts w:ascii="Cambria Math" w:hAnsi="Cambria Math"/>
                                      </w:rPr>
                                    </m:ctrlPr>
                                  </m:boxPr>
                                  <m:e>
                                    <m:r>
                                      <m:rPr>
                                        <m:sty m:val="p"/>
                                      </m:rPr>
                                      <w:rPr>
                                        <w:rFonts w:ascii="Cambria Math" w:hAnsi="Cambria Math"/>
                                      </w:rPr>
                                      <m:t>dX</m:t>
                                    </m:r>
                                  </m:e>
                                </m:box>
                              </m:e>
                            </m:d>
                          </m:num>
                          <m:den>
                            <m:r>
                              <m:rPr>
                                <m:sty m:val="p"/>
                              </m:rPr>
                              <w:rPr>
                                <w:rFonts w:ascii="Cambria Math" w:hAnsi="Cambria Math"/>
                              </w:rPr>
                              <m:t>+</m:t>
                            </m:r>
                            <m:r>
                              <w:rPr>
                                <w:rFonts w:ascii="Cambria Math" w:hAnsi="Cambria Math"/>
                              </w:rPr>
                              <m:t>i</m:t>
                            </m:r>
                            <m:sSub>
                              <m:sSubPr>
                                <m:ctrlPr>
                                  <w:rPr>
                                    <w:rFonts w:ascii="Cambria Math" w:hAnsi="Cambria Math"/>
                                    <w:i/>
                                  </w:rPr>
                                </m:ctrlPr>
                              </m:sSubPr>
                              <m:e>
                                <m:r>
                                  <w:rPr>
                                    <w:rFonts w:ascii="Cambria Math" w:hAnsi="Cambria Math"/>
                                  </w:rPr>
                                  <m:t>p</m:t>
                                </m:r>
                              </m:e>
                              <m:sub>
                                <m:r>
                                  <w:rPr>
                                    <w:rFonts w:ascii="Cambria Math" w:hAnsi="Cambria Math"/>
                                  </w:rPr>
                                  <m:t>1,j</m:t>
                                </m:r>
                              </m:sub>
                            </m:sSub>
                            <m:r>
                              <m:rPr>
                                <m:sty m:val="p"/>
                              </m:rPr>
                              <w:rPr>
                                <w:rFonts w:ascii="Cambria Math" w:hAnsi="Cambria Math"/>
                              </w:rPr>
                              <m:t>ln</m:t>
                            </m:r>
                            <m:d>
                              <m:dPr>
                                <m:begChr m:val="{"/>
                                <m:endChr m:val="}"/>
                                <m:ctrlPr>
                                  <w:rPr>
                                    <w:rFonts w:ascii="Cambria Math" w:hAnsi="Cambria Math"/>
                                  </w:rPr>
                                </m:ctrlPr>
                              </m:dPr>
                              <m:e>
                                <m:nary>
                                  <m:naryPr>
                                    <m:limLoc m:val="subSup"/>
                                    <m:ctrlPr>
                                      <w:rPr>
                                        <w:rFonts w:ascii="Cambria Math" w:hAnsi="Cambria Math"/>
                                      </w:rPr>
                                    </m:ctrlPr>
                                  </m:naryPr>
                                  <m:sub>
                                    <m:sSub>
                                      <m:sSubPr>
                                        <m:ctrlPr>
                                          <w:rPr>
                                            <w:rFonts w:ascii="Cambria Math" w:hAnsi="Cambria Math"/>
                                          </w:rPr>
                                        </m:ctrlPr>
                                      </m:sSubPr>
                                      <m:e>
                                        <m:r>
                                          <m:rPr>
                                            <m:sty m:val="p"/>
                                          </m:rPr>
                                          <w:rPr>
                                            <w:rFonts w:ascii="Cambria Math" w:hAnsi="Cambria Math"/>
                                          </w:rPr>
                                          <m:t>Z</m:t>
                                        </m:r>
                                      </m:e>
                                      <m:sub>
                                        <m:r>
                                          <m:rPr>
                                            <m:sty m:val="p"/>
                                          </m:rPr>
                                          <w:rPr>
                                            <w:rFonts w:ascii="Cambria Math" w:hAnsi="Cambria Math"/>
                                          </w:rPr>
                                          <m:t>j</m:t>
                                        </m:r>
                                      </m:sub>
                                    </m:sSub>
                                  </m:sub>
                                  <m:sup>
                                    <m:sSub>
                                      <m:sSubPr>
                                        <m:ctrlPr>
                                          <w:rPr>
                                            <w:rFonts w:ascii="Cambria Math" w:hAnsi="Cambria Math"/>
                                          </w:rPr>
                                        </m:ctrlPr>
                                      </m:sSubPr>
                                      <m:e>
                                        <m:r>
                                          <m:rPr>
                                            <m:sty m:val="p"/>
                                          </m:rPr>
                                          <w:rPr>
                                            <w:rFonts w:ascii="Cambria Math" w:hAnsi="Cambria Math"/>
                                          </w:rPr>
                                          <m:t>Z</m:t>
                                        </m:r>
                                      </m:e>
                                      <m:sub>
                                        <m:r>
                                          <m:rPr>
                                            <m:sty m:val="p"/>
                                          </m:rPr>
                                          <w:rPr>
                                            <w:rFonts w:ascii="Cambria Math" w:hAnsi="Cambria Math"/>
                                          </w:rPr>
                                          <m:t>j+1</m:t>
                                        </m:r>
                                      </m:sub>
                                    </m:sSub>
                                  </m:sup>
                                  <m:e>
                                    <m:r>
                                      <m:rPr>
                                        <m:sty m:val="p"/>
                                      </m:rPr>
                                      <w:rPr>
                                        <w:rFonts w:ascii="Cambria Math" w:hAnsi="Cambria Math"/>
                                      </w:rPr>
                                      <m:t>ϕ</m:t>
                                    </m:r>
                                    <m:d>
                                      <m:dPr>
                                        <m:ctrlPr>
                                          <w:rPr>
                                            <w:rFonts w:ascii="Cambria Math" w:hAnsi="Cambria Math"/>
                                          </w:rPr>
                                        </m:ctrlPr>
                                      </m:dPr>
                                      <m:e>
                                        <m:r>
                                          <m:rPr>
                                            <m:sty m:val="p"/>
                                          </m:rPr>
                                          <w:rPr>
                                            <w:rFonts w:ascii="Cambria Math" w:hAnsi="Cambria Math"/>
                                          </w:rPr>
                                          <m:t>X</m:t>
                                        </m:r>
                                      </m:e>
                                    </m:d>
                                    <m:r>
                                      <m:rPr>
                                        <m:sty m:val="p"/>
                                      </m:rPr>
                                      <w:rPr>
                                        <w:rFonts w:ascii="Cambria Math" w:hAnsi="Cambria Math"/>
                                      </w:rPr>
                                      <m:t>Φ</m:t>
                                    </m:r>
                                    <m:d>
                                      <m:dPr>
                                        <m:ctrlPr>
                                          <w:rPr>
                                            <w:rFonts w:ascii="Cambria Math" w:hAnsi="Cambria Math"/>
                                          </w:rPr>
                                        </m:ctrlPr>
                                      </m:dPr>
                                      <m:e>
                                        <m:f>
                                          <m:fPr>
                                            <m:ctrlPr>
                                              <w:rPr>
                                                <w:rFonts w:ascii="Cambria Math" w:hAnsi="Cambria Math"/>
                                              </w:rPr>
                                            </m:ctrlPr>
                                          </m:fPr>
                                          <m:num>
                                            <m:d>
                                              <m:dPr>
                                                <m:begChr m:val="["/>
                                                <m:endChr m:val="]"/>
                                                <m:ctrlPr>
                                                  <w:rPr>
                                                    <w:rFonts w:ascii="Cambria Math" w:hAnsi="Cambria Math"/>
                                                  </w:rPr>
                                                </m:ctrlPr>
                                              </m:dPr>
                                              <m:e>
                                                <m:r>
                                                  <m:rPr>
                                                    <m:sty m:val="p"/>
                                                  </m:rPr>
                                                  <w:rPr>
                                                    <w:rFonts w:ascii="Cambria Math" w:hAnsi="Cambria Math"/>
                                                  </w:rPr>
                                                  <m:t>X-μ</m:t>
                                                </m:r>
                                              </m:e>
                                            </m:d>
                                          </m:num>
                                          <m:den>
                                            <m:r>
                                              <m:rPr>
                                                <m:sty m:val="p"/>
                                              </m:rPr>
                                              <w:rPr>
                                                <w:rFonts w:ascii="Cambria Math" w:hAnsi="Cambria Math"/>
                                              </w:rPr>
                                              <m:t>σ</m:t>
                                            </m:r>
                                          </m:den>
                                        </m:f>
                                      </m:e>
                                    </m:d>
                                  </m:e>
                                </m:nary>
                                <m:box>
                                  <m:boxPr>
                                    <m:diff m:val="on"/>
                                    <m:ctrlPr>
                                      <w:rPr>
                                        <w:rFonts w:ascii="Cambria Math" w:hAnsi="Cambria Math"/>
                                      </w:rPr>
                                    </m:ctrlPr>
                                  </m:boxPr>
                                  <m:e>
                                    <m:r>
                                      <m:rPr>
                                        <m:sty m:val="p"/>
                                      </m:rPr>
                                      <w:rPr>
                                        <w:rFonts w:ascii="Cambria Math" w:hAnsi="Cambria Math"/>
                                      </w:rPr>
                                      <m:t>dX</m:t>
                                    </m:r>
                                  </m:e>
                                </m:box>
                              </m:e>
                            </m:d>
                          </m:den>
                        </m:f>
                      </m:e>
                    </m:d>
                  </m:e>
                </m:nary>
              </m:oMath>
            </m:oMathPara>
          </w:p>
          <w:p w:rsidR="00260711" w:rsidRDefault="00260711" w:rsidP="00260711">
            <w:pPr>
              <w:numPr>
                <w:ilvl w:val="12"/>
                <w:numId w:val="0"/>
              </w:numPr>
              <w:spacing w:line="288" w:lineRule="auto"/>
            </w:pPr>
          </w:p>
        </w:tc>
        <w:tc>
          <w:tcPr>
            <w:tcW w:w="720" w:type="dxa"/>
            <w:shd w:val="clear" w:color="auto" w:fill="auto"/>
            <w:vAlign w:val="center"/>
          </w:tcPr>
          <w:p w:rsidR="00260711" w:rsidRDefault="009B6816" w:rsidP="00260711">
            <w:pPr>
              <w:pStyle w:val="EquationNumberStyle"/>
            </w:pPr>
            <w:r>
              <w:fldChar w:fldCharType="begin"/>
            </w:r>
            <w:r w:rsidR="00260711">
              <w:instrText xml:space="preserve"> MACROBUTTON NumberReference \* MERGEFORMAT (</w:instrText>
            </w:r>
            <w:fldSimple w:instr=" SEQ EqnChapter \c \* Arabic \* MERGEFORMAT ">
              <w:r w:rsidR="005B6C27">
                <w:rPr>
                  <w:noProof/>
                </w:rPr>
                <w:instrText>3</w:instrText>
              </w:r>
            </w:fldSimple>
            <w:r w:rsidR="00260711">
              <w:instrText>.</w:instrText>
            </w:r>
            <w:fldSimple w:instr=" SEQ EquationNumber \n \* Arabic \* MERGEFORMAT ">
              <w:r w:rsidR="005B6C27">
                <w:rPr>
                  <w:noProof/>
                </w:rPr>
                <w:instrText>14</w:instrText>
              </w:r>
            </w:fldSimple>
            <w:r w:rsidR="00260711">
              <w:instrText>)</w:instrText>
            </w:r>
            <w:r>
              <w:fldChar w:fldCharType="end"/>
            </w:r>
          </w:p>
        </w:tc>
      </w:tr>
      <w:tr w:rsidR="008E29E7" w:rsidTr="008E29E7">
        <w:tc>
          <w:tcPr>
            <w:tcW w:w="7920" w:type="dxa"/>
            <w:shd w:val="clear" w:color="auto" w:fill="auto"/>
            <w:vAlign w:val="center"/>
          </w:tcPr>
          <w:p w:rsidR="008E29E7" w:rsidRDefault="005903B2" w:rsidP="005903B2">
            <w:pPr>
              <w:numPr>
                <w:ilvl w:val="12"/>
                <w:numId w:val="0"/>
              </w:numPr>
              <w:spacing w:line="480" w:lineRule="auto"/>
            </w:pPr>
            <w:r>
              <w:t>F</w:t>
            </w:r>
            <w:r w:rsidR="000A353B">
              <w:t>or each perceptual measurement bin (rating category</w:t>
            </w:r>
            <w:proofErr w:type="gramStart"/>
            <w:r w:rsidR="000A353B">
              <w:t xml:space="preserve">) </w:t>
            </w:r>
            <m:oMath>
              <w:proofErr w:type="gramEnd"/>
              <m:r>
                <w:rPr>
                  <w:rFonts w:ascii="Cambria Math" w:hAnsi="Cambria Math"/>
                </w:rPr>
                <m:t>j</m:t>
              </m:r>
            </m:oMath>
            <w:r w:rsidR="000A353B">
              <w:t xml:space="preserve">, </w:t>
            </w:r>
            <m:oMath>
              <m:sSub>
                <m:sSubPr>
                  <m:ctrlPr>
                    <w:rPr>
                      <w:rFonts w:ascii="Cambria Math" w:hAnsi="Cambria Math"/>
                      <w:i/>
                    </w:rPr>
                  </m:ctrlPr>
                </m:sSubPr>
                <m:e>
                  <m:r>
                    <w:rPr>
                      <w:rFonts w:ascii="Cambria Math" w:hAnsi="Cambria Math"/>
                    </w:rPr>
                    <m:t>cp</m:t>
                  </m:r>
                </m:e>
                <m:sub>
                  <m:r>
                    <w:rPr>
                      <w:rFonts w:ascii="Cambria Math" w:hAnsi="Cambria Math"/>
                    </w:rPr>
                    <m:t>1,j</m:t>
                  </m:r>
                </m:sub>
              </m:sSub>
            </m:oMath>
            <w:r w:rsidR="000A353B">
              <w:t xml:space="preserve"> and </w:t>
            </w:r>
            <m:oMath>
              <m:r>
                <w:rPr>
                  <w:rFonts w:ascii="Cambria Math" w:hAnsi="Cambria Math"/>
                </w:rPr>
                <m:t>i</m:t>
              </m:r>
              <m:sSub>
                <m:sSubPr>
                  <m:ctrlPr>
                    <w:rPr>
                      <w:rFonts w:ascii="Cambria Math" w:hAnsi="Cambria Math"/>
                      <w:i/>
                    </w:rPr>
                  </m:ctrlPr>
                </m:sSubPr>
                <m:e>
                  <m:r>
                    <w:rPr>
                      <w:rFonts w:ascii="Cambria Math" w:hAnsi="Cambria Math"/>
                    </w:rPr>
                    <m:t>p</m:t>
                  </m:r>
                </m:e>
                <m:sub>
                  <m:r>
                    <w:rPr>
                      <w:rFonts w:ascii="Cambria Math" w:hAnsi="Cambria Math"/>
                    </w:rPr>
                    <m:t>1,j</m:t>
                  </m:r>
                </m:sub>
              </m:sSub>
            </m:oMath>
            <w:r w:rsidR="000A353B">
              <w:t xml:space="preserve"> are the fractions of co</w:t>
            </w:r>
            <w:proofErr w:type="spellStart"/>
            <w:r w:rsidR="000A353B">
              <w:t>rrect</w:t>
            </w:r>
            <w:proofErr w:type="spellEnd"/>
            <w:r w:rsidR="000A353B">
              <w:t xml:space="preserve"> and incorrect localizations over the total number of (target) choices, respectively, and </w:t>
            </w:r>
            <m:oMath>
              <m:sSub>
                <m:sSubPr>
                  <m:ctrlPr>
                    <w:rPr>
                      <w:rFonts w:ascii="Cambria Math" w:hAnsi="Cambria Math"/>
                      <w:i/>
                    </w:rPr>
                  </m:ctrlPr>
                </m:sSubPr>
                <m:e>
                  <m:r>
                    <w:rPr>
                      <w:rFonts w:ascii="Cambria Math" w:hAnsi="Cambria Math"/>
                    </w:rPr>
                    <m:t>p</m:t>
                  </m:r>
                </m:e>
                <m:sub>
                  <m:r>
                    <w:rPr>
                      <w:rFonts w:ascii="Cambria Math" w:hAnsi="Cambria Math"/>
                    </w:rPr>
                    <m:t xml:space="preserve">0,j </m:t>
                  </m:r>
                </m:sub>
              </m:sSub>
            </m:oMath>
            <w:r w:rsidR="000A353B">
              <w:t xml:space="preserve"> is the decision rate in the non-target class.  The method</w:t>
            </w:r>
            <w:r w:rsidR="00FC65BE">
              <w:t xml:space="preserve"> employs </w:t>
            </w:r>
            <w:proofErr w:type="gramStart"/>
            <w:r w:rsidR="00FC65BE">
              <w:t>a least-squares</w:t>
            </w:r>
            <w:proofErr w:type="gramEnd"/>
            <w:r w:rsidR="00FC65BE">
              <w:t xml:space="preserve"> fitting algorithm based on </w:t>
            </w:r>
            <w:r w:rsidR="00FC65BE" w:rsidRPr="008E29E7">
              <w:t xml:space="preserve">the </w:t>
            </w:r>
            <w:proofErr w:type="spellStart"/>
            <w:r w:rsidR="00FC65BE" w:rsidRPr="008E29E7">
              <w:t>Levenberg</w:t>
            </w:r>
            <w:proofErr w:type="spellEnd"/>
            <w:r w:rsidR="00FC65BE" w:rsidRPr="008E29E7">
              <w:t>–</w:t>
            </w:r>
            <w:r w:rsidR="00FC65BE" w:rsidRPr="008E29E7">
              <w:lastRenderedPageBreak/>
              <w:t xml:space="preserve">Marquardt </w:t>
            </w:r>
            <w:r w:rsidR="000A353B">
              <w:t>approach</w:t>
            </w:r>
            <w:r w:rsidR="00FC65BE">
              <w:t xml:space="preserve">, to </w:t>
            </w:r>
            <w:r>
              <w:t>simultaneously estimate the</w:t>
            </w:r>
            <w:r w:rsidR="00FC65BE">
              <w:t xml:space="preserve"> parameters </w:t>
            </w:r>
            <m:oMath>
              <m:r>
                <m:rPr>
                  <m:sty m:val="p"/>
                </m:rPr>
                <w:rPr>
                  <w:rFonts w:ascii="Cambria Math" w:hAnsi="Cambria Math"/>
                </w:rPr>
                <m:t>μ</m:t>
              </m:r>
            </m:oMath>
            <w:r>
              <w:t xml:space="preserve"> and </w:t>
            </w:r>
            <m:oMath>
              <m:r>
                <m:rPr>
                  <m:sty m:val="p"/>
                </m:rPr>
                <w:rPr>
                  <w:rFonts w:ascii="Cambria Math" w:hAnsi="Cambria Math"/>
                </w:rPr>
                <m:t>σ</m:t>
              </m:r>
            </m:oMath>
            <w:r>
              <w:t xml:space="preserve"> </w:t>
            </w:r>
            <w:r w:rsidR="00FC65BE">
              <w:t>which maximize th</w:t>
            </w:r>
            <w:r w:rsidR="00C06F7F">
              <w:t>is</w:t>
            </w:r>
            <w:r w:rsidR="00FC65BE">
              <w:t xml:space="preserve"> likelihood function across the </w:t>
            </w:r>
            <m:oMath>
              <m:r>
                <w:rPr>
                  <w:rFonts w:ascii="Cambria Math" w:hAnsi="Cambria Math"/>
                </w:rPr>
                <m:t>C</m:t>
              </m:r>
            </m:oMath>
            <w:r w:rsidR="00FC65BE">
              <w:t xml:space="preserve"> rating categories.</w:t>
            </w:r>
            <w:r w:rsidR="00687902">
              <w:t xml:space="preserve">  Once the two parameters are known, the ROC and LROC curves are completely specified.  </w:t>
            </w:r>
          </w:p>
        </w:tc>
        <w:tc>
          <w:tcPr>
            <w:tcW w:w="720" w:type="dxa"/>
            <w:shd w:val="clear" w:color="auto" w:fill="auto"/>
            <w:vAlign w:val="center"/>
          </w:tcPr>
          <w:p w:rsidR="008E29E7" w:rsidRDefault="008E29E7" w:rsidP="008E29E7">
            <w:pPr>
              <w:pStyle w:val="EquationNumberStyle"/>
            </w:pPr>
          </w:p>
        </w:tc>
      </w:tr>
    </w:tbl>
    <w:p w:rsidR="000A353B" w:rsidRDefault="000A353B" w:rsidP="005E4C89">
      <w:pPr>
        <w:pStyle w:val="Heading1"/>
      </w:pPr>
    </w:p>
    <w:p w:rsidR="000A353B" w:rsidRDefault="000A353B" w:rsidP="000A353B">
      <w:r>
        <w:br w:type="page"/>
      </w:r>
    </w:p>
    <w:p w:rsidR="00236E6D" w:rsidRPr="00F920F6" w:rsidRDefault="006855CA" w:rsidP="005E4C89">
      <w:pPr>
        <w:pStyle w:val="Heading1"/>
      </w:pPr>
      <w:bookmarkStart w:id="67" w:name="_Toc351890010"/>
      <w:r w:rsidRPr="00F920F6">
        <w:lastRenderedPageBreak/>
        <w:t>Chapter</w:t>
      </w:r>
      <w:r>
        <w:t xml:space="preserve"> </w:t>
      </w:r>
      <w:r w:rsidR="00B72A41">
        <w:t>4</w:t>
      </w:r>
      <w:r w:rsidR="00C95439">
        <w:t xml:space="preserve"> </w:t>
      </w:r>
      <w:r w:rsidR="00C95439">
        <w:br/>
      </w:r>
      <w:r w:rsidR="00EA7CE6">
        <w:t xml:space="preserve">Mathematical </w:t>
      </w:r>
      <w:r w:rsidR="00C87A49">
        <w:t>Observers</w:t>
      </w:r>
      <w:r w:rsidR="009B6816">
        <w:fldChar w:fldCharType="begin"/>
      </w:r>
      <w:r w:rsidR="00D76BE5">
        <w:instrText xml:space="preserve"> MACROBUTTON RemoveChapterIncreaseMark \* MERGEFORMAT </w:instrText>
      </w:r>
      <w:r w:rsidR="009B6816">
        <w:fldChar w:fldCharType="begin"/>
      </w:r>
      <w:r w:rsidR="00D76BE5">
        <w:instrText xml:space="preserve"> SEQ EqnChapter \n \h \* MERGEFORMAT </w:instrText>
      </w:r>
      <w:r w:rsidR="009B6816">
        <w:fldChar w:fldCharType="end"/>
      </w:r>
      <w:r w:rsidR="009B6816">
        <w:fldChar w:fldCharType="begin"/>
      </w:r>
      <w:r w:rsidR="00D76BE5">
        <w:instrText xml:space="preserve"> SEQ EquationNumber \r0 \h \* MERGEFORMAT </w:instrText>
      </w:r>
      <w:r w:rsidR="009B6816">
        <w:fldChar w:fldCharType="end"/>
      </w:r>
      <w:r w:rsidR="009B6816">
        <w:fldChar w:fldCharType="begin"/>
      </w:r>
      <w:r w:rsidR="00D76BE5">
        <w:instrText xml:space="preserve"> SEQ TheoremNumber \r0 \h \* MERGEFORMAT </w:instrText>
      </w:r>
      <w:r w:rsidR="009B6816">
        <w:fldChar w:fldCharType="end"/>
      </w:r>
      <w:r w:rsidR="00D76BE5" w:rsidRPr="00D76BE5">
        <w:rPr>
          <w:vanish/>
        </w:rPr>
        <w:sym w:font="Wingdings" w:char="F0F6"/>
      </w:r>
      <w:r w:rsidR="009B6816">
        <w:fldChar w:fldCharType="end"/>
      </w:r>
      <w:bookmarkEnd w:id="67"/>
    </w:p>
    <w:p w:rsidR="00463767" w:rsidRPr="00463767" w:rsidRDefault="00463767" w:rsidP="00463767">
      <w:pPr>
        <w:pStyle w:val="Heading2"/>
      </w:pPr>
      <w:bookmarkStart w:id="68" w:name="_Toc351890011"/>
      <w:r>
        <w:t>Introduction</w:t>
      </w:r>
      <w:bookmarkEnd w:id="68"/>
    </w:p>
    <w:p w:rsidR="00463767" w:rsidRPr="00463767" w:rsidRDefault="00463767" w:rsidP="00463767">
      <w:pPr>
        <w:numPr>
          <w:ilvl w:val="12"/>
          <w:numId w:val="0"/>
        </w:numPr>
        <w:spacing w:line="480" w:lineRule="auto"/>
        <w:ind w:firstLine="720"/>
      </w:pPr>
      <w:r w:rsidRPr="00463767">
        <w:t xml:space="preserve">In the clinical setting, image analysis is always handled by a professional radiologist or </w:t>
      </w:r>
      <w:r w:rsidR="00662363" w:rsidRPr="00463767">
        <w:t>photo interpreter</w:t>
      </w:r>
      <w:r w:rsidRPr="00463767">
        <w:t xml:space="preserve">.  However, human observation may be impractical when it comes to large amounts of data to be processed, especially in the regimes of development and testing.  Furthermore, they may not be able to use all the information as effectively as computers.  Mathematical observers have been used frequently in lesion detection tasks; these include the ideal Bayesian logic observer, matched filter observers, and models based on linear discriminant analysis, referred to as the Hotelling observer.  Further extensions of these models have included channelized filtering to model the frequency response of the </w:t>
      </w:r>
      <w:r w:rsidR="000848D2">
        <w:t xml:space="preserve">human </w:t>
      </w:r>
      <w:r w:rsidRPr="00463767">
        <w:t>visual system.</w:t>
      </w:r>
    </w:p>
    <w:p w:rsidR="00D52DFC" w:rsidRPr="0080452B" w:rsidRDefault="00463767" w:rsidP="00D52DFC">
      <w:pPr>
        <w:numPr>
          <w:ilvl w:val="12"/>
          <w:numId w:val="0"/>
        </w:numPr>
        <w:spacing w:line="480" w:lineRule="auto"/>
        <w:ind w:firstLine="720"/>
        <w:rPr>
          <w:color w:val="FF0000"/>
        </w:rPr>
      </w:pPr>
      <w:r w:rsidRPr="00463767">
        <w:t xml:space="preserve">There has been much interest in using mathematical observers to replace or influence human performance, </w:t>
      </w:r>
      <w:r w:rsidR="009B6816" w:rsidRPr="00463767">
        <w:fldChar w:fldCharType="begin"/>
      </w:r>
      <w:r w:rsidR="002D7C36">
        <w:instrText xml:space="preserve"> ADDIN EN.CITE &lt;EndNote&gt;&lt;Cite&gt;&lt;Author&gt;Chan&lt;/Author&gt;&lt;Year&gt;1990&lt;/Year&gt;&lt;RecNum&gt;155&lt;/RecNum&gt;&lt;DisplayText&gt;(Chan, Doi et al. 1990; Doi, Giger et al. 1992)&lt;/DisplayText&gt;&lt;record&gt;&lt;rec-number&gt;155&lt;/rec-number&gt;&lt;foreign-keys&gt;&lt;key app="EN" db-id="srwv9ppvvez5pgefxzi5ddeve5w2fe5x5esr"&gt;155&lt;/key&gt;&lt;/foreign-keys&gt;&lt;ref-type name="Journal Article"&gt;17&lt;/ref-type&gt;&lt;contributors&gt;&lt;authors&gt;&lt;author&gt;Chan, HP&lt;/author&gt;&lt;author&gt;Doi, K&lt;/author&gt;&lt;author&gt;VYBRONY, CJ&lt;/author&gt;&lt;author&gt;Schmidt, RA&lt;/author&gt;&lt;author&gt;Metz, CE&lt;/author&gt;&lt;author&gt;Lam, KL&lt;/author&gt;&lt;author&gt;Ogura, T&lt;/author&gt;&lt;author&gt;Wu, Y&lt;/author&gt;&lt;author&gt;MacMahon, H&lt;/author&gt;&lt;/authors&gt;&lt;/contributors&gt;&lt;titles&gt;&lt;title&gt;Improvement in radiologists&amp;apos; detection of clustered microcalcifications on mammograms: the potential of computer-aided diagnosis&lt;/title&gt;&lt;secondary-title&gt;Investigative Radiology&lt;/secondary-title&gt;&lt;/titles&gt;&lt;pages&gt;1102&lt;/pages&gt;&lt;volume&gt;25&lt;/volume&gt;&lt;number&gt;10&lt;/number&gt;&lt;dates&gt;&lt;year&gt;1990&lt;/year&gt;&lt;/dates&gt;&lt;urls&gt;&lt;/urls&gt;&lt;/record&gt;&lt;/Cite&gt;&lt;Cite&gt;&lt;Author&gt;Doi&lt;/Author&gt;&lt;Year&gt;1992&lt;/Year&gt;&lt;RecNum&gt;156&lt;/RecNum&gt;&lt;record&gt;&lt;rec-number&gt;156&lt;/rec-number&gt;&lt;foreign-keys&gt;&lt;key app="EN" db-id="srwv9ppvvez5pgefxzi5ddeve5w2fe5x5esr"&gt;156&lt;/key&gt;&lt;/foreign-keys&gt;&lt;ref-type name="Journal Article"&gt;17&lt;/ref-type&gt;&lt;contributors&gt;&lt;authors&gt;&lt;author&gt;Doi, K&lt;/author&gt;&lt;author&gt;Giger, ML&lt;/author&gt;&lt;author&gt;MacMahon, H&lt;/author&gt;&lt;author&gt;Hoffmann, KR&lt;/author&gt;&lt;author&gt;Nishikawa, RM&lt;/author&gt;&lt;author&gt;Schmidt, RA&lt;/author&gt;&lt;author&gt;Chua, KG&lt;/author&gt;&lt;author&gt;Katsuragawa, S&lt;/author&gt;&lt;author&gt;Nakamori, N&lt;/author&gt;&lt;author&gt;Sanada, S&lt;/author&gt;&lt;/authors&gt;&lt;/contributors&gt;&lt;titles&gt;&lt;title&gt;Computer-aided diagnosis: development of automated schemes for quantitative analysis of radiographic images&lt;/title&gt;&lt;secondary-title&gt;Semin Ultrasound CT MR&lt;/secondary-title&gt;&lt;/titles&gt;&lt;pages&gt;140–152&lt;/pages&gt;&lt;volume&gt;13&lt;/volume&gt;&lt;number&gt;2&lt;/number&gt;&lt;dates&gt;&lt;year&gt;1992&lt;/year&gt;&lt;/dates&gt;&lt;urls&gt;&lt;/urls&gt;&lt;/record&gt;&lt;/Cite&gt;&lt;/EndNote&gt;</w:instrText>
      </w:r>
      <w:r w:rsidR="009B6816" w:rsidRPr="00463767">
        <w:fldChar w:fldCharType="separate"/>
      </w:r>
      <w:r w:rsidR="00B82802">
        <w:rPr>
          <w:noProof/>
        </w:rPr>
        <w:t>(</w:t>
      </w:r>
      <w:hyperlink w:anchor="_ENREF_25" w:tooltip="Chan, 1990 #155" w:history="1">
        <w:r w:rsidR="007704DB">
          <w:rPr>
            <w:noProof/>
          </w:rPr>
          <w:t>Chan, Doi et al. 1990</w:t>
        </w:r>
      </w:hyperlink>
      <w:r w:rsidR="00B82802">
        <w:rPr>
          <w:noProof/>
        </w:rPr>
        <w:t xml:space="preserve">; </w:t>
      </w:r>
      <w:hyperlink w:anchor="_ENREF_29" w:tooltip="Doi, 1992 #156" w:history="1">
        <w:r w:rsidR="007704DB">
          <w:rPr>
            <w:noProof/>
          </w:rPr>
          <w:t>Doi, Giger et al. 1992</w:t>
        </w:r>
      </w:hyperlink>
      <w:r w:rsidR="00B82802">
        <w:rPr>
          <w:noProof/>
        </w:rPr>
        <w:t>)</w:t>
      </w:r>
      <w:r w:rsidR="009B6816" w:rsidRPr="00463767">
        <w:fldChar w:fldCharType="end"/>
      </w:r>
      <w:r w:rsidRPr="00463767">
        <w:t xml:space="preserve"> and much work has been conducted to develop </w:t>
      </w:r>
      <w:r w:rsidR="00777F68">
        <w:t>numerical</w:t>
      </w:r>
      <w:r w:rsidRPr="00463767">
        <w:t xml:space="preserve"> observers that accurately predict human results.  There is much debate over which observer most accurately models human performance; different observers may be optimal in </w:t>
      </w:r>
      <w:r w:rsidR="00D52DFC">
        <w:t>specific</w:t>
      </w:r>
      <w:r w:rsidRPr="00463767">
        <w:t xml:space="preserve"> tasks. </w:t>
      </w:r>
    </w:p>
    <w:p w:rsidR="00463767" w:rsidRDefault="00463767" w:rsidP="00463767">
      <w:pPr>
        <w:pStyle w:val="Heading2"/>
      </w:pPr>
      <w:bookmarkStart w:id="69" w:name="_Toc351890012"/>
      <w:r>
        <w:t>Ideal Observer</w:t>
      </w:r>
      <w:bookmarkEnd w:id="69"/>
    </w:p>
    <w:p w:rsidR="00463767" w:rsidRPr="00463767" w:rsidRDefault="00614343" w:rsidP="00614343">
      <w:pPr>
        <w:numPr>
          <w:ilvl w:val="12"/>
          <w:numId w:val="0"/>
        </w:numPr>
        <w:spacing w:line="480" w:lineRule="auto"/>
        <w:ind w:firstLine="720"/>
      </w:pPr>
      <w:r>
        <w:t xml:space="preserve">We begin by considering the simplified binary classification task of an exactly known signal either present or not present on an exactly known background </w:t>
      </w:r>
      <w:r w:rsidRPr="008D22B4">
        <w:t>(SKE/BKE).</w:t>
      </w:r>
      <w:r>
        <w:t xml:space="preserve">  </w:t>
      </w:r>
      <w:r w:rsidR="00A85B62">
        <w:t>As mentioned in the previous chapter, a</w:t>
      </w:r>
      <w:r w:rsidR="00F16D3C">
        <w:t>n</w:t>
      </w:r>
      <w:r w:rsidR="00E947AF">
        <w:t>y</w:t>
      </w:r>
      <w:r w:rsidR="00F16D3C">
        <w:t xml:space="preserve"> </w:t>
      </w:r>
      <w:r w:rsidR="0068529A">
        <w:t xml:space="preserve">observer </w:t>
      </w:r>
      <w:r w:rsidR="00A34FEE">
        <w:t>performs a decision</w:t>
      </w:r>
      <w:r w:rsidR="002A3818">
        <w:t>,</w:t>
      </w:r>
      <w:r w:rsidR="00A34FEE">
        <w:t xml:space="preserve"> regarding a given test </w:t>
      </w:r>
      <w:proofErr w:type="gramStart"/>
      <w:r w:rsidR="00A34FEE" w:rsidRPr="00463767">
        <w:t xml:space="preserve">image </w:t>
      </w:r>
      <m:oMath>
        <w:proofErr w:type="gramEnd"/>
        <m:r>
          <m:rPr>
            <m:sty m:val="b"/>
          </m:rPr>
          <w:rPr>
            <w:rFonts w:ascii="Cambria Math" w:hAnsi="Cambria Math"/>
          </w:rPr>
          <m:t>g</m:t>
        </m:r>
      </m:oMath>
      <w:r w:rsidR="002A3818">
        <w:t>, b</w:t>
      </w:r>
      <w:r w:rsidR="00A34FEE">
        <w:t xml:space="preserve">y extracting </w:t>
      </w:r>
      <w:r w:rsidR="00D54ECB">
        <w:t xml:space="preserve">the </w:t>
      </w:r>
      <w:r w:rsidR="00A34FEE">
        <w:t>relevant information and calculating</w:t>
      </w:r>
      <w:r w:rsidRPr="00463767">
        <w:t xml:space="preserve"> </w:t>
      </w:r>
      <w:r w:rsidR="00A34FEE">
        <w:t>some</w:t>
      </w:r>
      <w:r w:rsidRPr="00463767">
        <w:t xml:space="preserve"> </w:t>
      </w:r>
      <w:r w:rsidR="00E947AF">
        <w:lastRenderedPageBreak/>
        <w:t xml:space="preserve">perceptual </w:t>
      </w:r>
      <w:r w:rsidR="00A34FEE">
        <w:t>statistic.  The observer then compares this statistic</w:t>
      </w:r>
      <w:r w:rsidRPr="00463767">
        <w:t xml:space="preserve"> to a threshold </w:t>
      </w:r>
      <w:r w:rsidR="00996511">
        <w:t>value</w:t>
      </w:r>
      <w:r w:rsidRPr="00463767">
        <w:t xml:space="preserve"> to determine </w:t>
      </w:r>
      <w:r w:rsidR="00A34FEE">
        <w:t xml:space="preserve">which </w:t>
      </w:r>
      <w:r w:rsidR="00996511">
        <w:t xml:space="preserve">underlying </w:t>
      </w:r>
      <w:r w:rsidRPr="00463767">
        <w:t>class</w:t>
      </w:r>
      <w:r w:rsidR="00E42269">
        <w:t xml:space="preserve"> (signal present or absent)</w:t>
      </w:r>
      <w:r w:rsidRPr="00463767">
        <w:t xml:space="preserve"> </w:t>
      </w:r>
      <w:r w:rsidR="00A85B62">
        <w:t>produced the test</w:t>
      </w:r>
      <w:r w:rsidR="00A34FEE">
        <w:t xml:space="preserve"> image</w:t>
      </w:r>
      <w:r>
        <w:t>.</w:t>
      </w:r>
      <w:r w:rsidR="00463767" w:rsidRPr="00463767">
        <w:t xml:space="preserve"> </w:t>
      </w:r>
    </w:p>
    <w:p w:rsidR="00463767" w:rsidRDefault="00463767" w:rsidP="00463767">
      <w:pPr>
        <w:numPr>
          <w:ilvl w:val="12"/>
          <w:numId w:val="0"/>
        </w:numPr>
        <w:spacing w:line="480" w:lineRule="auto"/>
        <w:ind w:firstLine="720"/>
        <w:rPr>
          <w:rFonts w:ascii="Book Antiqua" w:eastAsiaTheme="minorHAnsi" w:hAnsi="Book Antiqua" w:cstheme="minorBidi"/>
          <w:sz w:val="20"/>
          <w:szCs w:val="20"/>
        </w:rPr>
      </w:pPr>
      <w:r w:rsidRPr="00463767">
        <w:t>The ideal observer is a term used to describe the best possible observer performance given the situation, through the optimal use of available information.</w:t>
      </w:r>
      <w:r w:rsidRPr="00463767">
        <w:rPr>
          <w:vertAlign w:val="superscript"/>
        </w:rPr>
        <w:footnoteReference w:id="8"/>
      </w:r>
      <w:r w:rsidRPr="00463767">
        <w:t xml:space="preserve">  The ideal observer is not perfect; it only performs at the physical limit.  It is subject to noise and uncertainty and </w:t>
      </w:r>
      <w:r w:rsidR="003C70DF">
        <w:t>is therefore</w:t>
      </w:r>
      <w:r w:rsidRPr="00463767">
        <w:t xml:space="preserve"> expressed as statistical probability.  It makes </w:t>
      </w:r>
      <w:r w:rsidR="00985878">
        <w:t xml:space="preserve">a </w:t>
      </w:r>
      <w:r w:rsidRPr="00463767">
        <w:t>classification decision based on the likelihood function, which is the probability ratio of the two classes.  It compares this ratio, or test statistic, to a threshold to determine the outcome.</w:t>
      </w:r>
      <w:r w:rsidRPr="00463767">
        <w:rPr>
          <w:rFonts w:ascii="Book Antiqua" w:eastAsiaTheme="minorHAnsi" w:hAnsi="Book Antiqua" w:cstheme="minorBidi"/>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D76BE5" w:rsidTr="00D76BE5">
        <w:tc>
          <w:tcPr>
            <w:tcW w:w="7920" w:type="dxa"/>
            <w:shd w:val="clear" w:color="auto" w:fill="auto"/>
            <w:vAlign w:val="center"/>
          </w:tcPr>
          <w:p w:rsidR="00D76BE5" w:rsidRDefault="009B6816" w:rsidP="00D76BE5">
            <w:pPr>
              <w:numPr>
                <w:ilvl w:val="12"/>
                <w:numId w:val="0"/>
              </w:numPr>
              <w:spacing w:line="480" w:lineRule="auto"/>
              <w:ind w:firstLine="720"/>
            </w:pPr>
            <m:oMathPara>
              <m:oMath>
                <m:sSub>
                  <m:sSubPr>
                    <m:ctrlPr>
                      <w:rPr>
                        <w:rFonts w:ascii="Cambria Math" w:hAnsi="Cambria Math"/>
                        <w:i/>
                      </w:rPr>
                    </m:ctrlPr>
                  </m:sSubPr>
                  <m:e>
                    <m:r>
                      <m:rPr>
                        <m:sty m:val="p"/>
                      </m:rPr>
                      <w:rPr>
                        <w:rFonts w:ascii="Cambria Math" w:hAnsi="Cambria Math"/>
                      </w:rPr>
                      <m:t>λ</m:t>
                    </m:r>
                  </m:e>
                  <m:sub>
                    <m:r>
                      <w:rPr>
                        <w:rFonts w:ascii="Cambria Math" w:hAnsi="Cambria Math"/>
                      </w:rPr>
                      <m:t>ideal</m:t>
                    </m:r>
                  </m:sub>
                </m:sSub>
                <m:d>
                  <m:dPr>
                    <m:ctrlPr>
                      <w:rPr>
                        <w:rFonts w:ascii="Cambria Math" w:hAnsi="Cambria Math"/>
                        <w:i/>
                      </w:rPr>
                    </m:ctrlPr>
                  </m:dPr>
                  <m:e>
                    <m:r>
                      <m:rPr>
                        <m:sty m:val="b"/>
                      </m:rPr>
                      <w:rPr>
                        <w:rFonts w:ascii="Cambria Math" w:hAnsi="Cambria Math"/>
                      </w:rPr>
                      <m:t>g</m:t>
                    </m:r>
                  </m:e>
                </m:d>
                <m:r>
                  <w:rPr>
                    <w:rFonts w:ascii="Cambria Math" w:hAnsi="Cambria Math"/>
                  </w:rPr>
                  <m:t>≡</m:t>
                </m:r>
                <m:r>
                  <m:rPr>
                    <m:sty m:val="b"/>
                  </m:rPr>
                  <w:rPr>
                    <w:rFonts w:ascii="Cambria Math" w:hAnsi="Cambria Math"/>
                  </w:rPr>
                  <m:t>log</m:t>
                </m:r>
                <m:d>
                  <m:dPr>
                    <m:begChr m:val="["/>
                    <m:endChr m:val="]"/>
                    <m:ctrlPr>
                      <w:rPr>
                        <w:rFonts w:ascii="Cambria Math" w:hAnsi="Cambria Math"/>
                        <w:i/>
                      </w:rPr>
                    </m:ctrlPr>
                  </m:dPr>
                  <m:e>
                    <m:r>
                      <w:rPr>
                        <w:rFonts w:ascii="Cambria Math" w:hAnsi="Cambria Math"/>
                      </w:rPr>
                      <m:t>L(</m:t>
                    </m:r>
                    <m:r>
                      <m:rPr>
                        <m:sty m:val="b"/>
                      </m:rPr>
                      <w:rPr>
                        <w:rFonts w:ascii="Cambria Math" w:hAnsi="Cambria Math"/>
                      </w:rPr>
                      <m:t>g</m:t>
                    </m:r>
                    <m:r>
                      <w:rPr>
                        <w:rFonts w:ascii="Cambria Math" w:hAnsi="Cambria Math"/>
                      </w:rPr>
                      <m:t>)</m:t>
                    </m:r>
                  </m:e>
                </m:d>
                <m:r>
                  <w:rPr>
                    <w:rFonts w:ascii="Cambria Math" w:hAnsi="Cambria Math"/>
                  </w:rPr>
                  <m:t>=</m:t>
                </m:r>
                <m:r>
                  <m:rPr>
                    <m:sty m:val="b"/>
                  </m:rPr>
                  <w:rPr>
                    <w:rFonts w:ascii="Cambria Math" w:hAnsi="Cambria Math"/>
                  </w:rPr>
                  <m:t>log</m:t>
                </m:r>
                <m:d>
                  <m:dPr>
                    <m:begChr m:val="["/>
                    <m:endChr m:val="]"/>
                    <m:ctrlPr>
                      <w:rPr>
                        <w:rFonts w:ascii="Cambria Math" w:hAnsi="Cambria Math"/>
                        <w:i/>
                      </w:rPr>
                    </m:ctrlPr>
                  </m:dPr>
                  <m:e>
                    <m:f>
                      <m:fPr>
                        <m:ctrlPr>
                          <w:rPr>
                            <w:rFonts w:ascii="Cambria Math" w:hAnsi="Cambria Math"/>
                            <w:i/>
                          </w:rPr>
                        </m:ctrlPr>
                      </m:fPr>
                      <m:num>
                        <m:r>
                          <w:rPr>
                            <w:rFonts w:ascii="Cambria Math" w:hAnsi="Cambria Math"/>
                          </w:rPr>
                          <m:t>p(</m:t>
                        </m:r>
                        <m:sSub>
                          <m:sSubPr>
                            <m:ctrlPr>
                              <w:rPr>
                                <w:rFonts w:ascii="Cambria Math" w:hAnsi="Cambria Math"/>
                                <w:i/>
                              </w:rPr>
                            </m:ctrlPr>
                          </m:sSubPr>
                          <m:e>
                            <m:r>
                              <m:rPr>
                                <m:sty m:val="b"/>
                              </m:rPr>
                              <w:rPr>
                                <w:rFonts w:ascii="Cambria Math" w:hAnsi="Cambria Math"/>
                              </w:rPr>
                              <m:t>g|g</m:t>
                            </m:r>
                            <m:ctrlPr>
                              <w:rPr>
                                <w:rFonts w:ascii="Cambria Math" w:hAnsi="Cambria Math"/>
                                <w:b/>
                              </w:rPr>
                            </m:ctrlPr>
                          </m:e>
                          <m:sub>
                            <m:r>
                              <w:rPr>
                                <w:rFonts w:ascii="Cambria Math" w:hAnsi="Cambria Math"/>
                              </w:rPr>
                              <m:t>1</m:t>
                            </m:r>
                          </m:sub>
                        </m:sSub>
                        <m:r>
                          <w:rPr>
                            <w:rFonts w:ascii="Cambria Math" w:hAnsi="Cambria Math"/>
                          </w:rPr>
                          <m:t>)</m:t>
                        </m:r>
                      </m:num>
                      <m:den>
                        <m:r>
                          <w:rPr>
                            <w:rFonts w:ascii="Cambria Math" w:hAnsi="Cambria Math"/>
                          </w:rPr>
                          <m:t>p(</m:t>
                        </m:r>
                        <m:r>
                          <m:rPr>
                            <m:sty m:val="b"/>
                          </m:rPr>
                          <w:rPr>
                            <w:rFonts w:ascii="Cambria Math" w:hAnsi="Cambria Math"/>
                          </w:rPr>
                          <m:t>g|</m:t>
                        </m:r>
                        <m:sSub>
                          <m:sSubPr>
                            <m:ctrlPr>
                              <w:rPr>
                                <w:rFonts w:ascii="Cambria Math" w:hAnsi="Cambria Math"/>
                                <w:i/>
                              </w:rPr>
                            </m:ctrlPr>
                          </m:sSubPr>
                          <m:e>
                            <m:r>
                              <m:rPr>
                                <m:sty m:val="b"/>
                              </m:rPr>
                              <w:rPr>
                                <w:rFonts w:ascii="Cambria Math" w:hAnsi="Cambria Math"/>
                              </w:rPr>
                              <m:t>g</m:t>
                            </m:r>
                            <m:ctrlPr>
                              <w:rPr>
                                <w:rFonts w:ascii="Cambria Math" w:hAnsi="Cambria Math"/>
                                <w:b/>
                              </w:rPr>
                            </m:ctrlPr>
                          </m:e>
                          <m:sub>
                            <m:r>
                              <w:rPr>
                                <w:rFonts w:ascii="Cambria Math" w:hAnsi="Cambria Math"/>
                              </w:rPr>
                              <m:t>2</m:t>
                            </m:r>
                          </m:sub>
                        </m:sSub>
                        <m:r>
                          <w:rPr>
                            <w:rFonts w:ascii="Cambria Math" w:hAnsi="Cambria Math"/>
                          </w:rPr>
                          <m:t>)</m:t>
                        </m:r>
                      </m:den>
                    </m:f>
                  </m:e>
                </m:d>
              </m:oMath>
            </m:oMathPara>
          </w:p>
        </w:tc>
        <w:tc>
          <w:tcPr>
            <w:tcW w:w="720" w:type="dxa"/>
            <w:shd w:val="clear" w:color="auto" w:fill="auto"/>
            <w:vAlign w:val="center"/>
          </w:tcPr>
          <w:p w:rsidR="00D76BE5" w:rsidRDefault="009B6816" w:rsidP="00D76BE5">
            <w:pPr>
              <w:pStyle w:val="EquationNumberStyle"/>
            </w:pPr>
            <w:r>
              <w:fldChar w:fldCharType="begin"/>
            </w:r>
            <w:r w:rsidR="00D76BE5">
              <w:instrText xml:space="preserve"> MACROBUTTON NumberReference \* MERGEFORMAT (</w:instrText>
            </w:r>
            <w:fldSimple w:instr=" SEQ EqnChapter \c \* Arabic \* MERGEFORMAT ">
              <w:r w:rsidR="005B6C27">
                <w:rPr>
                  <w:noProof/>
                </w:rPr>
                <w:instrText>4</w:instrText>
              </w:r>
            </w:fldSimple>
            <w:r w:rsidR="00D76BE5">
              <w:instrText>.</w:instrText>
            </w:r>
            <w:fldSimple w:instr=" SEQ EquationNumber \n \* Arabic \* MERGEFORMAT ">
              <w:r w:rsidR="005B6C27">
                <w:rPr>
                  <w:noProof/>
                </w:rPr>
                <w:instrText>1</w:instrText>
              </w:r>
            </w:fldSimple>
            <w:r w:rsidR="00D76BE5">
              <w:instrText>)</w:instrText>
            </w:r>
            <w:r>
              <w:fldChar w:fldCharType="end"/>
            </w:r>
          </w:p>
        </w:tc>
      </w:tr>
    </w:tbl>
    <w:p w:rsidR="00463767" w:rsidRDefault="006E3609" w:rsidP="00156654">
      <w:pPr>
        <w:numPr>
          <w:ilvl w:val="12"/>
          <w:numId w:val="0"/>
        </w:numPr>
        <w:spacing w:line="480" w:lineRule="auto"/>
        <w:ind w:firstLine="720"/>
      </w:pPr>
      <w:r>
        <w:t>The signal-to-noise ratio associated with lesion detectability is</w:t>
      </w:r>
      <w:r w:rsidR="00463767" w:rsidRPr="00463767">
        <w:t xml:space="preserve"> defined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D76BE5" w:rsidTr="00D76BE5">
        <w:tc>
          <w:tcPr>
            <w:tcW w:w="7920" w:type="dxa"/>
            <w:shd w:val="clear" w:color="auto" w:fill="auto"/>
            <w:vAlign w:val="center"/>
          </w:tcPr>
          <w:p w:rsidR="00D76BE5" w:rsidRDefault="009B6816" w:rsidP="00D76BE5">
            <w:pPr>
              <w:numPr>
                <w:ilvl w:val="12"/>
                <w:numId w:val="0"/>
              </w:numPr>
              <w:spacing w:line="480" w:lineRule="auto"/>
              <w:ind w:firstLine="720"/>
            </w:pPr>
            <m:oMathPara>
              <m:oMath>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m:rPr>
                                <m:sty m:val="bi"/>
                              </m:rPr>
                              <w:rPr>
                                <w:rFonts w:ascii="Cambria Math" w:hAnsi="Cambria Math"/>
                              </w:rPr>
                              <m:t>E</m:t>
                            </m:r>
                            <m:d>
                              <m:dPr>
                                <m:ctrlPr>
                                  <w:rPr>
                                    <w:rFonts w:ascii="Cambria Math" w:hAnsi="Cambria Math"/>
                                    <w:b/>
                                    <w:i/>
                                  </w:rPr>
                                </m:ctrlPr>
                              </m:dPr>
                              <m:e>
                                <m:r>
                                  <m:rPr>
                                    <m:sty m:val="p"/>
                                  </m:rPr>
                                  <w:rPr>
                                    <w:rFonts w:ascii="Cambria Math" w:hAnsi="Cambria Math"/>
                                  </w:rPr>
                                  <m:t>λ</m:t>
                                </m:r>
                                <m:d>
                                  <m:dPr>
                                    <m:ctrlPr>
                                      <w:rPr>
                                        <w:rFonts w:ascii="Cambria Math" w:hAnsi="Cambria Math"/>
                                        <w:i/>
                                      </w:rPr>
                                    </m:ctrlPr>
                                  </m:dPr>
                                  <m:e>
                                    <m:sSub>
                                      <m:sSubPr>
                                        <m:ctrlPr>
                                          <w:rPr>
                                            <w:rFonts w:ascii="Cambria Math" w:hAnsi="Cambria Math"/>
                                            <w:i/>
                                          </w:rPr>
                                        </m:ctrlPr>
                                      </m:sSubPr>
                                      <m:e>
                                        <m:r>
                                          <m:rPr>
                                            <m:sty m:val="b"/>
                                          </m:rPr>
                                          <w:rPr>
                                            <w:rFonts w:ascii="Cambria Math" w:hAnsi="Cambria Math"/>
                                          </w:rPr>
                                          <m:t>g</m:t>
                                        </m:r>
                                        <m:ctrlPr>
                                          <w:rPr>
                                            <w:rFonts w:ascii="Cambria Math" w:hAnsi="Cambria Math"/>
                                            <w:b/>
                                          </w:rPr>
                                        </m:ctrlPr>
                                      </m:e>
                                      <m:sub>
                                        <m:r>
                                          <w:rPr>
                                            <w:rFonts w:ascii="Cambria Math" w:hAnsi="Cambria Math"/>
                                          </w:rPr>
                                          <m:t>2</m:t>
                                        </m:r>
                                      </m:sub>
                                    </m:sSub>
                                  </m:e>
                                </m:d>
                              </m:e>
                            </m:d>
                            <m:r>
                              <w:rPr>
                                <w:rFonts w:ascii="Cambria Math" w:hAnsi="Cambria Math"/>
                              </w:rPr>
                              <m:t>-</m:t>
                            </m:r>
                            <m:r>
                              <m:rPr>
                                <m:sty m:val="bi"/>
                              </m:rPr>
                              <w:rPr>
                                <w:rFonts w:ascii="Cambria Math" w:hAnsi="Cambria Math"/>
                              </w:rPr>
                              <m:t>E</m:t>
                            </m:r>
                            <m:d>
                              <m:dPr>
                                <m:ctrlPr>
                                  <w:rPr>
                                    <w:rFonts w:ascii="Cambria Math" w:hAnsi="Cambria Math"/>
                                    <w:b/>
                                    <w:i/>
                                  </w:rPr>
                                </m:ctrlPr>
                              </m:dPr>
                              <m:e>
                                <m:r>
                                  <m:rPr>
                                    <m:sty m:val="p"/>
                                  </m:rPr>
                                  <w:rPr>
                                    <w:rFonts w:ascii="Cambria Math" w:hAnsi="Cambria Math"/>
                                  </w:rPr>
                                  <m:t>λ</m:t>
                                </m:r>
                                <m:d>
                                  <m:dPr>
                                    <m:ctrlPr>
                                      <w:rPr>
                                        <w:rFonts w:ascii="Cambria Math" w:hAnsi="Cambria Math"/>
                                        <w:i/>
                                      </w:rPr>
                                    </m:ctrlPr>
                                  </m:dPr>
                                  <m:e>
                                    <m:sSub>
                                      <m:sSubPr>
                                        <m:ctrlPr>
                                          <w:rPr>
                                            <w:rFonts w:ascii="Cambria Math" w:hAnsi="Cambria Math"/>
                                            <w:i/>
                                          </w:rPr>
                                        </m:ctrlPr>
                                      </m:sSubPr>
                                      <m:e>
                                        <m:r>
                                          <m:rPr>
                                            <m:sty m:val="b"/>
                                          </m:rPr>
                                          <w:rPr>
                                            <w:rFonts w:ascii="Cambria Math" w:hAnsi="Cambria Math"/>
                                          </w:rPr>
                                          <m:t>g</m:t>
                                        </m:r>
                                        <m:ctrlPr>
                                          <w:rPr>
                                            <w:rFonts w:ascii="Cambria Math" w:hAnsi="Cambria Math"/>
                                            <w:b/>
                                          </w:rPr>
                                        </m:ctrlPr>
                                      </m:e>
                                      <m:sub>
                                        <m:r>
                                          <w:rPr>
                                            <w:rFonts w:ascii="Cambria Math" w:hAnsi="Cambria Math"/>
                                          </w:rPr>
                                          <m:t>1</m:t>
                                        </m:r>
                                      </m:sub>
                                    </m:sSub>
                                  </m:e>
                                </m:d>
                              </m:e>
                            </m:d>
                          </m:e>
                        </m:d>
                      </m:e>
                      <m:sup>
                        <m:r>
                          <w:rPr>
                            <w:rFonts w:ascii="Cambria Math" w:hAnsi="Cambria Math"/>
                          </w:rPr>
                          <m:t>2</m:t>
                        </m:r>
                      </m:sup>
                    </m:sSup>
                  </m:num>
                  <m:den>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var</m:t>
                    </m:r>
                    <m:d>
                      <m:dPr>
                        <m:ctrlPr>
                          <w:rPr>
                            <w:rFonts w:ascii="Cambria Math" w:hAnsi="Cambria Math"/>
                            <w:b/>
                            <w:i/>
                          </w:rPr>
                        </m:ctrlPr>
                      </m:dPr>
                      <m:e>
                        <m:r>
                          <m:rPr>
                            <m:sty m:val="p"/>
                          </m:rPr>
                          <w:rPr>
                            <w:rFonts w:ascii="Cambria Math" w:hAnsi="Cambria Math"/>
                          </w:rPr>
                          <m:t>λ</m:t>
                        </m:r>
                        <m:d>
                          <m:dPr>
                            <m:ctrlPr>
                              <w:rPr>
                                <w:rFonts w:ascii="Cambria Math" w:hAnsi="Cambria Math"/>
                                <w:i/>
                              </w:rPr>
                            </m:ctrlPr>
                          </m:dPr>
                          <m:e>
                            <m:sSub>
                              <m:sSubPr>
                                <m:ctrlPr>
                                  <w:rPr>
                                    <w:rFonts w:ascii="Cambria Math" w:hAnsi="Cambria Math"/>
                                    <w:i/>
                                  </w:rPr>
                                </m:ctrlPr>
                              </m:sSubPr>
                              <m:e>
                                <m:r>
                                  <m:rPr>
                                    <m:sty m:val="b"/>
                                  </m:rPr>
                                  <w:rPr>
                                    <w:rFonts w:ascii="Cambria Math" w:hAnsi="Cambria Math"/>
                                  </w:rPr>
                                  <m:t>g</m:t>
                                </m:r>
                                <m:ctrlPr>
                                  <w:rPr>
                                    <w:rFonts w:ascii="Cambria Math" w:hAnsi="Cambria Math"/>
                                    <w:b/>
                                  </w:rPr>
                                </m:ctrlPr>
                              </m:e>
                              <m:sub>
                                <m:r>
                                  <w:rPr>
                                    <w:rFonts w:ascii="Cambria Math" w:hAnsi="Cambria Math"/>
                                  </w:rPr>
                                  <m:t>1</m:t>
                                </m:r>
                              </m:sub>
                            </m:sSub>
                          </m:e>
                        </m:d>
                      </m:e>
                    </m:d>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r>
                      <m:rPr>
                        <m:sty m:val="b"/>
                      </m:rPr>
                      <w:rPr>
                        <w:rFonts w:ascii="Cambria Math" w:hAnsi="Cambria Math"/>
                      </w:rPr>
                      <m:t>var</m:t>
                    </m:r>
                    <m:d>
                      <m:dPr>
                        <m:ctrlPr>
                          <w:rPr>
                            <w:rFonts w:ascii="Cambria Math" w:hAnsi="Cambria Math"/>
                            <w:b/>
                            <w:i/>
                          </w:rPr>
                        </m:ctrlPr>
                      </m:dPr>
                      <m:e>
                        <m:r>
                          <m:rPr>
                            <m:sty m:val="p"/>
                          </m:rPr>
                          <w:rPr>
                            <w:rFonts w:ascii="Cambria Math" w:hAnsi="Cambria Math"/>
                          </w:rPr>
                          <m:t>λ</m:t>
                        </m:r>
                        <m:d>
                          <m:dPr>
                            <m:ctrlPr>
                              <w:rPr>
                                <w:rFonts w:ascii="Cambria Math" w:hAnsi="Cambria Math"/>
                                <w:i/>
                              </w:rPr>
                            </m:ctrlPr>
                          </m:dPr>
                          <m:e>
                            <m:sSub>
                              <m:sSubPr>
                                <m:ctrlPr>
                                  <w:rPr>
                                    <w:rFonts w:ascii="Cambria Math" w:hAnsi="Cambria Math"/>
                                    <w:i/>
                                  </w:rPr>
                                </m:ctrlPr>
                              </m:sSubPr>
                              <m:e>
                                <m:r>
                                  <m:rPr>
                                    <m:sty m:val="b"/>
                                  </m:rPr>
                                  <w:rPr>
                                    <w:rFonts w:ascii="Cambria Math" w:hAnsi="Cambria Math"/>
                                  </w:rPr>
                                  <m:t>g</m:t>
                                </m:r>
                                <m:ctrlPr>
                                  <w:rPr>
                                    <w:rFonts w:ascii="Cambria Math" w:hAnsi="Cambria Math"/>
                                    <w:b/>
                                  </w:rPr>
                                </m:ctrlPr>
                              </m:e>
                              <m:sub>
                                <m:r>
                                  <w:rPr>
                                    <w:rFonts w:ascii="Cambria Math" w:hAnsi="Cambria Math"/>
                                  </w:rPr>
                                  <m:t>2</m:t>
                                </m:r>
                              </m:sub>
                            </m:sSub>
                          </m:e>
                        </m:d>
                      </m:e>
                    </m:d>
                  </m:den>
                </m:f>
              </m:oMath>
            </m:oMathPara>
          </w:p>
        </w:tc>
        <w:tc>
          <w:tcPr>
            <w:tcW w:w="720" w:type="dxa"/>
            <w:shd w:val="clear" w:color="auto" w:fill="auto"/>
            <w:vAlign w:val="center"/>
          </w:tcPr>
          <w:p w:rsidR="00D76BE5" w:rsidRDefault="009B6816" w:rsidP="00D76BE5">
            <w:pPr>
              <w:pStyle w:val="EquationNumberStyle"/>
            </w:pPr>
            <w:r>
              <w:fldChar w:fldCharType="begin"/>
            </w:r>
            <w:r w:rsidR="00D76BE5">
              <w:instrText xml:space="preserve"> MACROBUTTON NumberReference \* MERGEFORMAT (</w:instrText>
            </w:r>
            <w:fldSimple w:instr=" SEQ EqnChapter \c \* Arabic \* MERGEFORMAT ">
              <w:r w:rsidR="005B6C27">
                <w:rPr>
                  <w:noProof/>
                </w:rPr>
                <w:instrText>4</w:instrText>
              </w:r>
            </w:fldSimple>
            <w:r w:rsidR="00D76BE5">
              <w:instrText>.</w:instrText>
            </w:r>
            <w:fldSimple w:instr=" SEQ EquationNumber \n \* Arabic \* MERGEFORMAT ">
              <w:r w:rsidR="005B6C27">
                <w:rPr>
                  <w:noProof/>
                </w:rPr>
                <w:instrText>2</w:instrText>
              </w:r>
            </w:fldSimple>
            <w:r w:rsidR="00D76BE5">
              <w:instrText>)</w:instrText>
            </w:r>
            <w:r>
              <w:fldChar w:fldCharType="end"/>
            </w:r>
          </w:p>
        </w:tc>
      </w:tr>
    </w:tbl>
    <w:p w:rsidR="00614343" w:rsidRPr="0080452B" w:rsidRDefault="00463767" w:rsidP="00DE6588">
      <w:pPr>
        <w:numPr>
          <w:ilvl w:val="12"/>
          <w:numId w:val="0"/>
        </w:numPr>
        <w:spacing w:line="480" w:lineRule="auto"/>
        <w:rPr>
          <w:color w:val="FF0000"/>
        </w:rPr>
      </w:pPr>
      <w:proofErr w:type="gramStart"/>
      <w:r w:rsidRPr="00463767">
        <w:t>where</w:t>
      </w:r>
      <w:proofErr w:type="gramEnd"/>
      <w:r w:rsidRPr="00463767">
        <w:t xml:space="preserve"> </w:t>
      </w:r>
      <m:oMath>
        <m:r>
          <m:rPr>
            <m:sty m:val="bi"/>
          </m:rPr>
          <w:rPr>
            <w:rFonts w:ascii="Cambria Math" w:hAnsi="Cambria Math"/>
          </w:rPr>
          <m:t>E</m:t>
        </m:r>
        <m:d>
          <m:dPr>
            <m:ctrlPr>
              <w:rPr>
                <w:rFonts w:ascii="Cambria Math" w:hAnsi="Cambria Math"/>
                <w:b/>
                <w:i/>
              </w:rPr>
            </m:ctrlPr>
          </m:dPr>
          <m:e>
            <m:r>
              <m:rPr>
                <m:sty m:val="p"/>
              </m:rPr>
              <w:rPr>
                <w:rFonts w:ascii="Cambria Math" w:hAnsi="Cambria Math"/>
              </w:rPr>
              <m:t>λ</m:t>
            </m:r>
            <m:d>
              <m:dPr>
                <m:ctrlPr>
                  <w:rPr>
                    <w:rFonts w:ascii="Cambria Math" w:hAnsi="Cambria Math"/>
                    <w:i/>
                  </w:rPr>
                </m:ctrlPr>
              </m:dPr>
              <m:e>
                <m:r>
                  <m:rPr>
                    <m:sty m:val="b"/>
                  </m:rPr>
                  <w:rPr>
                    <w:rFonts w:ascii="Cambria Math" w:hAnsi="Cambria Math"/>
                  </w:rPr>
                  <m:t>g</m:t>
                </m:r>
              </m:e>
            </m:d>
          </m:e>
        </m:d>
      </m:oMath>
      <w:r w:rsidRPr="00463767">
        <w:t xml:space="preserve"> and </w:t>
      </w:r>
      <m:oMath>
        <m:r>
          <m:rPr>
            <m:sty m:val="b"/>
          </m:rPr>
          <w:rPr>
            <w:rFonts w:ascii="Cambria Math" w:hAnsi="Cambria Math"/>
          </w:rPr>
          <m:t>var</m:t>
        </m:r>
        <m:d>
          <m:dPr>
            <m:ctrlPr>
              <w:rPr>
                <w:rFonts w:ascii="Cambria Math" w:hAnsi="Cambria Math"/>
                <w:b/>
              </w:rPr>
            </m:ctrlPr>
          </m:dPr>
          <m:e>
            <m:r>
              <m:rPr>
                <m:sty m:val="p"/>
              </m:rPr>
              <w:rPr>
                <w:rFonts w:ascii="Cambria Math" w:hAnsi="Cambria Math"/>
              </w:rPr>
              <m:t>λ</m:t>
            </m:r>
            <m:d>
              <m:dPr>
                <m:ctrlPr>
                  <w:rPr>
                    <w:rFonts w:ascii="Cambria Math" w:hAnsi="Cambria Math"/>
                    <w:i/>
                  </w:rPr>
                </m:ctrlPr>
              </m:dPr>
              <m:e>
                <m:r>
                  <m:rPr>
                    <m:sty m:val="b"/>
                  </m:rPr>
                  <w:rPr>
                    <w:rFonts w:ascii="Cambria Math" w:hAnsi="Cambria Math"/>
                  </w:rPr>
                  <m:t>g</m:t>
                </m:r>
              </m:e>
            </m:d>
          </m:e>
        </m:d>
      </m:oMath>
      <w:r w:rsidRPr="00463767">
        <w:t xml:space="preserve"> are the conditional mean and variance of the test statistic for </w:t>
      </w:r>
      <w:r w:rsidR="00BD1266">
        <w:t>each of the two</w:t>
      </w:r>
      <w:r w:rsidRPr="00463767">
        <w:t xml:space="preserve"> </w:t>
      </w:r>
      <w:r w:rsidR="00CF4712">
        <w:t xml:space="preserve">respective </w:t>
      </w:r>
      <w:r w:rsidRPr="00463767">
        <w:t>class</w:t>
      </w:r>
      <w:r w:rsidR="00BD1266">
        <w:t>es</w:t>
      </w:r>
      <w:r w:rsidRPr="00463767">
        <w:t xml:space="preserve">.  The ideal observer however, is typically not a relevant model for lesion detection task, and furthermore, the log-likelihood may be difficult to determine.  If there is randomness (noise) in the image, the log-likelihood can be highly non-linear in </w:t>
      </w:r>
      <w:r w:rsidRPr="00463767">
        <w:rPr>
          <w:b/>
        </w:rPr>
        <w:t>g</w:t>
      </w:r>
      <w:r w:rsidRPr="00463767">
        <w:t xml:space="preserve">, rendering the ideal observer mathematically intractable </w:t>
      </w:r>
      <w:r w:rsidR="009B6816" w:rsidRPr="00463767">
        <w:lastRenderedPageBreak/>
        <w:fldChar w:fldCharType="begin"/>
      </w:r>
      <w:r w:rsidR="000F64FB">
        <w:instrText xml:space="preserve"> ADDIN EN.CITE &lt;EndNote&gt;&lt;Cite&gt;&lt;Author&gt;Barrett&lt;/Author&gt;&lt;Year&gt;1993&lt;/Year&gt;&lt;RecNum&gt;92&lt;/RecNum&gt;&lt;DisplayText&gt;(Barrett, Yao et al. 1993)&lt;/DisplayText&gt;&lt;record&gt;&lt;rec-number&gt;92&lt;/rec-number&gt;&lt;foreign-keys&gt;&lt;key app="EN" db-id="srwv9ppvvez5pgefxzi5ddeve5w2fe5x5esr"&gt;92&lt;/key&gt;&lt;/foreign-keys&gt;&lt;ref-type name="Journal Article"&gt;17&lt;/ref-type&gt;&lt;contributors&gt;&lt;authors&gt;&lt;author&gt;Barrett, HH&lt;/author&gt;&lt;author&gt;Yao, J&lt;/author&gt;&lt;author&gt;Rolland, JP&lt;/author&gt;&lt;author&gt;Myers, KJ&lt;/author&gt;&lt;/authors&gt;&lt;/contributors&gt;&lt;titles&gt;&lt;title&gt;Model observers for assessment of image quality&lt;/title&gt;&lt;secondary-title&gt;Proceedings of the National Academy of Sciences of the United States of America&lt;/secondary-title&gt;&lt;/titles&gt;&lt;pages&gt;9758-9765&lt;/pages&gt;&lt;volume&gt;90&lt;/volume&gt;&lt;number&gt;21&lt;/number&gt;&lt;dates&gt;&lt;year&gt;1993&lt;/year&gt;&lt;/dates&gt;&lt;urls&gt;&lt;/urls&gt;&lt;/record&gt;&lt;/Cite&gt;&lt;/EndNote&gt;</w:instrText>
      </w:r>
      <w:r w:rsidR="009B6816" w:rsidRPr="00463767">
        <w:fldChar w:fldCharType="separate"/>
      </w:r>
      <w:r w:rsidR="00B82802">
        <w:rPr>
          <w:noProof/>
        </w:rPr>
        <w:t>(</w:t>
      </w:r>
      <w:hyperlink w:anchor="_ENREF_7" w:tooltip="Barrett, 1993 #92" w:history="1">
        <w:r w:rsidR="007704DB">
          <w:rPr>
            <w:noProof/>
          </w:rPr>
          <w:t>Barrett, Yao et al. 1993</w:t>
        </w:r>
      </w:hyperlink>
      <w:r w:rsidR="00B82802">
        <w:rPr>
          <w:noProof/>
        </w:rPr>
        <w:t>)</w:t>
      </w:r>
      <w:r w:rsidR="009B6816" w:rsidRPr="00463767">
        <w:fldChar w:fldCharType="end"/>
      </w:r>
      <w:r w:rsidR="00595C8C">
        <w:t>.</w:t>
      </w:r>
      <w:r w:rsidRPr="00463767">
        <w:t xml:space="preserve"> </w:t>
      </w:r>
      <w:r w:rsidR="00614343" w:rsidRPr="00463767">
        <w:t xml:space="preserve"> Performance of the observer is typic</w:t>
      </w:r>
      <w:r w:rsidR="00614343">
        <w:t xml:space="preserve">ally rated as the detectability </w:t>
      </w:r>
      <w:r w:rsidR="00614343" w:rsidRPr="00463767">
        <w:t xml:space="preserve">index ratio with that of the ideal observer.  </w:t>
      </w:r>
    </w:p>
    <w:p w:rsidR="008D22B4" w:rsidRDefault="008D22B4" w:rsidP="008D22B4">
      <w:pPr>
        <w:pStyle w:val="Heading2"/>
      </w:pPr>
      <w:bookmarkStart w:id="70" w:name="_Toc351890013"/>
      <w:r>
        <w:t>Matched Filter</w:t>
      </w:r>
      <w:bookmarkEnd w:id="70"/>
    </w:p>
    <w:p w:rsidR="008D22B4" w:rsidRDefault="008D22B4" w:rsidP="008D22B4">
      <w:pPr>
        <w:numPr>
          <w:ilvl w:val="12"/>
          <w:numId w:val="0"/>
        </w:numPr>
        <w:spacing w:line="480" w:lineRule="auto"/>
        <w:ind w:firstLine="720"/>
        <w:rPr>
          <w:rFonts w:ascii="Book Antiqua" w:eastAsiaTheme="minorHAnsi" w:hAnsi="Book Antiqua" w:cstheme="minorBidi"/>
          <w:sz w:val="20"/>
          <w:szCs w:val="20"/>
        </w:rPr>
      </w:pPr>
      <w:r w:rsidRPr="008D22B4">
        <w:t>There are limitations on computer observers which exclude them</w:t>
      </w:r>
      <w:r w:rsidR="00824194">
        <w:t xml:space="preserve"> from clinical </w:t>
      </w:r>
      <w:r w:rsidR="00BF2179">
        <w:t xml:space="preserve">tasks, as they </w:t>
      </w:r>
      <w:r w:rsidR="00824194">
        <w:t xml:space="preserve">must </w:t>
      </w:r>
      <w:r w:rsidR="00BF2179">
        <w:t xml:space="preserve">typically </w:t>
      </w:r>
      <w:r w:rsidR="00824194">
        <w:t>be trained</w:t>
      </w:r>
      <w:r w:rsidRPr="008D22B4">
        <w:t xml:space="preserve"> using known samples from each class.  For the binary task mentioned earlier, </w:t>
      </w:r>
      <w:r w:rsidR="009A3D14">
        <w:t>the observer model</w:t>
      </w:r>
      <w:r w:rsidRPr="008D22B4">
        <w:t xml:space="preserve"> must have a sample of </w:t>
      </w:r>
      <w:r w:rsidR="00824194">
        <w:t>signal</w:t>
      </w:r>
      <w:r w:rsidRPr="008D22B4">
        <w:t xml:space="preserve">-present and </w:t>
      </w:r>
      <w:r w:rsidR="009A3D14" w:rsidRPr="008D22B4">
        <w:t>signal-absent images</w:t>
      </w:r>
      <w:r w:rsidRPr="008D22B4">
        <w:t>.  The mean difference between these classes yields the signal prof</w:t>
      </w:r>
      <w:r w:rsidR="007749E9">
        <w:t xml:space="preserve">ile and </w:t>
      </w:r>
      <w:r w:rsidRPr="008D22B4">
        <w:t>is used as the template</w:t>
      </w:r>
      <w:r w:rsidR="001871CF">
        <w:t xml:space="preserve"> of the matched filter, or non-</w:t>
      </w:r>
      <w:r w:rsidR="007749E9">
        <w:t>prewhitening</w:t>
      </w:r>
      <w:r w:rsidR="00AD7D86">
        <w:t xml:space="preserve"> (NPW)</w:t>
      </w:r>
      <w:r w:rsidR="00FB27F9">
        <w:t>,</w:t>
      </w:r>
      <w:r w:rsidR="007749E9">
        <w:t xml:space="preserve"> observer</w:t>
      </w:r>
      <w:r w:rsidRPr="008D22B4">
        <w:t>.</w:t>
      </w:r>
      <w:r w:rsidRPr="008D22B4">
        <w:rPr>
          <w:rFonts w:ascii="Book Antiqua" w:eastAsiaTheme="minorHAnsi" w:hAnsi="Book Antiqua" w:cstheme="minorBidi"/>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Pr="002843E4" w:rsidRDefault="009B6816" w:rsidP="002843E4">
            <w:pPr>
              <w:numPr>
                <w:ilvl w:val="12"/>
                <w:numId w:val="0"/>
              </w:numPr>
              <w:spacing w:line="480" w:lineRule="auto"/>
              <w:ind w:firstLine="720"/>
              <w:rPr>
                <w:b/>
              </w:rPr>
            </w:pPr>
            <m:oMathPara>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NPW</m:t>
                    </m:r>
                  </m:sub>
                </m:sSub>
                <m:d>
                  <m:dPr>
                    <m:ctrlPr>
                      <w:rPr>
                        <w:rFonts w:ascii="Cambria Math" w:hAnsi="Cambria Math"/>
                        <w:i/>
                      </w:rPr>
                    </m:ctrlPr>
                  </m:dPr>
                  <m:e>
                    <m:r>
                      <m:rPr>
                        <m:sty m:val="b"/>
                      </m:rPr>
                      <w:rPr>
                        <w:rFonts w:ascii="Cambria Math" w:hAnsi="Cambria Math"/>
                      </w:rPr>
                      <m:t>g</m:t>
                    </m:r>
                  </m:e>
                </m:d>
                <m:r>
                  <w:rPr>
                    <w:rFonts w:ascii="Cambria Math" w:hAnsi="Cambria Math"/>
                  </w:rPr>
                  <m:t>=</m:t>
                </m:r>
                <m:sSup>
                  <m:sSupPr>
                    <m:ctrlPr>
                      <w:rPr>
                        <w:rFonts w:ascii="Cambria Math" w:hAnsi="Cambria Math"/>
                      </w:rPr>
                    </m:ctrlPr>
                  </m:sSupPr>
                  <m:e>
                    <m:r>
                      <m:rPr>
                        <m:sty m:val="b"/>
                      </m:rPr>
                      <w:rPr>
                        <w:rFonts w:ascii="Cambria Math" w:hAnsi="Cambria Math"/>
                      </w:rPr>
                      <m:t>w</m:t>
                    </m:r>
                  </m:e>
                  <m:sup>
                    <m:r>
                      <w:rPr>
                        <w:rFonts w:ascii="Cambria Math" w:hAnsi="Cambria Math"/>
                      </w:rPr>
                      <m:t>t</m:t>
                    </m:r>
                  </m:sup>
                </m:sSup>
                <m:r>
                  <m:rPr>
                    <m:sty m:val="b"/>
                  </m:rPr>
                  <w:rPr>
                    <w:rFonts w:ascii="Cambria Math" w:hAnsi="Cambria Math"/>
                  </w:rPr>
                  <m:t>g</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3</w:instrText>
              </w:r>
            </w:fldSimple>
            <w:r w:rsidR="002843E4">
              <w:instrText>)</w:instrText>
            </w:r>
            <w:r>
              <w:fldChar w:fldCharType="end"/>
            </w:r>
          </w:p>
        </w:tc>
      </w:tr>
    </w:tbl>
    <w:p w:rsidR="008D22B4" w:rsidRDefault="00EE1934" w:rsidP="00EE1934">
      <w:pPr>
        <w:numPr>
          <w:ilvl w:val="12"/>
          <w:numId w:val="0"/>
        </w:numPr>
        <w:spacing w:line="480" w:lineRule="auto"/>
      </w:pPr>
      <w:proofErr w:type="gramStart"/>
      <w:r>
        <w:t>where</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2843E4" w:rsidP="002843E4">
            <w:pPr>
              <w:numPr>
                <w:ilvl w:val="12"/>
                <w:numId w:val="0"/>
              </w:numPr>
              <w:spacing w:line="480" w:lineRule="auto"/>
              <w:ind w:firstLine="720"/>
            </w:pPr>
            <m:oMathPara>
              <m:oMath>
                <m:r>
                  <m:rPr>
                    <m:sty m:val="b"/>
                  </m:rPr>
                  <w:rPr>
                    <w:rFonts w:ascii="Cambria Math" w:hAnsi="Cambria Math"/>
                  </w:rPr>
                  <m:t>w</m:t>
                </m:r>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4</w:instrText>
              </w:r>
            </w:fldSimple>
            <w:r w:rsidR="002843E4">
              <w:instrText>)</w:instrText>
            </w:r>
            <w:r>
              <w:fldChar w:fldCharType="end"/>
            </w:r>
          </w:p>
        </w:tc>
      </w:tr>
    </w:tbl>
    <w:p w:rsidR="00CF252E" w:rsidRDefault="008D22B4" w:rsidP="00CF252E">
      <w:pPr>
        <w:numPr>
          <w:ilvl w:val="12"/>
          <w:numId w:val="0"/>
        </w:numPr>
        <w:spacing w:line="480" w:lineRule="auto"/>
        <w:ind w:firstLine="720"/>
      </w:pPr>
      <w:r w:rsidRPr="008D22B4">
        <w:t xml:space="preserve">The test statistic for the matched filter is the inner scalar product of the signal profile and the image.  </w:t>
      </w:r>
    </w:p>
    <w:p w:rsidR="002A4AC0" w:rsidRDefault="00CF252E" w:rsidP="00515F4F">
      <w:pPr>
        <w:numPr>
          <w:ilvl w:val="12"/>
          <w:numId w:val="0"/>
        </w:numPr>
        <w:spacing w:line="480" w:lineRule="auto"/>
        <w:ind w:firstLine="720"/>
      </w:pPr>
      <w:r>
        <w:t xml:space="preserve">The </w:t>
      </w:r>
      <w:r w:rsidRPr="00A54A4B">
        <w:t xml:space="preserve">SKE/BKE </w:t>
      </w:r>
      <w:r>
        <w:t xml:space="preserve">task </w:t>
      </w:r>
      <w:r w:rsidRPr="00A54A4B">
        <w:t>is the simplest example of a signal detection task</w:t>
      </w:r>
      <w:r>
        <w:t xml:space="preserve">, and is important because the likelihood ratio can be calculated by simple linear </w:t>
      </w:r>
      <w:r w:rsidR="003900E5">
        <w:t>discrimination</w:t>
      </w:r>
      <w:r>
        <w:t xml:space="preserve">.  In this case, the only randomness will be within the </w:t>
      </w:r>
      <w:r w:rsidR="00585E5E">
        <w:t xml:space="preserve">observer </w:t>
      </w:r>
      <w:r>
        <w:t xml:space="preserve">measurement </w:t>
      </w:r>
      <w:r w:rsidR="003900E5">
        <w:t xml:space="preserve">itself </w:t>
      </w:r>
      <w:r>
        <w:t xml:space="preserve">and can be modeled as a stationary, white, Gaussian process </w:t>
      </w:r>
      <w:fldSimple w:instr="">
        <w:r>
          <w:t>[Barrett, 1992 #261]</w:t>
        </w:r>
      </w:fldSimple>
      <w:r w:rsidR="009B6816">
        <w:fldChar w:fldCharType="begin"/>
      </w:r>
      <w:r w:rsidR="002D7C36">
        <w:instrText xml:space="preserve"> ADDIN EN.CITE &lt;EndNote&gt;&lt;Cite&gt;&lt;Author&gt;Barrett&lt;/Author&gt;&lt;Year&gt;1992&lt;/Year&gt;&lt;RecNum&gt;261&lt;/RecNum&gt;&lt;DisplayText&gt;(Barrett, Gooley et al. 1992)&lt;/DisplayText&gt;&lt;record&gt;&lt;rec-number&gt;261&lt;/rec-number&gt;&lt;foreign-keys&gt;&lt;key app="EN" db-id="srwv9ppvvez5pgefxzi5ddeve5w2fe5x5esr"&gt;261&lt;/key&gt;&lt;/foreign-keys&gt;&lt;ref-type name="Journal Article"&gt;17&lt;/ref-type&gt;&lt;contributors&gt;&lt;authors&gt;&lt;author&gt;Barrett, H. H.&lt;/author&gt;&lt;author&gt;Gooley, T.&lt;/author&gt;&lt;author&gt;Girodias, K.&lt;/author&gt;&lt;author&gt;Rolland, J.&lt;/author&gt;&lt;author&gt;White, T.&lt;/author&gt;&lt;author&gt;Yao, J.&lt;/author&gt;&lt;/authors&gt;&lt;/contributors&gt;&lt;titles&gt;&lt;title&gt;Linear discriminants and image quality&lt;/title&gt;&lt;secondary-title&gt;Image and Vision Computing&lt;/secondary-title&gt;&lt;/titles&gt;&lt;pages&gt;451-460&lt;/pages&gt;&lt;volume&gt;10&lt;/volume&gt;&lt;number&gt;6&lt;/number&gt;&lt;keywords&gt;&lt;keyword&gt;image quality&lt;/keyword&gt;&lt;keyword&gt;medical imaging&lt;/keyword&gt;&lt;keyword&gt;linear discriminant functions&lt;/keyword&gt;&lt;keyword&gt;ideal observer&lt;/keyword&gt;&lt;keyword&gt;Hotelling trace&lt;/keyword&gt;&lt;/keywords&gt;&lt;dates&gt;&lt;year&gt;1992&lt;/year&gt;&lt;/dates&gt;&lt;isbn&gt;0262-8856&lt;/isbn&gt;&lt;urls&gt;&lt;related-urls&gt;&lt;url&gt;http://www.sciencedirect.com/science/article/pii/0262885692900307&lt;/url&gt;&lt;/related-urls&gt;&lt;/urls&gt;&lt;electronic-resource-num&gt;10.1016/0262-8856(92)90030-7&lt;/electronic-resource-num&gt;&lt;access-date&gt;1992/8//&lt;/access-date&gt;&lt;/record&gt;&lt;/Cite&gt;&lt;/EndNote&gt;</w:instrText>
      </w:r>
      <w:r w:rsidR="009B6816">
        <w:fldChar w:fldCharType="separate"/>
      </w:r>
      <w:r w:rsidR="00B82802">
        <w:rPr>
          <w:noProof/>
        </w:rPr>
        <w:t>(</w:t>
      </w:r>
      <w:hyperlink w:anchor="_ENREF_8" w:tooltip="Barrett, 1992 #261" w:history="1">
        <w:r w:rsidR="007704DB">
          <w:rPr>
            <w:noProof/>
          </w:rPr>
          <w:t>Barrett, Gooley et al. 1992</w:t>
        </w:r>
      </w:hyperlink>
      <w:r w:rsidR="00B82802">
        <w:rPr>
          <w:noProof/>
        </w:rPr>
        <w:t>)</w:t>
      </w:r>
      <w:r w:rsidR="009B6816">
        <w:fldChar w:fldCharType="end"/>
      </w:r>
      <w:r>
        <w:t xml:space="preserve">.  </w:t>
      </w:r>
      <w:r w:rsidR="001D10D5">
        <w:t>In this situation</w:t>
      </w:r>
      <w:r>
        <w:t xml:space="preserve">, the </w:t>
      </w:r>
      <w:r w:rsidR="001D10D5">
        <w:t>matched filter is the ideal observer</w:t>
      </w:r>
      <w:r>
        <w:t xml:space="preserve">. </w:t>
      </w:r>
    </w:p>
    <w:p w:rsidR="00585E5E" w:rsidRDefault="00585E5E" w:rsidP="00515F4F">
      <w:pPr>
        <w:numPr>
          <w:ilvl w:val="12"/>
          <w:numId w:val="0"/>
        </w:numPr>
        <w:spacing w:line="480" w:lineRule="auto"/>
        <w:ind w:firstLine="720"/>
      </w:pPr>
      <w:r>
        <w:t>To illustrate this concept</w:t>
      </w:r>
      <w:r w:rsidR="00A51A87">
        <w:t>,</w:t>
      </w:r>
      <w:r>
        <w:t xml:space="preserve"> is it </w:t>
      </w:r>
      <w:r w:rsidR="00CA3615">
        <w:t>helpful</w:t>
      </w:r>
      <w:r>
        <w:t xml:space="preserve"> to </w:t>
      </w:r>
      <w:r w:rsidR="00CA3615">
        <w:t xml:space="preserve">constrain our problem to 2 dimensions.     </w:t>
      </w:r>
      <w:r w:rsidR="007B41DE">
        <w:t xml:space="preserve">The figure below shows two distributions of the same Gaussian </w:t>
      </w:r>
      <w:r w:rsidR="00824194">
        <w:t>random process, in this case, the classifications of images into those wi</w:t>
      </w:r>
      <w:r w:rsidR="007B41DE">
        <w:t xml:space="preserve">th and without a signal present.  Each </w:t>
      </w:r>
      <w:r w:rsidR="007B41DE">
        <w:lastRenderedPageBreak/>
        <w:t xml:space="preserve">scatter element represents </w:t>
      </w:r>
      <w:r w:rsidR="00594CCD">
        <w:t>an observer</w:t>
      </w:r>
      <w:r w:rsidR="007B41DE">
        <w:t xml:space="preserve"> measurement made for a single image, </w:t>
      </w:r>
      <w:r w:rsidR="00B062ED">
        <w:t xml:space="preserve">i.e. </w:t>
      </w:r>
      <w:r w:rsidR="007B41DE">
        <w:t>the test statistic.</w:t>
      </w:r>
    </w:p>
    <w:p w:rsidR="00824194" w:rsidRDefault="00824194" w:rsidP="00515F4F">
      <w:pPr>
        <w:numPr>
          <w:ilvl w:val="12"/>
          <w:numId w:val="0"/>
        </w:numPr>
        <w:spacing w:line="480" w:lineRule="auto"/>
        <w:ind w:firstLine="720"/>
      </w:pPr>
    </w:p>
    <w:p w:rsidR="00A963B8" w:rsidRDefault="00491FCA" w:rsidP="006305D1">
      <w:pPr>
        <w:suppressAutoHyphens/>
        <w:autoSpaceDE w:val="0"/>
        <w:ind w:left="1440" w:right="-180" w:firstLine="720"/>
      </w:pPr>
      <w:r>
        <w:rPr>
          <w:noProof/>
        </w:rPr>
        <w:drawing>
          <wp:inline distT="0" distB="0" distL="0" distR="0">
            <wp:extent cx="3436620" cy="2491105"/>
            <wp:effectExtent l="19050" t="0" r="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srcRect/>
                    <a:stretch>
                      <a:fillRect/>
                    </a:stretch>
                  </pic:blipFill>
                  <pic:spPr bwMode="auto">
                    <a:xfrm>
                      <a:off x="0" y="0"/>
                      <a:ext cx="3436620" cy="2491105"/>
                    </a:xfrm>
                    <a:prstGeom prst="rect">
                      <a:avLst/>
                    </a:prstGeom>
                    <a:noFill/>
                    <a:ln w="9525">
                      <a:noFill/>
                      <a:miter lim="800000"/>
                      <a:headEnd/>
                      <a:tailEnd/>
                    </a:ln>
                  </pic:spPr>
                </pic:pic>
              </a:graphicData>
            </a:graphic>
          </wp:inline>
        </w:drawing>
      </w:r>
      <w:r w:rsidR="00A963B8" w:rsidRPr="00A963B8">
        <w:t xml:space="preserve"> </w:t>
      </w:r>
    </w:p>
    <w:p w:rsidR="00A963B8" w:rsidRDefault="00A963B8" w:rsidP="00A963B8">
      <w:pPr>
        <w:pStyle w:val="Caption"/>
      </w:pPr>
      <w:bookmarkStart w:id="71" w:name="_Toc351890064"/>
      <w:proofErr w:type="gramStart"/>
      <w:r>
        <w:t xml:space="preserve">Figure </w:t>
      </w:r>
      <w:fldSimple w:instr=" SEQ Figure \* ARABIC ">
        <w:r w:rsidR="005B6C27">
          <w:rPr>
            <w:noProof/>
          </w:rPr>
          <w:t>23</w:t>
        </w:r>
      </w:fldSimple>
      <w:r>
        <w:t>.</w:t>
      </w:r>
      <w:proofErr w:type="gramEnd"/>
      <w:r>
        <w:t xml:space="preserve"> </w:t>
      </w:r>
      <w:proofErr w:type="gramStart"/>
      <w:r w:rsidR="007B41DE">
        <w:t>A</w:t>
      </w:r>
      <w:r w:rsidR="0012306C">
        <w:t xml:space="preserve"> random Gaussian process and the respective </w:t>
      </w:r>
      <w:r w:rsidR="007B41DE">
        <w:t>histogrammed density functions</w:t>
      </w:r>
      <w:r w:rsidR="004C0273">
        <w:t>.</w:t>
      </w:r>
      <w:proofErr w:type="gramEnd"/>
      <w:r w:rsidR="004C0273">
        <w:t xml:space="preserve">  </w:t>
      </w:r>
      <w:r w:rsidR="001B5679">
        <w:t>The</w:t>
      </w:r>
      <w:r w:rsidR="001E6266">
        <w:t xml:space="preserve"> blue group represents the </w:t>
      </w:r>
      <w:r w:rsidR="001B5679">
        <w:t xml:space="preserve">observer </w:t>
      </w:r>
      <w:r w:rsidR="006828D1">
        <w:t>measurement</w:t>
      </w:r>
      <w:r w:rsidR="001B5679">
        <w:t>s</w:t>
      </w:r>
      <w:r w:rsidR="006828D1">
        <w:t xml:space="preserve"> made</w:t>
      </w:r>
      <w:r w:rsidR="00976AF6">
        <w:t xml:space="preserve"> within samples from the </w:t>
      </w:r>
      <w:r w:rsidR="001E6266">
        <w:t>signal-absent class and the red represent</w:t>
      </w:r>
      <w:r w:rsidR="00976AF6">
        <w:t>s those from</w:t>
      </w:r>
      <w:r w:rsidR="001E6266">
        <w:t xml:space="preserve"> the signal-present class</w:t>
      </w:r>
      <w:r w:rsidR="006F5F62">
        <w:t>.  The ideal observer template is defined by the difference in class means.</w:t>
      </w:r>
      <w:bookmarkEnd w:id="71"/>
    </w:p>
    <w:p w:rsidR="0036456E" w:rsidRDefault="0036456E" w:rsidP="00515F4F">
      <w:pPr>
        <w:numPr>
          <w:ilvl w:val="12"/>
          <w:numId w:val="0"/>
        </w:numPr>
        <w:spacing w:line="480" w:lineRule="auto"/>
        <w:ind w:firstLine="720"/>
      </w:pPr>
    </w:p>
    <w:p w:rsidR="0036456E" w:rsidRDefault="00472507" w:rsidP="00515F4F">
      <w:pPr>
        <w:numPr>
          <w:ilvl w:val="12"/>
          <w:numId w:val="0"/>
        </w:numPr>
        <w:spacing w:line="480" w:lineRule="auto"/>
        <w:ind w:firstLine="720"/>
      </w:pPr>
      <w:r>
        <w:t xml:space="preserve">For the purpose here, it </w:t>
      </w:r>
      <w:r w:rsidR="002B4559">
        <w:t>is</w:t>
      </w:r>
      <w:r>
        <w:t xml:space="preserve"> </w:t>
      </w:r>
      <w:r w:rsidR="002B4559">
        <w:t>practical</w:t>
      </w:r>
      <w:r>
        <w:t xml:space="preserve"> to think of this as a set of two-pixel images, with a signal present or absent at the same pixel in each, and the </w:t>
      </w:r>
      <w:r w:rsidR="00594CCD">
        <w:t xml:space="preserve">only difference in the </w:t>
      </w:r>
      <w:r>
        <w:t xml:space="preserve">class distributions </w:t>
      </w:r>
      <w:r w:rsidR="00594CCD">
        <w:t>lies along the dimension</w:t>
      </w:r>
      <w:r>
        <w:t xml:space="preserve"> </w:t>
      </w:r>
      <w:r w:rsidR="00594CCD">
        <w:t>associated with</w:t>
      </w:r>
      <w:r>
        <w:t xml:space="preserve"> that pixel.  Thus the discriminant </w:t>
      </w:r>
      <w:r w:rsidR="00A6456B">
        <w:t xml:space="preserve">which provides maximum separation of the density functions </w:t>
      </w:r>
      <w:r>
        <w:t xml:space="preserve">is defined by the mean difference </w:t>
      </w:r>
      <w:r w:rsidR="00594CCD">
        <w:t>of th</w:t>
      </w:r>
      <w:r w:rsidR="004B1334">
        <w:t>at</w:t>
      </w:r>
      <w:r w:rsidR="00594CCD">
        <w:t xml:space="preserve"> pixel</w:t>
      </w:r>
      <w:r w:rsidR="004B1334">
        <w:t>, between the two classes</w:t>
      </w:r>
      <w:r w:rsidR="00A6456B">
        <w:t>.</w:t>
      </w:r>
      <w:r w:rsidR="00FD07E4">
        <w:t xml:space="preserve">  While this is an obvious oversimplification, it provides a convenient means to visualize the discriminative process of the observer</w:t>
      </w:r>
      <w:r w:rsidR="00B64E36">
        <w:t xml:space="preserve"> model</w:t>
      </w:r>
      <w:r w:rsidR="00FD07E4">
        <w:t>, and it is directly extended to situations in higher dimensions.</w:t>
      </w:r>
    </w:p>
    <w:p w:rsidR="00515F4F" w:rsidRDefault="00905C29" w:rsidP="00515F4F">
      <w:pPr>
        <w:pStyle w:val="Heading2"/>
      </w:pPr>
      <w:bookmarkStart w:id="72" w:name="_Toc351890014"/>
      <w:r>
        <w:lastRenderedPageBreak/>
        <w:t xml:space="preserve">Correlated </w:t>
      </w:r>
      <w:r w:rsidR="00515F4F">
        <w:t>Noise</w:t>
      </w:r>
      <w:bookmarkEnd w:id="72"/>
    </w:p>
    <w:p w:rsidR="00A54A4B" w:rsidRDefault="00D7048A" w:rsidP="00A035BF">
      <w:pPr>
        <w:numPr>
          <w:ilvl w:val="12"/>
          <w:numId w:val="0"/>
        </w:numPr>
        <w:spacing w:line="480" w:lineRule="auto"/>
        <w:ind w:firstLine="720"/>
      </w:pPr>
      <w:r w:rsidRPr="00FB7595">
        <w:t xml:space="preserve">Raw PET data sets </w:t>
      </w:r>
      <w:r w:rsidR="005262BF">
        <w:t>contain</w:t>
      </w:r>
      <w:r w:rsidRPr="00FB7595">
        <w:t xml:space="preserve"> Poisson</w:t>
      </w:r>
      <w:r w:rsidR="00A765B4">
        <w:t>-stru</w:t>
      </w:r>
      <w:r w:rsidR="003971BC">
        <w:t>ctured</w:t>
      </w:r>
      <w:r w:rsidRPr="00FB7595">
        <w:t xml:space="preserve"> noise, which is uncorrelated.  When this raw data is reconstructed, using filtered backprojection or an iterative algorithm, </w:t>
      </w:r>
      <w:r w:rsidR="00F904E5">
        <w:t>i</w:t>
      </w:r>
      <w:r w:rsidR="00B13CE0">
        <w:t>t</w:t>
      </w:r>
      <w:r w:rsidR="006036FB">
        <w:t xml:space="preserve"> </w:t>
      </w:r>
      <w:r w:rsidRPr="00FB7595">
        <w:t xml:space="preserve">becomes correlated </w:t>
      </w:r>
      <w:r w:rsidR="00483060">
        <w:t>by the acquisition process,</w:t>
      </w:r>
      <w:r w:rsidRPr="00FB7595">
        <w:t xml:space="preserve"> the use of frequency-dependent filters</w:t>
      </w:r>
      <w:r>
        <w:t>, post reconstruction smoothing,</w:t>
      </w:r>
      <w:r w:rsidRPr="00FB7595">
        <w:t xml:space="preserve"> and</w:t>
      </w:r>
      <w:r>
        <w:t xml:space="preserve"> other</w:t>
      </w:r>
      <w:r w:rsidRPr="00FB7595">
        <w:t xml:space="preserve"> image estimation methods</w:t>
      </w:r>
      <w:r>
        <w:t xml:space="preserve">.  </w:t>
      </w:r>
      <w:r w:rsidRPr="00FB7595">
        <w:t xml:space="preserve"> </w:t>
      </w:r>
      <w:r w:rsidR="00A035BF">
        <w:t>Now the</w:t>
      </w:r>
      <w:r w:rsidR="00905C29">
        <w:t xml:space="preserve"> measurement noise is Gaussian but not white</w:t>
      </w:r>
      <w:r w:rsidR="00A035BF">
        <w:t>, and the</w:t>
      </w:r>
      <w:r w:rsidR="00905C29">
        <w:t xml:space="preserve"> likelihood ratio is calculated </w:t>
      </w:r>
      <w:r w:rsidR="00614343">
        <w:t>through data whitening, in addition to</w:t>
      </w:r>
      <w:r w:rsidR="00905C29">
        <w:t xml:space="preserve"> the matched filter operation.</w:t>
      </w:r>
      <w:r w:rsidR="00614343">
        <w:t xml:space="preserve">  </w:t>
      </w:r>
      <w:r w:rsidR="00FB7595">
        <w:t xml:space="preserve">This noise </w:t>
      </w:r>
      <w:r w:rsidR="00DE35FF">
        <w:t>is</w:t>
      </w:r>
      <w:r w:rsidR="00FB7595">
        <w:t xml:space="preserve"> modeled as a correlated Gaussian process with the</w:t>
      </w:r>
      <w:r w:rsidR="00DE6588">
        <w:t xml:space="preserve"> covariance matrices</w:t>
      </w:r>
      <w:r w:rsidR="00FB7595">
        <w:t xml:space="preserve"> </w:t>
      </w:r>
      <w:r w:rsidR="00DE6588">
        <w:t>assumed to be identical</w:t>
      </w:r>
      <w:r w:rsidR="00A54A4B" w:rsidRPr="00A54A4B">
        <w:t xml:space="preserve"> between the two </w:t>
      </w:r>
      <w:proofErr w:type="gramStart"/>
      <w:r w:rsidR="00A54A4B" w:rsidRPr="00A54A4B">
        <w:t xml:space="preserve">classes </w:t>
      </w:r>
      <m:oMath>
        <w:proofErr w:type="gramEnd"/>
        <m:r>
          <w:rPr>
            <w:rFonts w:ascii="Cambria Math" w:hAnsi="Cambria Math"/>
          </w:rPr>
          <m:t>j=1, 2</m:t>
        </m:r>
      </m:oMath>
      <w:r w:rsidR="002843E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b/>
                        <w:i/>
                      </w:rPr>
                    </m:ctrlPr>
                  </m:sSubPr>
                  <m:e>
                    <m:r>
                      <m:rPr>
                        <m:sty m:val="b"/>
                      </m:rPr>
                      <w:rPr>
                        <w:rFonts w:ascii="Cambria Math" w:hAnsi="Cambria Math"/>
                      </w:rPr>
                      <m:t>K</m:t>
                    </m:r>
                  </m:e>
                  <m:sub>
                    <m:r>
                      <w:rPr>
                        <w:rFonts w:ascii="Cambria Math" w:hAnsi="Cambria Math"/>
                      </w:rPr>
                      <m:t>j</m:t>
                    </m:r>
                  </m:sub>
                </m:sSub>
                <m:r>
                  <w:rPr>
                    <w:rFonts w:ascii="Cambria Math"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b/>
                              </w:rPr>
                            </m:ctrlPr>
                          </m:sSubPr>
                          <m:e>
                            <m:r>
                              <m:rPr>
                                <m:sty m:val="b"/>
                              </m:rPr>
                              <w:rPr>
                                <w:rFonts w:ascii="Cambria Math" w:hAnsi="Cambria Math"/>
                              </w:rPr>
                              <m:t>g</m:t>
                            </m:r>
                          </m:e>
                          <m:sub>
                            <m:r>
                              <w:rPr>
                                <w:rFonts w:ascii="Cambria Math" w:hAnsi="Cambria Math"/>
                              </w:rPr>
                              <m:t>j</m:t>
                            </m:r>
                            <m:ctrlPr>
                              <w:rPr>
                                <w:rFonts w:ascii="Cambria Math" w:hAnsi="Cambria Math"/>
                                <w:i/>
                              </w:rPr>
                            </m:ctrlPr>
                          </m:sub>
                        </m:sSub>
                        <m:r>
                          <m:rPr>
                            <m:sty m:val="b"/>
                          </m:rP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j</m:t>
                            </m:r>
                          </m:sub>
                        </m:sSub>
                      </m:e>
                    </m:d>
                    <m:sSup>
                      <m:sSupPr>
                        <m:ctrlPr>
                          <w:rPr>
                            <w:rFonts w:ascii="Cambria Math" w:hAnsi="Cambria Math"/>
                            <w:i/>
                          </w:rPr>
                        </m:ctrlPr>
                      </m:sSupPr>
                      <m:e>
                        <m:d>
                          <m:dPr>
                            <m:ctrlPr>
                              <w:rPr>
                                <w:rFonts w:ascii="Cambria Math" w:hAnsi="Cambria Math"/>
                                <w:i/>
                              </w:rPr>
                            </m:ctrlPr>
                          </m:dPr>
                          <m:e>
                            <m:sSub>
                              <m:sSubPr>
                                <m:ctrlPr>
                                  <w:rPr>
                                    <w:rFonts w:ascii="Cambria Math" w:hAnsi="Cambria Math"/>
                                    <w:b/>
                                  </w:rPr>
                                </m:ctrlPr>
                              </m:sSubPr>
                              <m:e>
                                <m:r>
                                  <m:rPr>
                                    <m:sty m:val="b"/>
                                  </m:rPr>
                                  <w:rPr>
                                    <w:rFonts w:ascii="Cambria Math" w:hAnsi="Cambria Math"/>
                                  </w:rPr>
                                  <m:t>g</m:t>
                                </m:r>
                              </m:e>
                              <m:sub>
                                <m:r>
                                  <w:rPr>
                                    <w:rFonts w:ascii="Cambria Math" w:hAnsi="Cambria Math"/>
                                  </w:rPr>
                                  <m:t>j</m:t>
                                </m:r>
                                <m:ctrlPr>
                                  <w:rPr>
                                    <w:rFonts w:ascii="Cambria Math" w:hAnsi="Cambria Math"/>
                                    <w:i/>
                                  </w:rPr>
                                </m:ctrlPr>
                              </m:sub>
                            </m:sSub>
                            <m:r>
                              <m:rPr>
                                <m:sty m:val="b"/>
                              </m:rP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j</m:t>
                                </m:r>
                              </m:sub>
                            </m:sSub>
                          </m:e>
                        </m:d>
                      </m:e>
                      <m:sup>
                        <m:r>
                          <w:rPr>
                            <w:rFonts w:ascii="Cambria Math" w:hAnsi="Cambria Math"/>
                          </w:rPr>
                          <m:t>t</m:t>
                        </m:r>
                      </m:sup>
                    </m:sSup>
                  </m:e>
                </m:d>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5</w:instrText>
              </w:r>
            </w:fldSimple>
            <w:r w:rsidR="002843E4">
              <w:instrText>)</w:instrText>
            </w:r>
            <w:r>
              <w:fldChar w:fldCharType="end"/>
            </w:r>
          </w:p>
        </w:tc>
      </w:tr>
    </w:tbl>
    <w:p w:rsidR="00FB7595" w:rsidRPr="00FB7595" w:rsidRDefault="00A54A4B" w:rsidP="009F3993">
      <w:pPr>
        <w:numPr>
          <w:ilvl w:val="12"/>
          <w:numId w:val="0"/>
        </w:numPr>
        <w:spacing w:line="480" w:lineRule="auto"/>
        <w:ind w:firstLine="720"/>
        <w:rPr>
          <w:color w:val="FF0000"/>
        </w:rPr>
      </w:pPr>
      <w:r w:rsidRPr="00A54A4B">
        <w:t>The covariance matrix has the dimensions N</w:t>
      </w:r>
      <w:r w:rsidR="00F017E0">
        <w:t xml:space="preserve"> by </w:t>
      </w:r>
      <w:r w:rsidRPr="00A54A4B">
        <w:t xml:space="preserve">N, where N is the number of measurements.  When </w:t>
      </w:r>
      <m:oMath>
        <m:r>
          <m:rPr>
            <m:sty m:val="b"/>
          </m:rPr>
          <w:rPr>
            <w:rFonts w:ascii="Cambria Math" w:hAnsi="Cambria Math"/>
          </w:rPr>
          <m:t>g</m:t>
        </m:r>
      </m:oMath>
      <w:r w:rsidRPr="00A54A4B">
        <w:t xml:space="preserve"> represents image data, N is the number of pixels.</w:t>
      </w:r>
    </w:p>
    <w:p w:rsidR="00FB7595" w:rsidRDefault="00FB7595" w:rsidP="00FB7595">
      <w:pPr>
        <w:numPr>
          <w:ilvl w:val="12"/>
          <w:numId w:val="0"/>
        </w:numPr>
        <w:spacing w:line="480" w:lineRule="auto"/>
        <w:ind w:firstLine="720"/>
      </w:pPr>
      <w:r w:rsidRPr="00FB7595">
        <w:t>In the presence of correlated noise, the ideal observer first removes this correlation</w:t>
      </w:r>
      <w:r>
        <w:t>,</w:t>
      </w:r>
      <w:r w:rsidRPr="00FB7595">
        <w:t xml:space="preserve"> and signal analysis is then performed.  Using this model, the pre-whitening operation is achieved through multipl</w:t>
      </w:r>
      <w:r w:rsidR="0024579A">
        <w:t xml:space="preserve">ication </w:t>
      </w:r>
      <w:r w:rsidRPr="00FB7595">
        <w:t>of the data with the inverse of the observer covariance matrix.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PW</m:t>
                    </m:r>
                  </m:sub>
                </m:sSub>
                <m:d>
                  <m:dPr>
                    <m:ctrlPr>
                      <w:rPr>
                        <w:rFonts w:ascii="Cambria Math" w:hAnsi="Cambria Math"/>
                        <w:i/>
                      </w:rPr>
                    </m:ctrlPr>
                  </m:dPr>
                  <m:e>
                    <m:r>
                      <m:rPr>
                        <m:sty m:val="b"/>
                      </m:rPr>
                      <w:rPr>
                        <w:rFonts w:ascii="Cambria Math" w:hAnsi="Cambria Math"/>
                      </w:rPr>
                      <m:t>g</m:t>
                    </m:r>
                  </m:e>
                </m:d>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sSup>
                  <m:sSupPr>
                    <m:ctrlPr>
                      <w:rPr>
                        <w:rFonts w:ascii="Cambria Math" w:hAnsi="Cambria Math"/>
                        <w:i/>
                      </w:rPr>
                    </m:ctrlPr>
                  </m:sSupPr>
                  <m:e>
                    <m:r>
                      <m:rPr>
                        <m:sty m:val="b"/>
                      </m:rPr>
                      <w:rPr>
                        <w:rFonts w:ascii="Cambria Math" w:hAnsi="Cambria Math"/>
                      </w:rPr>
                      <m:t>K</m:t>
                    </m:r>
                  </m:e>
                  <m:sup>
                    <m:r>
                      <w:rPr>
                        <w:rFonts w:ascii="Cambria Math" w:hAnsi="Cambria Math"/>
                      </w:rPr>
                      <m:t>-1</m:t>
                    </m:r>
                  </m:sup>
                </m:sSup>
                <m:r>
                  <m:rPr>
                    <m:sty m:val="b"/>
                  </m:rPr>
                  <w:rPr>
                    <w:rFonts w:ascii="Cambria Math" w:hAnsi="Cambria Math"/>
                  </w:rPr>
                  <m:t>g</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6</w:instrText>
              </w:r>
            </w:fldSimple>
            <w:r w:rsidR="002843E4">
              <w:instrText>)</w:instrText>
            </w:r>
            <w:r>
              <w:fldChar w:fldCharType="end"/>
            </w:r>
          </w:p>
        </w:tc>
      </w:tr>
    </w:tbl>
    <w:p w:rsidR="00FA3BD8" w:rsidRDefault="00FB7595" w:rsidP="00D7048A">
      <w:pPr>
        <w:numPr>
          <w:ilvl w:val="12"/>
          <w:numId w:val="0"/>
        </w:numPr>
        <w:spacing w:line="480" w:lineRule="auto"/>
        <w:ind w:firstLine="720"/>
      </w:pPr>
      <w:r w:rsidRPr="00FB7595">
        <w:t xml:space="preserve">The SKE-BKE lesion detection task is unique in that the log-likelihood ratio of the ideal observer can (usually) be easily calculated.  </w:t>
      </w:r>
      <w:r w:rsidR="0024579A">
        <w:t>Th</w:t>
      </w:r>
      <w:r w:rsidR="00436215">
        <w:t xml:space="preserve">e assumption of identical class </w:t>
      </w:r>
      <w:r w:rsidR="0024579A">
        <w:t xml:space="preserve">covariance matrices preserves the linearity in the calculation of the test statistic.  </w:t>
      </w:r>
      <w:r w:rsidR="00444116">
        <w:t xml:space="preserve">This is illustrated below following our earlier example.  The distributions have the same means as before but </w:t>
      </w:r>
      <w:r w:rsidR="00972FDD">
        <w:t>now the measurements are correlated between pixels.</w:t>
      </w:r>
    </w:p>
    <w:p w:rsidR="00491FCA" w:rsidRDefault="00491FCA" w:rsidP="00D7048A">
      <w:pPr>
        <w:numPr>
          <w:ilvl w:val="12"/>
          <w:numId w:val="0"/>
        </w:numPr>
        <w:spacing w:line="480" w:lineRule="auto"/>
        <w:ind w:firstLine="720"/>
      </w:pPr>
    </w:p>
    <w:p w:rsidR="00501C9E" w:rsidRDefault="00B0422C" w:rsidP="006305D1">
      <w:pPr>
        <w:suppressAutoHyphens/>
        <w:autoSpaceDE w:val="0"/>
        <w:ind w:left="1440" w:right="-180" w:firstLine="720"/>
      </w:pPr>
      <w:r>
        <w:rPr>
          <w:noProof/>
        </w:rPr>
        <w:drawing>
          <wp:inline distT="0" distB="0" distL="0" distR="0">
            <wp:extent cx="3421380" cy="2475230"/>
            <wp:effectExtent l="19050" t="0" r="7620" b="0"/>
            <wp:docPr id="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3421380" cy="2475230"/>
                    </a:xfrm>
                    <a:prstGeom prst="rect">
                      <a:avLst/>
                    </a:prstGeom>
                    <a:noFill/>
                    <a:ln w="9525">
                      <a:noFill/>
                      <a:miter lim="800000"/>
                      <a:headEnd/>
                      <a:tailEnd/>
                    </a:ln>
                  </pic:spPr>
                </pic:pic>
              </a:graphicData>
            </a:graphic>
          </wp:inline>
        </w:drawing>
      </w:r>
      <w:r w:rsidR="00501C9E" w:rsidRPr="00501C9E">
        <w:t xml:space="preserve"> </w:t>
      </w:r>
    </w:p>
    <w:p w:rsidR="00FA3BD8" w:rsidRDefault="00501C9E" w:rsidP="006305D1">
      <w:pPr>
        <w:pStyle w:val="Caption"/>
      </w:pPr>
      <w:bookmarkStart w:id="73" w:name="_Toc351890065"/>
      <w:proofErr w:type="gramStart"/>
      <w:r>
        <w:t xml:space="preserve">Figure </w:t>
      </w:r>
      <w:fldSimple w:instr=" SEQ Figure \* ARABIC ">
        <w:r w:rsidR="005B6C27">
          <w:rPr>
            <w:noProof/>
          </w:rPr>
          <w:t>24</w:t>
        </w:r>
      </w:fldSimple>
      <w:r>
        <w:t>.</w:t>
      </w:r>
      <w:proofErr w:type="gramEnd"/>
      <w:r>
        <w:t xml:space="preserve"> </w:t>
      </w:r>
      <w:r w:rsidR="00B0422C">
        <w:t xml:space="preserve">The discriminant defined by the difference in class means is no longer optimal when </w:t>
      </w:r>
      <w:r w:rsidR="00A76E9F">
        <w:t>the data are</w:t>
      </w:r>
      <w:r w:rsidR="00B0422C">
        <w:t xml:space="preserve"> correlated.</w:t>
      </w:r>
      <w:bookmarkEnd w:id="73"/>
      <w:r w:rsidR="006305D1">
        <w:t xml:space="preserve"> </w:t>
      </w:r>
    </w:p>
    <w:p w:rsidR="00FA3BD8" w:rsidRDefault="00FA3BD8" w:rsidP="00D7048A">
      <w:pPr>
        <w:numPr>
          <w:ilvl w:val="12"/>
          <w:numId w:val="0"/>
        </w:numPr>
        <w:spacing w:line="480" w:lineRule="auto"/>
        <w:ind w:firstLine="720"/>
      </w:pPr>
    </w:p>
    <w:p w:rsidR="006305D1" w:rsidRDefault="006305D1" w:rsidP="00556CE9">
      <w:pPr>
        <w:suppressAutoHyphens/>
        <w:autoSpaceDE w:val="0"/>
        <w:ind w:left="720" w:right="-180"/>
      </w:pPr>
      <w:r>
        <w:rPr>
          <w:noProof/>
        </w:rPr>
        <w:drawing>
          <wp:inline distT="0" distB="0" distL="0" distR="0">
            <wp:extent cx="4319905" cy="2412365"/>
            <wp:effectExtent l="19050" t="0" r="4445" b="0"/>
            <wp:docPr id="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srcRect/>
                    <a:stretch>
                      <a:fillRect/>
                    </a:stretch>
                  </pic:blipFill>
                  <pic:spPr bwMode="auto">
                    <a:xfrm>
                      <a:off x="0" y="0"/>
                      <a:ext cx="4319905" cy="2412365"/>
                    </a:xfrm>
                    <a:prstGeom prst="rect">
                      <a:avLst/>
                    </a:prstGeom>
                    <a:noFill/>
                    <a:ln w="9525">
                      <a:noFill/>
                      <a:miter lim="800000"/>
                      <a:headEnd/>
                      <a:tailEnd/>
                    </a:ln>
                  </pic:spPr>
                </pic:pic>
              </a:graphicData>
            </a:graphic>
          </wp:inline>
        </w:drawing>
      </w:r>
      <w:r w:rsidRPr="006305D1">
        <w:t xml:space="preserve"> </w:t>
      </w:r>
    </w:p>
    <w:p w:rsidR="006305D1" w:rsidRDefault="006305D1" w:rsidP="006305D1">
      <w:pPr>
        <w:pStyle w:val="Caption"/>
      </w:pPr>
      <w:bookmarkStart w:id="74" w:name="_Toc351890066"/>
      <w:proofErr w:type="gramStart"/>
      <w:r>
        <w:t xml:space="preserve">Figure </w:t>
      </w:r>
      <w:fldSimple w:instr=" SEQ Figure \* ARABIC ">
        <w:r w:rsidR="005B6C27">
          <w:rPr>
            <w:noProof/>
          </w:rPr>
          <w:t>25</w:t>
        </w:r>
      </w:fldSimple>
      <w:r>
        <w:t>.</w:t>
      </w:r>
      <w:proofErr w:type="gramEnd"/>
      <w:r>
        <w:t xml:space="preserve"> The distribution covariance is used </w:t>
      </w:r>
      <w:r w:rsidR="005E2B89">
        <w:t xml:space="preserve">with the mean difference </w:t>
      </w:r>
      <w:r>
        <w:t xml:space="preserve">to define the optimal discriminant function </w:t>
      </w:r>
      <w:r w:rsidR="00A1426E">
        <w:t>in</w:t>
      </w:r>
      <w:r>
        <w:t xml:space="preserve"> correlated noise.</w:t>
      </w:r>
      <w:bookmarkEnd w:id="74"/>
    </w:p>
    <w:p w:rsidR="00FA3BD8" w:rsidRDefault="00FA3BD8" w:rsidP="00D7048A">
      <w:pPr>
        <w:numPr>
          <w:ilvl w:val="12"/>
          <w:numId w:val="0"/>
        </w:numPr>
        <w:spacing w:line="480" w:lineRule="auto"/>
        <w:ind w:firstLine="720"/>
      </w:pPr>
    </w:p>
    <w:p w:rsidR="00FA3BD8" w:rsidRDefault="00FA3BD8" w:rsidP="00D7048A">
      <w:pPr>
        <w:numPr>
          <w:ilvl w:val="12"/>
          <w:numId w:val="0"/>
        </w:numPr>
        <w:spacing w:line="480" w:lineRule="auto"/>
        <w:ind w:firstLine="720"/>
      </w:pPr>
    </w:p>
    <w:p w:rsidR="00D7048A" w:rsidRPr="00FB7595" w:rsidRDefault="00FB7595" w:rsidP="00D7048A">
      <w:pPr>
        <w:numPr>
          <w:ilvl w:val="12"/>
          <w:numId w:val="0"/>
        </w:numPr>
        <w:spacing w:line="480" w:lineRule="auto"/>
        <w:ind w:firstLine="720"/>
      </w:pPr>
      <w:r w:rsidRPr="00FB7595">
        <w:lastRenderedPageBreak/>
        <w:t>This is not the case for real data however, which has randomness not just in the measurements, but within the ob</w:t>
      </w:r>
      <w:r w:rsidR="00312AFC">
        <w:t>jects being imaged themselves; a full-rank class ensemble covariance accounts for these variations.</w:t>
      </w:r>
    </w:p>
    <w:p w:rsidR="00CE757E" w:rsidRDefault="00FB7595" w:rsidP="00CE757E">
      <w:pPr>
        <w:numPr>
          <w:ilvl w:val="12"/>
          <w:numId w:val="0"/>
        </w:numPr>
        <w:spacing w:line="480" w:lineRule="auto"/>
        <w:ind w:firstLine="720"/>
      </w:pPr>
      <w:r w:rsidRPr="00FB7595">
        <w:t xml:space="preserve"> Several groups have shown that human efficiency in correlated noise is only about 20% relative to the ideal observer </w:t>
      </w:r>
      <w:r w:rsidR="009B6816" w:rsidRPr="00FB7595">
        <w:fldChar w:fldCharType="begin"/>
      </w:r>
      <w:r w:rsidR="002D7C36">
        <w:instrText xml:space="preserve"> ADDIN EN.CITE &lt;EndNote&gt;&lt;Cite&gt;&lt;Author&gt;Judy&lt;/Author&gt;&lt;Year&gt;1981&lt;/Year&gt;&lt;RecNum&gt;272&lt;/RecNum&gt;&lt;DisplayText&gt;(Judy, Swensson et al. 1981; Burgess 1985)&lt;/DisplayText&gt;&lt;record&gt;&lt;rec-number&gt;272&lt;/rec-number&gt;&lt;foreign-keys&gt;&lt;key app="EN" db-id="srwv9ppvvez5pgefxzi5ddeve5w2fe5x5esr"&gt;272&lt;/key&gt;&lt;/foreign-keys&gt;&lt;ref-type name="Journal Article"&gt;17&lt;/ref-type&gt;&lt;contributors&gt;&lt;authors&gt;&lt;author&gt;Judy, P.F.&lt;/author&gt;&lt;author&gt;Swensson, R.G.&lt;/author&gt;&lt;author&gt;Szulc, M.&lt;/author&gt;&lt;/authors&gt;&lt;/contributors&gt;&lt;titles&gt;&lt;title&gt;Lesion detection and signal–to–noise ratio in CT images&lt;/title&gt;&lt;secondary-title&gt;Medical Physics&lt;/secondary-title&gt;&lt;/titles&gt;&lt;pages&gt;13&lt;/pages&gt;&lt;volume&gt;8&lt;/volume&gt;&lt;dates&gt;&lt;year&gt;1981&lt;/year&gt;&lt;/dates&gt;&lt;urls&gt;&lt;/urls&gt;&lt;/record&gt;&lt;/Cite&gt;&lt;Cite&gt;&lt;Author&gt;Burgess&lt;/Author&gt;&lt;Year&gt;1985&lt;/Year&gt;&lt;RecNum&gt;274&lt;/RecNum&gt;&lt;record&gt;&lt;rec-number&gt;274&lt;/rec-number&gt;&lt;foreign-keys&gt;&lt;key app="EN" db-id="srwv9ppvvez5pgefxzi5ddeve5w2fe5x5esr"&gt;274&lt;/key&gt;&lt;/foreign-keys&gt;&lt;ref-type name="Journal Article"&gt;17&lt;/ref-type&gt;&lt;contributors&gt;&lt;authors&gt;&lt;author&gt;Burgess, A.&lt;/author&gt;&lt;/authors&gt;&lt;/contributors&gt;&lt;titles&gt;&lt;title&gt;Effect of quantization noise on visual signal detection in noisy images&lt;/title&gt;&lt;secondary-title&gt;JOSA A&lt;/secondary-title&gt;&lt;/titles&gt;&lt;pages&gt;1424-1428&lt;/pages&gt;&lt;volume&gt;2&lt;/volume&gt;&lt;number&gt;9&lt;/number&gt;&lt;dates&gt;&lt;year&gt;1985&lt;/year&gt;&lt;/dates&gt;&lt;isbn&gt;1520-8532&lt;/isbn&gt;&lt;urls&gt;&lt;/urls&gt;&lt;/record&gt;&lt;/Cite&gt;&lt;/EndNote&gt;</w:instrText>
      </w:r>
      <w:r w:rsidR="009B6816" w:rsidRPr="00FB7595">
        <w:fldChar w:fldCharType="separate"/>
      </w:r>
      <w:r w:rsidR="00B82802">
        <w:rPr>
          <w:noProof/>
        </w:rPr>
        <w:t>(</w:t>
      </w:r>
      <w:hyperlink w:anchor="_ENREF_44" w:tooltip="Judy, 1981 #272" w:history="1">
        <w:r w:rsidR="007704DB">
          <w:rPr>
            <w:noProof/>
          </w:rPr>
          <w:t>Judy, Swensson et al. 1981</w:t>
        </w:r>
      </w:hyperlink>
      <w:r w:rsidR="00B82802">
        <w:rPr>
          <w:noProof/>
        </w:rPr>
        <w:t xml:space="preserve">; </w:t>
      </w:r>
      <w:hyperlink w:anchor="_ENREF_17" w:tooltip="Burgess, 1985 #274" w:history="1">
        <w:r w:rsidR="007704DB">
          <w:rPr>
            <w:noProof/>
          </w:rPr>
          <w:t>Burgess 1985</w:t>
        </w:r>
      </w:hyperlink>
      <w:r w:rsidR="00B82802">
        <w:rPr>
          <w:noProof/>
        </w:rPr>
        <w:t>)</w:t>
      </w:r>
      <w:r w:rsidR="009B6816" w:rsidRPr="00FB7595">
        <w:fldChar w:fldCharType="end"/>
      </w:r>
      <w:r w:rsidR="005819A9">
        <w:t>.</w:t>
      </w:r>
      <w:r w:rsidRPr="00FB7595">
        <w:t xml:space="preserve">  Further, Myers el al. evaluated human performance using SKE-BKE data with a post</w:t>
      </w:r>
      <w:r w:rsidR="00685CC0">
        <w:t>-</w:t>
      </w:r>
      <w:r w:rsidRPr="00FB7595">
        <w:t xml:space="preserve">detection filter to introduce different degrees of noise correlation </w:t>
      </w:r>
      <w:r w:rsidR="009B6816" w:rsidRPr="00FB7595">
        <w:fldChar w:fldCharType="begin"/>
      </w:r>
      <w:r w:rsidR="002D7C36">
        <w:instrText xml:space="preserve"> ADDIN EN.CITE &lt;EndNote&gt;&lt;Cite&gt;&lt;Author&gt;Myers&lt;/Author&gt;&lt;Year&gt;1985&lt;/Year&gt;&lt;RecNum&gt;160&lt;/RecNum&gt;&lt;DisplayText&gt;(Myers, Barrett et al. 1985)&lt;/DisplayText&gt;&lt;record&gt;&lt;rec-number&gt;160&lt;/rec-number&gt;&lt;foreign-keys&gt;&lt;key app="EN" db-id="srwv9ppvvez5pgefxzi5ddeve5w2fe5x5esr"&gt;160&lt;/key&gt;&lt;/foreign-keys&gt;&lt;ref-type name="Journal Article"&gt;17&lt;/ref-type&gt;&lt;contributors&gt;&lt;authors&gt;&lt;author&gt;Myers, KJ&lt;/author&gt;&lt;author&gt;Barrett, HH&lt;/author&gt;&lt;author&gt;Borgstrom, MC&lt;/author&gt;&lt;author&gt;Patton, DD&lt;/author&gt;&lt;author&gt;Seeley, GW&lt;/author&gt;&lt;/authors&gt;&lt;/contributors&gt;&lt;titles&gt;&lt;title&gt;Effect of noise correlation on detectability of disk signals in medical imaging&lt;/title&gt;&lt;secondary-title&gt;Journal of the Optical Society of America A&lt;/secondary-title&gt;&lt;/titles&gt;&lt;pages&gt;1752-1759&lt;/pages&gt;&lt;volume&gt;2&lt;/volume&gt;&lt;number&gt;10&lt;/number&gt;&lt;dates&gt;&lt;year&gt;1985&lt;/year&gt;&lt;/dates&gt;&lt;urls&gt;&lt;/urls&gt;&lt;/record&gt;&lt;/Cite&gt;&lt;/EndNote&gt;</w:instrText>
      </w:r>
      <w:r w:rsidR="009B6816" w:rsidRPr="00FB7595">
        <w:fldChar w:fldCharType="separate"/>
      </w:r>
      <w:r w:rsidR="00B82802">
        <w:rPr>
          <w:noProof/>
        </w:rPr>
        <w:t>(</w:t>
      </w:r>
      <w:hyperlink w:anchor="_ENREF_57" w:tooltip="Myers, 1985 #160" w:history="1">
        <w:r w:rsidR="007704DB">
          <w:rPr>
            <w:noProof/>
          </w:rPr>
          <w:t>Myers, Barrett et al. 1985</w:t>
        </w:r>
      </w:hyperlink>
      <w:r w:rsidR="00B82802">
        <w:rPr>
          <w:noProof/>
        </w:rPr>
        <w:t>)</w:t>
      </w:r>
      <w:r w:rsidR="009B6816" w:rsidRPr="00FB7595">
        <w:fldChar w:fldCharType="end"/>
      </w:r>
      <w:r w:rsidR="005819A9">
        <w:t>.</w:t>
      </w:r>
      <w:r w:rsidRPr="00FB7595">
        <w:t xml:space="preserve">  This method generated a range of noise power spectra of the form</w:t>
      </w:r>
      <w:r w:rsidRPr="00FB7595">
        <w:rPr>
          <w:i/>
        </w:rPr>
        <w:t xml:space="preserve"> </w:t>
      </w:r>
      <w:r w:rsidRPr="00E9339F">
        <w:rPr>
          <w:rFonts w:ascii="Symbol" w:hAnsi="Symbol"/>
          <w:i/>
        </w:rPr>
        <w:t></w:t>
      </w:r>
      <w:r w:rsidRPr="00FB7595">
        <w:rPr>
          <w:i/>
          <w:vertAlign w:val="superscript"/>
        </w:rPr>
        <w:t>n</w:t>
      </w:r>
      <w:r w:rsidRPr="00FB7595">
        <w:t xml:space="preserve">, where </w:t>
      </w:r>
      <w:r w:rsidRPr="00E9339F">
        <w:rPr>
          <w:rFonts w:ascii="Symbol" w:hAnsi="Symbol"/>
          <w:i/>
        </w:rPr>
        <w:t></w:t>
      </w:r>
      <w:r w:rsidRPr="00FB7595">
        <w:t xml:space="preserve"> is the spatial frequency and </w:t>
      </w:r>
      <w:r w:rsidRPr="00FB7595">
        <w:rPr>
          <w:i/>
        </w:rPr>
        <w:t>n</w:t>
      </w:r>
      <w:r w:rsidRPr="00FB7595">
        <w:t xml:space="preserve"> = 1,2,3,4.  This study found that human efficiency degrades rapidly as the degree of noise correlation increases, suggestive that humans are incapable of performing the prewhitening operation.</w:t>
      </w:r>
      <w:r w:rsidR="00B437E6" w:rsidRPr="00B437E6">
        <w:t xml:space="preserve"> </w:t>
      </w:r>
    </w:p>
    <w:p w:rsidR="00F429A5" w:rsidRDefault="00CE757E" w:rsidP="00F429A5">
      <w:pPr>
        <w:numPr>
          <w:ilvl w:val="12"/>
          <w:numId w:val="0"/>
        </w:numPr>
        <w:spacing w:line="480" w:lineRule="auto"/>
        <w:ind w:firstLine="720"/>
      </w:pPr>
      <w:r>
        <w:t xml:space="preserve">It should be noted that the square covariance matrix </w:t>
      </w:r>
      <m:oMath>
        <m:r>
          <m:rPr>
            <m:sty m:val="b"/>
          </m:rPr>
          <w:rPr>
            <w:rFonts w:ascii="Cambria Math" w:hAnsi="Cambria Math"/>
          </w:rPr>
          <m:t>K</m:t>
        </m:r>
      </m:oMath>
      <w:r>
        <w:t xml:space="preserve"> must be full-rank in order to be invertible. This means that </w:t>
      </w:r>
      <w:r w:rsidRPr="00731B2A">
        <w:t>the number of</w:t>
      </w:r>
      <w:r>
        <w:t xml:space="preserve"> </w:t>
      </w:r>
      <w:r w:rsidRPr="00731B2A">
        <w:t xml:space="preserve">random vectors in the sample </w:t>
      </w:r>
      <w:r>
        <w:t xml:space="preserve">must </w:t>
      </w:r>
      <w:r w:rsidR="006D46FF">
        <w:t xml:space="preserve">equal or </w:t>
      </w:r>
      <w:r w:rsidRPr="00731B2A">
        <w:t>exceed the number of elements</w:t>
      </w:r>
      <w:r>
        <w:t xml:space="preserve"> </w:t>
      </w:r>
      <w:r w:rsidRPr="00731B2A">
        <w:t>in each vector</w:t>
      </w:r>
      <w:r>
        <w:t xml:space="preserve">, </w:t>
      </w:r>
      <w:r w:rsidR="00662363">
        <w:t>i.e.</w:t>
      </w:r>
      <w:r>
        <w:t xml:space="preserve"> there must be at least </w:t>
      </w:r>
      <w:r w:rsidRPr="00A54A4B">
        <w:t>N</w:t>
      </w:r>
      <w:r>
        <w:t xml:space="preserve"> samples </w:t>
      </w:r>
      <w:proofErr w:type="gramStart"/>
      <w:r>
        <w:t xml:space="preserve">in </w:t>
      </w:r>
      <m:oMath>
        <w:proofErr w:type="gramEnd"/>
        <m:r>
          <m:rPr>
            <m:sty m:val="b"/>
          </m:rPr>
          <w:rPr>
            <w:rFonts w:ascii="Cambria Math" w:hAnsi="Cambria Math"/>
          </w:rPr>
          <m:t>g</m:t>
        </m:r>
      </m:oMath>
      <w:r>
        <w:t>.  This requirement is nearly always impossible to achieve with images of any reasonable size.</w:t>
      </w:r>
      <w:r w:rsidR="00F429A5" w:rsidRPr="00F429A5">
        <w:t xml:space="preserve"> </w:t>
      </w:r>
    </w:p>
    <w:p w:rsidR="00F429A5" w:rsidRDefault="00F429A5" w:rsidP="00F429A5">
      <w:pPr>
        <w:pStyle w:val="Heading2"/>
      </w:pPr>
      <w:bookmarkStart w:id="75" w:name="_Toc351890015"/>
      <w:r>
        <w:t>Linear Discriminants</w:t>
      </w:r>
      <w:bookmarkEnd w:id="75"/>
    </w:p>
    <w:p w:rsidR="004203DD" w:rsidRDefault="00F429A5" w:rsidP="004203DD">
      <w:pPr>
        <w:numPr>
          <w:ilvl w:val="12"/>
          <w:numId w:val="0"/>
        </w:numPr>
        <w:spacing w:line="480" w:lineRule="auto"/>
        <w:ind w:firstLine="720"/>
      </w:pPr>
      <w:r w:rsidRPr="00B437E6">
        <w:t xml:space="preserve">In the SKE-BKE task, the log likelihood is a first-order function in </w:t>
      </w:r>
      <m:oMath>
        <m:r>
          <m:rPr>
            <m:sty m:val="b"/>
          </m:rPr>
          <w:rPr>
            <w:rFonts w:ascii="Cambria Math" w:hAnsi="Cambria Math"/>
          </w:rPr>
          <m:t>g</m:t>
        </m:r>
      </m:oMath>
      <w:r w:rsidRPr="00B437E6">
        <w:t xml:space="preserve"> and </w:t>
      </w:r>
      <w:r w:rsidR="00B437E6" w:rsidRPr="00B437E6">
        <w:t>relatively easy to compute.  However, when this test statistic becomes nonlinear, it becomes difficult or even impossible to compute.  Through the use of linear discriminants, the test statistic can be approximated</w:t>
      </w:r>
      <w:r w:rsidR="009301CB">
        <w:t xml:space="preserve"> providing</w:t>
      </w:r>
      <w:r w:rsidR="00B437E6" w:rsidRPr="00B437E6">
        <w:t xml:space="preserve"> a work-around for the mathematical insolvability of nonlinear likelihood equations</w:t>
      </w:r>
      <w:r w:rsidR="009301CB">
        <w:t xml:space="preserve">.  </w:t>
      </w:r>
      <w:r w:rsidR="009301CB" w:rsidRPr="00B437E6">
        <w:t xml:space="preserve">The optimal choice of </w:t>
      </w:r>
      <w:r w:rsidR="009301CB" w:rsidRPr="00B437E6">
        <w:lastRenderedPageBreak/>
        <w:t xml:space="preserve">linear discriminant function maximizes performance of the classification task based on training data </w:t>
      </w:r>
      <w:r w:rsidR="009B6816" w:rsidRPr="00B437E6">
        <w:fldChar w:fldCharType="begin"/>
      </w:r>
      <w:r w:rsidR="002D7C36">
        <w:instrText xml:space="preserve"> ADDIN EN.CITE &lt;EndNote&gt;&lt;Cite&gt;&lt;Author&gt;Fisher&lt;/Author&gt;&lt;Year&gt;1936&lt;/Year&gt;&lt;RecNum&gt;161&lt;/RecNum&gt;&lt;DisplayText&gt;(Fisher 1936)&lt;/DisplayText&gt;&lt;record&gt;&lt;rec-number&gt;161&lt;/rec-number&gt;&lt;foreign-keys&gt;&lt;key app="EN" db-id="srwv9ppvvez5pgefxzi5ddeve5w2fe5x5esr"&gt;161&lt;/key&gt;&lt;/foreign-keys&gt;&lt;ref-type name="Journal Article"&gt;17&lt;/ref-type&gt;&lt;contributors&gt;&lt;authors&gt;&lt;author&gt;Fisher, RA&lt;/author&gt;&lt;/authors&gt;&lt;/contributors&gt;&lt;titles&gt;&lt;title&gt;The use of multiple measures in taxonomic problems&lt;/title&gt;&lt;secondary-title&gt;Ann. Eugenics&lt;/secondary-title&gt;&lt;/titles&gt;&lt;pages&gt;179-188&lt;/pages&gt;&lt;volume&gt;7&lt;/volume&gt;&lt;dates&gt;&lt;year&gt;1936&lt;/year&gt;&lt;/dates&gt;&lt;urls&gt;&lt;/urls&gt;&lt;/record&gt;&lt;/Cite&gt;&lt;/EndNote&gt;</w:instrText>
      </w:r>
      <w:r w:rsidR="009B6816" w:rsidRPr="00B437E6">
        <w:fldChar w:fldCharType="separate"/>
      </w:r>
      <w:r w:rsidR="00B82802">
        <w:rPr>
          <w:noProof/>
        </w:rPr>
        <w:t>(</w:t>
      </w:r>
      <w:hyperlink w:anchor="_ENREF_33" w:tooltip="Fisher, 1936 #161" w:history="1">
        <w:r w:rsidR="007704DB">
          <w:rPr>
            <w:noProof/>
          </w:rPr>
          <w:t>Fisher 1936</w:t>
        </w:r>
      </w:hyperlink>
      <w:r w:rsidR="00B82802">
        <w:rPr>
          <w:noProof/>
        </w:rPr>
        <w:t>)</w:t>
      </w:r>
      <w:r w:rsidR="009B6816" w:rsidRPr="00B437E6">
        <w:fldChar w:fldCharType="end"/>
      </w:r>
      <w:r w:rsidR="00E97A94">
        <w:t>.</w:t>
      </w:r>
      <w:r w:rsidR="009301CB" w:rsidRPr="00B437E6">
        <w:t xml:space="preserve">  </w:t>
      </w:r>
      <w:r w:rsidRPr="00F429A5">
        <w:rPr>
          <w:rFonts w:ascii="Book Antiqua" w:eastAsiaTheme="minorHAnsi" w:hAnsi="Book Antiqua" w:cstheme="minorBidi"/>
          <w:sz w:val="20"/>
          <w:szCs w:val="20"/>
        </w:rPr>
        <w:t xml:space="preserve"> </w:t>
      </w:r>
      <w:r w:rsidR="004203DD" w:rsidRPr="004203DD">
        <w:t>The linear discriminant test statistic has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Pr="002843E4" w:rsidRDefault="009B6816" w:rsidP="002843E4">
            <w:pPr>
              <w:numPr>
                <w:ilvl w:val="12"/>
                <w:numId w:val="0"/>
              </w:numPr>
              <w:spacing w:line="480" w:lineRule="auto"/>
              <w:ind w:firstLine="720"/>
              <w:rPr>
                <w:b/>
              </w:rPr>
            </w:pPr>
            <m:oMathPara>
              <m:oMath>
                <m:sSub>
                  <m:sSubPr>
                    <m:ctrlPr>
                      <w:rPr>
                        <w:rFonts w:ascii="Cambria Math" w:hAnsi="Cambria Math"/>
                      </w:rPr>
                    </m:ctrlPr>
                  </m:sSubPr>
                  <m:e>
                    <m:r>
                      <m:rPr>
                        <m:sty m:val="p"/>
                      </m:rPr>
                      <w:rPr>
                        <w:rFonts w:ascii="Cambria Math" w:hAnsi="Cambria Math"/>
                      </w:rPr>
                      <m:t>λ</m:t>
                    </m:r>
                  </m:e>
                  <m:sub>
                    <m:r>
                      <m:rPr>
                        <m:sty m:val="p"/>
                      </m:rPr>
                      <w:rPr>
                        <w:rFonts w:ascii="Cambria Math" w:hAnsi="Cambria Math"/>
                      </w:rPr>
                      <m:t>lin</m:t>
                    </m:r>
                  </m:sub>
                </m:sSub>
                <m:d>
                  <m:dPr>
                    <m:ctrlPr>
                      <w:rPr>
                        <w:rFonts w:ascii="Cambria Math" w:hAnsi="Cambria Math"/>
                        <w:i/>
                      </w:rPr>
                    </m:ctrlPr>
                  </m:dPr>
                  <m:e>
                    <m:r>
                      <m:rPr>
                        <m:sty m:val="b"/>
                      </m:rPr>
                      <w:rPr>
                        <w:rFonts w:ascii="Cambria Math" w:hAnsi="Cambria Math"/>
                      </w:rPr>
                      <m:t>g</m:t>
                    </m:r>
                  </m:e>
                </m:d>
                <m:r>
                  <w:rPr>
                    <w:rFonts w:ascii="Cambria Math" w:hAnsi="Cambria Math"/>
                  </w:rPr>
                  <m:t>=</m:t>
                </m:r>
                <m:sSup>
                  <m:sSupPr>
                    <m:ctrlPr>
                      <w:rPr>
                        <w:rFonts w:ascii="Cambria Math" w:hAnsi="Cambria Math"/>
                        <w:i/>
                      </w:rPr>
                    </m:ctrlPr>
                  </m:sSupPr>
                  <m:e>
                    <m:r>
                      <m:rPr>
                        <m:sty m:val="b"/>
                      </m:rPr>
                      <w:rPr>
                        <w:rFonts w:ascii="Cambria Math" w:hAnsi="Cambria Math"/>
                      </w:rPr>
                      <m:t>u</m:t>
                    </m:r>
                  </m:e>
                  <m:sup>
                    <m:r>
                      <w:rPr>
                        <w:rFonts w:ascii="Cambria Math" w:hAnsi="Cambria Math"/>
                      </w:rPr>
                      <m:t>t</m:t>
                    </m:r>
                  </m:sup>
                </m:sSup>
                <m:r>
                  <m:rPr>
                    <m:sty m:val="b"/>
                  </m:rPr>
                  <w:rPr>
                    <w:rFonts w:ascii="Cambria Math" w:hAnsi="Cambria Math"/>
                  </w:rPr>
                  <m:t>g</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7</w:instrText>
              </w:r>
            </w:fldSimple>
            <w:r w:rsidR="002843E4">
              <w:instrText>)</w:instrText>
            </w:r>
            <w:r>
              <w:fldChar w:fldCharType="end"/>
            </w:r>
          </w:p>
        </w:tc>
      </w:tr>
    </w:tbl>
    <w:p w:rsidR="009301CB" w:rsidRPr="009301CB" w:rsidRDefault="009301CB" w:rsidP="009301CB">
      <w:pPr>
        <w:numPr>
          <w:ilvl w:val="12"/>
          <w:numId w:val="0"/>
        </w:numPr>
        <w:spacing w:line="480" w:lineRule="auto"/>
        <w:ind w:firstLine="720"/>
      </w:pPr>
      <w:r w:rsidRPr="009301CB">
        <w:t>In 1931 Harold Hotelling introduced his T</w:t>
      </w:r>
      <w:r w:rsidRPr="009301CB">
        <w:rPr>
          <w:vertAlign w:val="superscript"/>
        </w:rPr>
        <w:t>2</w:t>
      </w:r>
      <w:r w:rsidRPr="009301CB">
        <w:t xml:space="preserve"> value as a measure of class separability, which estimates the amount of the difference in the means of the classes </w:t>
      </w:r>
      <w:r w:rsidR="009B6816" w:rsidRPr="009301CB">
        <w:fldChar w:fldCharType="begin"/>
      </w:r>
      <w:r w:rsidR="002D7C36">
        <w:instrText xml:space="preserve"> ADDIN EN.CITE &lt;EndNote&gt;&lt;Cite&gt;&lt;Author&gt;Hotelling&lt;/Author&gt;&lt;Year&gt;1931&lt;/Year&gt;&lt;RecNum&gt;96&lt;/RecNum&gt;&lt;DisplayText&gt;(Hotelling 1931)&lt;/DisplayText&gt;&lt;record&gt;&lt;rec-number&gt;96&lt;/rec-number&gt;&lt;foreign-keys&gt;&lt;key app="EN" db-id="srwv9ppvvez5pgefxzi5ddeve5w2fe5x5esr"&gt;96&lt;/key&gt;&lt;/foreign-keys&gt;&lt;ref-type name="Journal Article"&gt;17&lt;/ref-type&gt;&lt;contributors&gt;&lt;authors&gt;&lt;author&gt;Hotelling, H&lt;/author&gt;&lt;/authors&gt;&lt;/contributors&gt;&lt;titles&gt;&lt;title&gt;The generalization of Student&amp;apos;s ratio&lt;/title&gt;&lt;secondary-title&gt;The Annals of Mathematical Statistics&lt;/secondary-title&gt;&lt;/titles&gt;&lt;pages&gt;360-378&lt;/pages&gt;&lt;dates&gt;&lt;year&gt;1931&lt;/year&gt;&lt;/dates&gt;&lt;urls&gt;&lt;/urls&gt;&lt;/record&gt;&lt;/Cite&gt;&lt;/EndNote&gt;</w:instrText>
      </w:r>
      <w:r w:rsidR="009B6816" w:rsidRPr="009301CB">
        <w:fldChar w:fldCharType="separate"/>
      </w:r>
      <w:r w:rsidR="00B82802">
        <w:rPr>
          <w:noProof/>
        </w:rPr>
        <w:t>(</w:t>
      </w:r>
      <w:hyperlink w:anchor="_ENREF_40" w:tooltip="Hotelling, 1931 #96" w:history="1">
        <w:r w:rsidR="007704DB">
          <w:rPr>
            <w:noProof/>
          </w:rPr>
          <w:t>Hotelling 1931</w:t>
        </w:r>
      </w:hyperlink>
      <w:r w:rsidR="00B82802">
        <w:rPr>
          <w:noProof/>
        </w:rPr>
        <w:t>)</w:t>
      </w:r>
      <w:r w:rsidR="009B6816" w:rsidRPr="009301CB">
        <w:fldChar w:fldCharType="end"/>
      </w:r>
      <w:r w:rsidR="0067136E">
        <w:t>.</w:t>
      </w:r>
      <w:r w:rsidRPr="009301CB">
        <w:t xml:space="preserve">  The optimal linear discriminant will maximize the T</w:t>
      </w:r>
      <w:r w:rsidRPr="009301CB">
        <w:rPr>
          <w:vertAlign w:val="superscript"/>
        </w:rPr>
        <w:t>2</w:t>
      </w:r>
      <w:r w:rsidRPr="009301CB">
        <w:t xml:space="preserve"> value, and so </w:t>
      </w:r>
      <w:r w:rsidR="006236DE">
        <w:t xml:space="preserve">these models </w:t>
      </w:r>
      <w:r w:rsidRPr="009301CB">
        <w:t>are termed Hotelling observers.</w:t>
      </w:r>
    </w:p>
    <w:p w:rsidR="009301CB" w:rsidRDefault="009301CB" w:rsidP="009301CB">
      <w:pPr>
        <w:numPr>
          <w:ilvl w:val="12"/>
          <w:numId w:val="0"/>
        </w:numPr>
        <w:spacing w:line="480" w:lineRule="auto"/>
        <w:ind w:firstLine="720"/>
      </w:pPr>
      <w:r w:rsidRPr="009301CB">
        <w:t>Calculation</w:t>
      </w:r>
      <w:r w:rsidR="00416300">
        <w:t>s</w:t>
      </w:r>
      <w:r w:rsidRPr="009301CB">
        <w:t xml:space="preserve"> of Fisher</w:t>
      </w:r>
      <w:r w:rsidR="00416300">
        <w:t>’</w:t>
      </w:r>
      <w:r w:rsidRPr="009301CB">
        <w:t>s discriminant</w:t>
      </w:r>
      <w:r w:rsidR="00CD4182">
        <w:t xml:space="preserve"> </w:t>
      </w:r>
      <w:r w:rsidR="00416300">
        <w:t>and</w:t>
      </w:r>
      <w:r w:rsidR="00416300" w:rsidRPr="009301CB">
        <w:t xml:space="preserve"> </w:t>
      </w:r>
      <w:proofErr w:type="spellStart"/>
      <w:r w:rsidR="00416300" w:rsidRPr="009301CB">
        <w:t>Hotelling’s</w:t>
      </w:r>
      <w:proofErr w:type="spellEnd"/>
      <w:r w:rsidR="00416300" w:rsidRPr="009301CB">
        <w:t xml:space="preserve"> T</w:t>
      </w:r>
      <w:r w:rsidR="00416300" w:rsidRPr="009301CB">
        <w:rPr>
          <w:vertAlign w:val="superscript"/>
        </w:rPr>
        <w:t>2</w:t>
      </w:r>
      <w:r w:rsidR="00416300" w:rsidRPr="009301CB">
        <w:t xml:space="preserve"> </w:t>
      </w:r>
      <w:r w:rsidR="00416300">
        <w:t xml:space="preserve">assume </w:t>
      </w:r>
      <w:r w:rsidR="00CD4182">
        <w:t xml:space="preserve">complete knowledge of the ensemble </w:t>
      </w:r>
      <w:r w:rsidR="005A34D5">
        <w:t xml:space="preserve">distribution </w:t>
      </w:r>
      <w:r w:rsidR="00CD4182">
        <w:t>properties</w:t>
      </w:r>
      <w:r w:rsidR="00416300">
        <w:t xml:space="preserve">.  </w:t>
      </w:r>
      <w:r w:rsidRPr="009301CB">
        <w:t>To overcome this, interclass</w:t>
      </w:r>
      <w:r w:rsidR="00780724">
        <w:t xml:space="preserve"> (</w:t>
      </w:r>
      <w:r w:rsidR="00780724" w:rsidRPr="009301CB">
        <w:rPr>
          <w:b/>
        </w:rPr>
        <w:t>S</w:t>
      </w:r>
      <w:r w:rsidR="00780724" w:rsidRPr="009301CB">
        <w:rPr>
          <w:vertAlign w:val="subscript"/>
        </w:rPr>
        <w:t>1</w:t>
      </w:r>
      <w:r w:rsidR="00780724">
        <w:t xml:space="preserve">) </w:t>
      </w:r>
      <w:r w:rsidRPr="009301CB">
        <w:t>and intraclass</w:t>
      </w:r>
      <w:r w:rsidR="00780724">
        <w:t xml:space="preserve"> (</w:t>
      </w:r>
      <w:r w:rsidR="00780724" w:rsidRPr="009301CB">
        <w:rPr>
          <w:b/>
        </w:rPr>
        <w:t>S</w:t>
      </w:r>
      <w:r w:rsidR="00780724" w:rsidRPr="009301CB">
        <w:rPr>
          <w:vertAlign w:val="subscript"/>
        </w:rPr>
        <w:t>2</w:t>
      </w:r>
      <w:r w:rsidR="00780724">
        <w:t>)</w:t>
      </w:r>
      <w:r w:rsidRPr="009301CB">
        <w:t xml:space="preserve"> scatter matrices </w:t>
      </w:r>
      <w:r w:rsidR="00780724">
        <w:t xml:space="preserve">are calculated (shown below </w:t>
      </w:r>
      <w:r w:rsidR="007979AD">
        <w:t>for the binary classification problem)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i/>
                      </w:rPr>
                    </m:ctrlPr>
                  </m:sSubPr>
                  <m:e>
                    <m:r>
                      <m:rPr>
                        <m:sty m:val="b"/>
                      </m:rP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m:rPr>
                        <m:sty m:val="bi"/>
                      </m:rPr>
                      <w:rPr>
                        <w:rFonts w:ascii="Cambria Math" w:hAnsi="Cambria Math"/>
                      </w:rPr>
                      <m:t>P</m:t>
                    </m:r>
                  </m:e>
                  <m:sub>
                    <m:r>
                      <w:rPr>
                        <w:rFonts w:ascii="Cambria Math" w:hAnsi="Cambria Math"/>
                      </w:rPr>
                      <m:t>1</m:t>
                    </m:r>
                  </m:sub>
                </m:sSub>
                <m:sSub>
                  <m:sSubPr>
                    <m:ctrlPr>
                      <w:rPr>
                        <w:rFonts w:ascii="Cambria Math" w:hAnsi="Cambria Math"/>
                        <w:i/>
                      </w:rPr>
                    </m:ctrlPr>
                  </m:sSubPr>
                  <m:e>
                    <m:r>
                      <m:rPr>
                        <m:sty m:val="bi"/>
                      </m:rPr>
                      <w:rPr>
                        <w:rFonts w:ascii="Cambria Math" w:hAnsi="Cambria Math"/>
                      </w:rPr>
                      <m:t>P</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8</w:instrText>
              </w:r>
            </w:fldSimple>
            <w:r w:rsidR="002843E4">
              <w:instrText>)</w:instrText>
            </w:r>
            <w:r>
              <w:fldChar w:fldCharType="end"/>
            </w:r>
          </w:p>
        </w:tc>
      </w:tr>
    </w:tbl>
    <w:p w:rsidR="009301CB" w:rsidRDefault="001C43E0" w:rsidP="00812040">
      <w:pPr>
        <w:numPr>
          <w:ilvl w:val="12"/>
          <w:numId w:val="0"/>
        </w:numPr>
        <w:spacing w:line="480" w:lineRule="auto"/>
      </w:pPr>
      <w:proofErr w:type="gramStart"/>
      <w:r>
        <w:t>a</w:t>
      </w:r>
      <w:r w:rsidR="009301CB" w:rsidRPr="009301CB">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i/>
                      </w:rPr>
                    </m:ctrlPr>
                  </m:sSubPr>
                  <m:e>
                    <m:r>
                      <m:rPr>
                        <m:sty m:val="b"/>
                      </m:rPr>
                      <w:rPr>
                        <w:rFonts w:ascii="Cambria Math" w:hAnsi="Cambria Math"/>
                      </w:rPr>
                      <m:t>S</m:t>
                    </m:r>
                  </m:e>
                  <m:sub>
                    <m:r>
                      <w:rPr>
                        <w:rFonts w:ascii="Cambria Math" w:hAnsi="Cambria Math"/>
                      </w:rPr>
                      <m:t>2</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sSub>
                      <m:sSubPr>
                        <m:ctrlPr>
                          <w:rPr>
                            <w:rFonts w:ascii="Cambria Math" w:hAnsi="Cambria Math"/>
                            <w:i/>
                          </w:rPr>
                        </m:ctrlPr>
                      </m:sSubPr>
                      <m:e>
                        <m:r>
                          <m:rPr>
                            <m:sty m:val="bi"/>
                          </m:rPr>
                          <w:rPr>
                            <w:rFonts w:ascii="Cambria Math" w:hAnsi="Cambria Math"/>
                          </w:rPr>
                          <m:t>P</m:t>
                        </m:r>
                      </m:e>
                      <m:sub>
                        <m:r>
                          <w:rPr>
                            <w:rFonts w:ascii="Cambria Math" w:hAnsi="Cambria Math"/>
                          </w:rPr>
                          <m:t>k</m:t>
                        </m:r>
                      </m:sub>
                    </m:sSub>
                    <m:sSub>
                      <m:sSubPr>
                        <m:ctrlPr>
                          <w:rPr>
                            <w:rFonts w:ascii="Cambria Math" w:hAnsi="Cambria Math"/>
                            <w:i/>
                          </w:rPr>
                        </m:ctrlPr>
                      </m:sSubPr>
                      <m:e>
                        <m:r>
                          <m:rPr>
                            <m:sty m:val="b"/>
                          </m:rPr>
                          <w:rPr>
                            <w:rFonts w:ascii="Cambria Math" w:hAnsi="Cambria Math"/>
                          </w:rPr>
                          <m:t>K</m:t>
                        </m:r>
                      </m:e>
                      <m:sub>
                        <m:r>
                          <w:rPr>
                            <w:rFonts w:ascii="Cambria Math" w:hAnsi="Cambria Math"/>
                          </w:rPr>
                          <m:t>k</m:t>
                        </m:r>
                      </m:sub>
                    </m:sSub>
                    <m:r>
                      <w:rPr>
                        <w:rFonts w:ascii="Cambria Math" w:hAnsi="Cambria Math"/>
                      </w:rPr>
                      <m:t>=</m:t>
                    </m:r>
                  </m:e>
                </m:nary>
                <m:nary>
                  <m:naryPr>
                    <m:chr m:val="∑"/>
                    <m:limLoc m:val="undOvr"/>
                    <m:ctrlPr>
                      <w:rPr>
                        <w:rFonts w:ascii="Cambria Math" w:hAnsi="Cambria Math"/>
                        <w:i/>
                      </w:rPr>
                    </m:ctrlPr>
                  </m:naryPr>
                  <m:sub>
                    <m:r>
                      <w:rPr>
                        <w:rFonts w:ascii="Cambria Math" w:hAnsi="Cambria Math"/>
                      </w:rPr>
                      <m:t>k=1</m:t>
                    </m:r>
                  </m:sub>
                  <m:sup>
                    <m:r>
                      <w:rPr>
                        <w:rFonts w:ascii="Cambria Math" w:hAnsi="Cambria Math"/>
                      </w:rPr>
                      <m:t>2</m:t>
                    </m:r>
                  </m:sup>
                  <m:e>
                    <m:sSub>
                      <m:sSubPr>
                        <m:ctrlPr>
                          <w:rPr>
                            <w:rFonts w:ascii="Cambria Math" w:hAnsi="Cambria Math"/>
                            <w:i/>
                          </w:rPr>
                        </m:ctrlPr>
                      </m:sSubPr>
                      <m:e>
                        <m:r>
                          <m:rPr>
                            <m:sty m:val="bi"/>
                          </m:rPr>
                          <w:rPr>
                            <w:rFonts w:ascii="Cambria Math" w:hAnsi="Cambria Math"/>
                          </w:rPr>
                          <m:t>P</m:t>
                        </m:r>
                      </m:e>
                      <m:sub>
                        <m:r>
                          <w:rPr>
                            <w:rFonts w:ascii="Cambria Math" w:hAnsi="Cambria Math"/>
                          </w:rPr>
                          <m:t>k</m:t>
                        </m:r>
                      </m:sub>
                    </m:sSub>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m:rPr>
                                    <m:sty m:val="b"/>
                                  </m:rPr>
                                  <w:rPr>
                                    <w:rFonts w:ascii="Cambria Math" w:hAnsi="Cambria Math"/>
                                  </w:rPr>
                                  <m:t>g</m:t>
                                </m:r>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k</m:t>
                                    </m:r>
                                  </m:sub>
                                </m:sSub>
                              </m:e>
                            </m:d>
                            <m:sSup>
                              <m:sSupPr>
                                <m:ctrlPr>
                                  <w:rPr>
                                    <w:rFonts w:ascii="Cambria Math" w:hAnsi="Cambria Math"/>
                                    <w:i/>
                                  </w:rPr>
                                </m:ctrlPr>
                              </m:sSupPr>
                              <m:e>
                                <m:d>
                                  <m:dPr>
                                    <m:ctrlPr>
                                      <w:rPr>
                                        <w:rFonts w:ascii="Cambria Math" w:hAnsi="Cambria Math"/>
                                        <w:i/>
                                      </w:rPr>
                                    </m:ctrlPr>
                                  </m:dPr>
                                  <m:e>
                                    <m:r>
                                      <m:rPr>
                                        <m:sty m:val="b"/>
                                      </m:rPr>
                                      <w:rPr>
                                        <w:rFonts w:ascii="Cambria Math" w:hAnsi="Cambria Math"/>
                                      </w:rPr>
                                      <m:t>g</m:t>
                                    </m:r>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k</m:t>
                                        </m:r>
                                      </m:sub>
                                    </m:sSub>
                                  </m:e>
                                </m:d>
                              </m:e>
                              <m:sup>
                                <m:r>
                                  <w:rPr>
                                    <w:rFonts w:ascii="Cambria Math" w:hAnsi="Cambria Math"/>
                                  </w:rPr>
                                  <m:t>t</m:t>
                                </m:r>
                              </m:sup>
                            </m:sSup>
                          </m:e>
                        </m:d>
                      </m:e>
                      <m:sub>
                        <m:r>
                          <w:rPr>
                            <w:rFonts w:ascii="Cambria Math" w:hAnsi="Cambria Math"/>
                          </w:rPr>
                          <m:t>k</m:t>
                        </m:r>
                      </m:sub>
                    </m:sSub>
                  </m:e>
                </m:nary>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9</w:instrText>
              </w:r>
            </w:fldSimple>
            <w:r w:rsidR="002843E4">
              <w:instrText>)</w:instrText>
            </w:r>
            <w:r>
              <w:fldChar w:fldCharType="end"/>
            </w:r>
          </w:p>
        </w:tc>
      </w:tr>
    </w:tbl>
    <w:p w:rsidR="007979AD" w:rsidRDefault="009301CB" w:rsidP="007979AD">
      <w:pPr>
        <w:numPr>
          <w:ilvl w:val="12"/>
          <w:numId w:val="0"/>
        </w:numPr>
        <w:spacing w:line="480" w:lineRule="auto"/>
        <w:ind w:firstLine="720"/>
      </w:pPr>
      <w:r w:rsidRPr="009301CB">
        <w:t xml:space="preserve">The interclass scatter matrix </w:t>
      </w:r>
      <w:r w:rsidRPr="009301CB">
        <w:rPr>
          <w:b/>
        </w:rPr>
        <w:t>S</w:t>
      </w:r>
      <w:r w:rsidRPr="009301CB">
        <w:rPr>
          <w:vertAlign w:val="subscript"/>
        </w:rPr>
        <w:t>1</w:t>
      </w:r>
      <w:r w:rsidRPr="009301CB">
        <w:t xml:space="preserve"> expresses the average distance between</w:t>
      </w:r>
      <w:r w:rsidR="007979AD">
        <w:t xml:space="preserve"> </w:t>
      </w:r>
      <w:r w:rsidR="007979AD" w:rsidRPr="007979AD">
        <w:t xml:space="preserve">the distribution means of the two classes, and </w:t>
      </w:r>
      <w:r w:rsidR="00DC2D93">
        <w:t>has rank 1 for our binary task (</w:t>
      </w:r>
      <w:r w:rsidR="00DC2D93" w:rsidRPr="00DC2D93">
        <w:rPr>
          <w:rFonts w:ascii="Cambria Math" w:hAnsi="Cambria Math"/>
          <w:i/>
        </w:rPr>
        <w:t>k</w:t>
      </w:r>
      <w:r w:rsidR="00DC2D93">
        <w:t>-1).  T</w:t>
      </w:r>
      <w:r w:rsidR="007979AD" w:rsidRPr="007979AD">
        <w:t xml:space="preserve">he intraclass scatter matrix </w:t>
      </w:r>
      <w:r w:rsidR="007979AD" w:rsidRPr="007979AD">
        <w:rPr>
          <w:b/>
        </w:rPr>
        <w:t>S</w:t>
      </w:r>
      <w:r w:rsidR="007979AD" w:rsidRPr="007979AD">
        <w:rPr>
          <w:vertAlign w:val="subscript"/>
        </w:rPr>
        <w:t>2</w:t>
      </w:r>
      <w:r w:rsidR="007979AD" w:rsidRPr="007979AD">
        <w:t xml:space="preserve"> expresses the average </w:t>
      </w:r>
      <w:r w:rsidR="00DC2D93">
        <w:t xml:space="preserve">class </w:t>
      </w:r>
      <w:r w:rsidR="007979AD" w:rsidRPr="007979AD">
        <w:t xml:space="preserve">covariance matrix </w:t>
      </w:r>
      <w:r w:rsidR="001B04A7">
        <w:t>within</w:t>
      </w:r>
      <w:r w:rsidR="007979AD" w:rsidRPr="007979AD">
        <w:t xml:space="preserve"> the data,</w:t>
      </w:r>
      <w:r w:rsidR="009042F2">
        <w:t xml:space="preserve"> </w:t>
      </w:r>
      <w:r w:rsidR="00C012F9">
        <w:t>found</w:t>
      </w:r>
      <w:r w:rsidR="009042F2">
        <w:t xml:space="preserve"> by summing the probability-weighted</w:t>
      </w:r>
      <w:r w:rsidR="00356F4F">
        <w:t xml:space="preserve"> (</w:t>
      </w:r>
      <m:oMath>
        <m:r>
          <m:rPr>
            <m:sty m:val="bi"/>
          </m:rPr>
          <w:rPr>
            <w:rFonts w:ascii="Cambria Math" w:hAnsi="Cambria Math"/>
          </w:rPr>
          <m:t>P</m:t>
        </m:r>
      </m:oMath>
      <w:r w:rsidR="00356F4F">
        <w:t>)</w:t>
      </w:r>
      <w:r w:rsidR="007979AD" w:rsidRPr="007979AD">
        <w:t xml:space="preserve"> cova</w:t>
      </w:r>
      <w:r w:rsidR="001327CA">
        <w:t xml:space="preserve">riance matrices of both </w:t>
      </w:r>
      <w:r w:rsidR="00EB6099">
        <w:t>classes</w:t>
      </w:r>
      <w:r w:rsidR="00662363">
        <w:t>.</w:t>
      </w:r>
      <w:r w:rsidR="001327CA">
        <w:t xml:space="preserve"> </w:t>
      </w:r>
      <w:r w:rsidR="00662363">
        <w:t xml:space="preserve"> I</w:t>
      </w:r>
      <w:r w:rsidR="001327CA">
        <w:t>ts rank is determined by the number of samples used</w:t>
      </w:r>
      <w:r w:rsidR="00C012F9">
        <w:t xml:space="preserve"> in the calculation.</w:t>
      </w:r>
    </w:p>
    <w:p w:rsidR="00CB7294" w:rsidRDefault="00CB7294" w:rsidP="00CB7294">
      <w:pPr>
        <w:numPr>
          <w:ilvl w:val="12"/>
          <w:numId w:val="0"/>
        </w:numPr>
        <w:spacing w:line="480" w:lineRule="auto"/>
        <w:ind w:firstLine="720"/>
      </w:pPr>
      <w:r>
        <w:t xml:space="preserve">In terms of these scatter matrices, a measure of class separability called the Hotelling trace </w:t>
      </w:r>
      <m:oMath>
        <m:r>
          <w:rPr>
            <w:rFonts w:ascii="Cambria Math" w:hAnsi="Cambria Math"/>
          </w:rPr>
          <m:t>J</m:t>
        </m:r>
      </m:oMath>
      <w:r w:rsidR="00E60517">
        <w:t xml:space="preserve"> is defined as</w:t>
      </w:r>
      <w:r w:rsidR="000B385E">
        <w:t xml:space="preserve"> </w:t>
      </w:r>
      <w:r w:rsidR="009B6816">
        <w:fldChar w:fldCharType="begin"/>
      </w:r>
      <w:r w:rsidR="002D7C36">
        <w:instrText xml:space="preserve"> ADDIN EN.CITE &lt;EndNote&gt;&lt;Cite&gt;&lt;Author&gt;Smith&lt;/Author&gt;&lt;Year&gt;1986&lt;/Year&gt;&lt;RecNum&gt;276&lt;/RecNum&gt;&lt;DisplayText&gt;(Smith and Barrett 1986)&lt;/DisplayText&gt;&lt;record&gt;&lt;rec-number&gt;276&lt;/rec-number&gt;&lt;foreign-keys&gt;&lt;key app="EN" db-id="srwv9ppvvez5pgefxzi5ddeve5w2fe5x5esr"&gt;276&lt;/key&gt;&lt;/foreign-keys&gt;&lt;ref-type name="Journal Article"&gt;17&lt;/ref-type&gt;&lt;contributors&gt;&lt;authors&gt;&lt;author&gt;Smith, W.E.&lt;/author&gt;&lt;author&gt;Barrett, H.H.&lt;/author&gt;&lt;/authors&gt;&lt;/contributors&gt;&lt;titles&gt;&lt;title&gt;Hotelling trace criterion as a figure of merit for the optimization of imaging systems&lt;/title&gt;&lt;secondary-title&gt;JOSA A&lt;/secondary-title&gt;&lt;/titles&gt;&lt;pages&gt;717-725&lt;/pages&gt;&lt;volume&gt;3&lt;/volume&gt;&lt;number&gt;5&lt;/number&gt;&lt;dates&gt;&lt;year&gt;1986&lt;/year&gt;&lt;/dates&gt;&lt;isbn&gt;1520-8532&lt;/isbn&gt;&lt;urls&gt;&lt;/urls&gt;&lt;/record&gt;&lt;/Cite&gt;&lt;/EndNote&gt;</w:instrText>
      </w:r>
      <w:r w:rsidR="009B6816">
        <w:fldChar w:fldCharType="separate"/>
      </w:r>
      <w:r w:rsidR="00B82802">
        <w:rPr>
          <w:noProof/>
        </w:rPr>
        <w:t>(</w:t>
      </w:r>
      <w:hyperlink w:anchor="_ENREF_70" w:tooltip="Smith, 1986 #276" w:history="1">
        <w:r w:rsidR="007704DB">
          <w:rPr>
            <w:noProof/>
          </w:rPr>
          <w:t>Smith and Barrett 1986</w:t>
        </w:r>
      </w:hyperlink>
      <w:r w:rsidR="00B82802">
        <w:rPr>
          <w:noProof/>
        </w:rPr>
        <w:t>)</w:t>
      </w:r>
      <w:r w:rsidR="009B6816">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2843E4" w:rsidP="002843E4">
            <w:pPr>
              <w:numPr>
                <w:ilvl w:val="12"/>
                <w:numId w:val="0"/>
              </w:numPr>
              <w:spacing w:line="480" w:lineRule="auto"/>
              <w:ind w:firstLine="720"/>
            </w:pPr>
            <m:oMathPara>
              <m:oMath>
                <m:r>
                  <w:rPr>
                    <w:rFonts w:ascii="Cambria Math" w:hAnsi="Cambria Math"/>
                  </w:rPr>
                  <w:lastRenderedPageBreak/>
                  <m:t>J=</m:t>
                </m:r>
                <m:r>
                  <m:rPr>
                    <m:sty m:val="p"/>
                  </m:rPr>
                  <w:rPr>
                    <w:rFonts w:ascii="Cambria Math" w:hAnsi="Cambria Math"/>
                  </w:rPr>
                  <m:t>tr</m:t>
                </m:r>
                <m:d>
                  <m:dPr>
                    <m:ctrlPr>
                      <w:rPr>
                        <w:rFonts w:ascii="Cambria Math" w:hAnsi="Cambria Math"/>
                        <w:i/>
                      </w:rPr>
                    </m:ctrlPr>
                  </m:dPr>
                  <m:e>
                    <m:sSubSup>
                      <m:sSubSupPr>
                        <m:ctrlPr>
                          <w:rPr>
                            <w:rFonts w:ascii="Cambria Math" w:hAnsi="Cambria Math"/>
                            <w:i/>
                          </w:rPr>
                        </m:ctrlPr>
                      </m:sSubSupPr>
                      <m:e>
                        <m:r>
                          <m:rPr>
                            <m:sty m:val="b"/>
                          </m:rPr>
                          <w:rPr>
                            <w:rFonts w:ascii="Cambria Math" w:hAnsi="Cambria Math"/>
                          </w:rPr>
                          <m:t>S</m:t>
                        </m:r>
                      </m:e>
                      <m:sub>
                        <m:r>
                          <m:rPr>
                            <m:sty m:val="b"/>
                          </m:rPr>
                          <w:rPr>
                            <w:rFonts w:ascii="Cambria Math" w:hAnsi="Cambria Math"/>
                          </w:rPr>
                          <m:t>2</m:t>
                        </m:r>
                      </m:sub>
                      <m:sup>
                        <m:r>
                          <w:rPr>
                            <w:rFonts w:ascii="Cambria Math" w:hAnsi="Cambria Math"/>
                          </w:rPr>
                          <m:t>-1</m:t>
                        </m:r>
                      </m:sup>
                    </m:sSubSup>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1</m:t>
                        </m:r>
                      </m:sub>
                    </m:sSub>
                  </m:e>
                </m:d>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10</w:instrText>
              </w:r>
            </w:fldSimple>
            <w:r w:rsidR="002843E4">
              <w:instrText>)</w:instrText>
            </w:r>
            <w:r>
              <w:fldChar w:fldCharType="end"/>
            </w:r>
          </w:p>
        </w:tc>
      </w:tr>
    </w:tbl>
    <w:p w:rsidR="00026647" w:rsidRDefault="0045074F" w:rsidP="00AD6767">
      <w:pPr>
        <w:numPr>
          <w:ilvl w:val="12"/>
          <w:numId w:val="0"/>
        </w:numPr>
        <w:spacing w:line="480" w:lineRule="auto"/>
        <w:ind w:firstLine="720"/>
      </w:pPr>
      <w:r>
        <w:t xml:space="preserve">The matrix </w:t>
      </w:r>
      <m:oMath>
        <m:sSubSup>
          <m:sSubSupPr>
            <m:ctrlPr>
              <w:rPr>
                <w:rFonts w:ascii="Cambria Math" w:hAnsi="Cambria Math"/>
                <w:i/>
              </w:rPr>
            </m:ctrlPr>
          </m:sSubSupPr>
          <m:e>
            <m:r>
              <m:rPr>
                <m:sty m:val="b"/>
              </m:rPr>
              <w:rPr>
                <w:rFonts w:ascii="Cambria Math" w:hAnsi="Cambria Math"/>
              </w:rPr>
              <m:t>S</m:t>
            </m:r>
          </m:e>
          <m:sub>
            <m:r>
              <m:rPr>
                <m:sty m:val="b"/>
              </m:rPr>
              <w:rPr>
                <w:rFonts w:ascii="Cambria Math" w:hAnsi="Cambria Math"/>
              </w:rPr>
              <m:t>2</m:t>
            </m:r>
          </m:sub>
          <m:sup>
            <m:r>
              <w:rPr>
                <w:rFonts w:ascii="Cambria Math" w:hAnsi="Cambria Math"/>
              </w:rPr>
              <m:t>-1</m:t>
            </m:r>
          </m:sup>
        </m:sSubSup>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1</m:t>
            </m:r>
          </m:sub>
        </m:sSub>
      </m:oMath>
      <w:r>
        <w:t xml:space="preserve"> has the same rank as </w:t>
      </w:r>
      <m:oMath>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1</m:t>
            </m:r>
          </m:sub>
        </m:sSub>
      </m:oMath>
      <w:r>
        <w:t xml:space="preserve"> and the Hotelling trace sums </w:t>
      </w:r>
      <w:r w:rsidR="004709B6">
        <w:t>its</w:t>
      </w:r>
      <w:r>
        <w:t xml:space="preserve"> diagonal elements.</w:t>
      </w:r>
      <w:r w:rsidR="004709B6">
        <w:rPr>
          <w:rStyle w:val="FootnoteReference"/>
        </w:rPr>
        <w:footnoteReference w:id="9"/>
      </w:r>
      <w:r>
        <w:t xml:space="preserve">  </w:t>
      </w:r>
      <w:r w:rsidR="00231B8E">
        <w:t xml:space="preserve">The construction </w:t>
      </w:r>
      <w:r w:rsidR="000B385E">
        <w:t xml:space="preserve">of </w:t>
      </w:r>
      <m:oMath>
        <m:r>
          <w:rPr>
            <w:rFonts w:ascii="Cambria Math" w:hAnsi="Cambria Math"/>
          </w:rPr>
          <m:t>J</m:t>
        </m:r>
      </m:oMath>
      <w:r w:rsidR="000B385E">
        <w:t xml:space="preserve"> </w:t>
      </w:r>
      <w:r w:rsidR="00231B8E">
        <w:t xml:space="preserve">is </w:t>
      </w:r>
      <w:r w:rsidR="0037007F">
        <w:t>intuitive</w:t>
      </w:r>
      <w:r w:rsidR="00996F63">
        <w:t>;</w:t>
      </w:r>
      <w:r w:rsidR="000530D3">
        <w:t xml:space="preserve"> as it increases,</w:t>
      </w:r>
      <w:r w:rsidR="0076218D">
        <w:t xml:space="preserve"> </w:t>
      </w:r>
      <w:r w:rsidR="000530D3">
        <w:t>so does</w:t>
      </w:r>
      <w:r w:rsidR="000B385E">
        <w:t xml:space="preserve"> the relative separation between the class means</w:t>
      </w:r>
      <w:r w:rsidR="000530D3">
        <w:t>,</w:t>
      </w:r>
      <w:r w:rsidR="000B385E">
        <w:t xml:space="preserve"> while </w:t>
      </w:r>
      <w:r w:rsidR="000530D3">
        <w:t xml:space="preserve">at the same time, </w:t>
      </w:r>
      <w:r w:rsidR="000B385E">
        <w:t>the spread within each class</w:t>
      </w:r>
      <w:r w:rsidR="000530D3">
        <w:t xml:space="preserve"> is minimized</w:t>
      </w:r>
      <w:r w:rsidR="000B385E">
        <w:t>.</w:t>
      </w:r>
      <w:r w:rsidR="00E60517">
        <w:t xml:space="preserve">  This scalar measure has the same form as </w:t>
      </w:r>
      <w:proofErr w:type="spellStart"/>
      <w:r w:rsidR="00E60517" w:rsidRPr="009301CB">
        <w:t>Hotelling’s</w:t>
      </w:r>
      <w:proofErr w:type="spellEnd"/>
      <w:r w:rsidR="00E60517" w:rsidRPr="009301CB">
        <w:t xml:space="preserve"> T</w:t>
      </w:r>
      <w:r w:rsidR="00E60517" w:rsidRPr="009301CB">
        <w:rPr>
          <w:vertAlign w:val="superscript"/>
        </w:rPr>
        <w:t>2</w:t>
      </w:r>
      <w:r w:rsidR="00E60517" w:rsidRPr="009301CB">
        <w:t xml:space="preserve"> value</w:t>
      </w:r>
      <w:r w:rsidR="00DC2D93">
        <w:t xml:space="preserve"> except that </w:t>
      </w:r>
      <w:r w:rsidR="00121F1E">
        <w:t>sample</w:t>
      </w:r>
      <w:r w:rsidR="00DC2D93">
        <w:t xml:space="preserve"> statistics are used in the place of </w:t>
      </w:r>
      <w:r w:rsidR="00121F1E">
        <w:t>ensemble</w:t>
      </w:r>
      <w:r w:rsidR="00DC2D93">
        <w:t xml:space="preserve"> ones</w:t>
      </w:r>
      <w:r w:rsidR="000530D3">
        <w:t>.</w:t>
      </w:r>
      <w:r w:rsidR="006D12DB">
        <w:t xml:space="preserve">  </w:t>
      </w:r>
    </w:p>
    <w:p w:rsidR="006D12DB" w:rsidRDefault="00AD6767" w:rsidP="006D12DB">
      <w:pPr>
        <w:numPr>
          <w:ilvl w:val="12"/>
          <w:numId w:val="0"/>
        </w:numPr>
        <w:spacing w:line="480" w:lineRule="auto"/>
        <w:ind w:firstLine="720"/>
      </w:pPr>
      <w:r>
        <w:t xml:space="preserve">This </w:t>
      </w:r>
      <w:r w:rsidR="006D12DB">
        <w:t>is closely related to the Fisher criterion</w:t>
      </w:r>
      <w:r w:rsidR="005D34F0">
        <w:t xml:space="preserve">, where </w:t>
      </w:r>
      <w:r w:rsidR="0045074F">
        <w:t>we have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2843E4" w:rsidP="002843E4">
            <w:pPr>
              <w:numPr>
                <w:ilvl w:val="12"/>
                <w:numId w:val="0"/>
              </w:numPr>
              <w:spacing w:line="480" w:lineRule="auto"/>
              <w:ind w:firstLine="720"/>
            </w:pPr>
            <m:oMathPara>
              <m:oMath>
                <m:r>
                  <m:rPr>
                    <m:sty m:val="p"/>
                  </m:rPr>
                  <w:rPr>
                    <w:rFonts w:ascii="Cambria Math" w:hAnsi="Cambria Math"/>
                  </w:rPr>
                  <m:t>μ</m:t>
                </m:r>
                <m:r>
                  <m:rPr>
                    <m:sty m:val="bi"/>
                  </m:rPr>
                  <w:rPr>
                    <w:rFonts w:ascii="Cambria Math" w:hAnsi="Symbol"/>
                  </w:rPr>
                  <m:t>(</m:t>
                </m:r>
                <m:r>
                  <m:rPr>
                    <m:sty m:val="b"/>
                  </m:rPr>
                  <w:rPr>
                    <w:rFonts w:ascii="Cambria Math" w:hAnsi="Symbol"/>
                  </w:rPr>
                  <m:t>u</m:t>
                </m:r>
                <m:r>
                  <m:rPr>
                    <m:sty m:val="bi"/>
                  </m:rPr>
                  <w:rPr>
                    <w:rFonts w:ascii="Cambria Math" w:hAnsi="Symbol"/>
                  </w:rPr>
                  <m:t>)</m:t>
                </m:r>
                <m:r>
                  <w:rPr>
                    <w:rFonts w:ascii="Cambria Math" w:hAnsi="Symbol"/>
                  </w:rPr>
                  <m:t>=</m:t>
                </m:r>
                <m:f>
                  <m:fPr>
                    <m:ctrlPr>
                      <w:rPr>
                        <w:rFonts w:ascii="Cambria Math" w:hAnsi="Symbol"/>
                        <w:b/>
                      </w:rPr>
                    </m:ctrlPr>
                  </m:fPr>
                  <m:num>
                    <m:sSup>
                      <m:sSupPr>
                        <m:ctrlPr>
                          <w:rPr>
                            <w:rFonts w:ascii="Cambria Math" w:hAnsi="Symbol"/>
                            <w:b/>
                          </w:rPr>
                        </m:ctrlPr>
                      </m:sSupPr>
                      <m:e>
                        <m:r>
                          <m:rPr>
                            <m:sty m:val="b"/>
                          </m:rPr>
                          <w:rPr>
                            <w:rFonts w:ascii="Cambria Math" w:hAnsi="Symbol"/>
                          </w:rPr>
                          <m:t>u</m:t>
                        </m:r>
                      </m:e>
                      <m:sup>
                        <m:r>
                          <m:rPr>
                            <m:sty m:val="p"/>
                          </m:rPr>
                          <w:rPr>
                            <w:rFonts w:ascii="Cambria Math" w:hAnsi="Symbol"/>
                          </w:rPr>
                          <m:t>T</m:t>
                        </m:r>
                      </m:sup>
                    </m:sSup>
                    <m:sSub>
                      <m:sSubPr>
                        <m:ctrlPr>
                          <w:rPr>
                            <w:rFonts w:ascii="Cambria Math" w:hAnsi="Symbol"/>
                            <w:b/>
                          </w:rPr>
                        </m:ctrlPr>
                      </m:sSubPr>
                      <m:e>
                        <m:r>
                          <m:rPr>
                            <m:sty m:val="b"/>
                          </m:rPr>
                          <w:rPr>
                            <w:rFonts w:ascii="Cambria Math" w:hAnsi="Symbol"/>
                          </w:rPr>
                          <m:t>S</m:t>
                        </m:r>
                      </m:e>
                      <m:sub>
                        <m:r>
                          <m:rPr>
                            <m:sty m:val="b"/>
                          </m:rPr>
                          <w:rPr>
                            <w:rFonts w:ascii="Cambria Math" w:hAnsi="Symbol"/>
                          </w:rPr>
                          <m:t>1</m:t>
                        </m:r>
                      </m:sub>
                    </m:sSub>
                    <m:r>
                      <m:rPr>
                        <m:sty m:val="b"/>
                      </m:rPr>
                      <w:rPr>
                        <w:rFonts w:ascii="Cambria Math" w:hAnsi="Symbol"/>
                      </w:rPr>
                      <m:t>u</m:t>
                    </m:r>
                  </m:num>
                  <m:den>
                    <m:sSup>
                      <m:sSupPr>
                        <m:ctrlPr>
                          <w:rPr>
                            <w:rFonts w:ascii="Cambria Math" w:hAnsi="Symbol"/>
                            <w:b/>
                          </w:rPr>
                        </m:ctrlPr>
                      </m:sSupPr>
                      <m:e>
                        <m:r>
                          <m:rPr>
                            <m:sty m:val="b"/>
                          </m:rPr>
                          <w:rPr>
                            <w:rFonts w:ascii="Cambria Math" w:hAnsi="Symbol"/>
                          </w:rPr>
                          <m:t>u</m:t>
                        </m:r>
                      </m:e>
                      <m:sup>
                        <m:r>
                          <m:rPr>
                            <m:sty m:val="p"/>
                          </m:rPr>
                          <w:rPr>
                            <w:rFonts w:ascii="Cambria Math" w:hAnsi="Symbol"/>
                          </w:rPr>
                          <m:t>T</m:t>
                        </m:r>
                      </m:sup>
                    </m:sSup>
                    <m:sSub>
                      <m:sSubPr>
                        <m:ctrlPr>
                          <w:rPr>
                            <w:rFonts w:ascii="Cambria Math" w:hAnsi="Symbol"/>
                            <w:b/>
                          </w:rPr>
                        </m:ctrlPr>
                      </m:sSubPr>
                      <m:e>
                        <m:r>
                          <m:rPr>
                            <m:sty m:val="b"/>
                          </m:rPr>
                          <w:rPr>
                            <w:rFonts w:ascii="Cambria Math" w:hAnsi="Symbol"/>
                          </w:rPr>
                          <m:t>S</m:t>
                        </m:r>
                      </m:e>
                      <m:sub>
                        <m:r>
                          <m:rPr>
                            <m:sty m:val="b"/>
                          </m:rPr>
                          <w:rPr>
                            <w:rFonts w:ascii="Cambria Math" w:hAnsi="Symbol"/>
                          </w:rPr>
                          <m:t>2</m:t>
                        </m:r>
                      </m:sub>
                    </m:sSub>
                    <m:r>
                      <m:rPr>
                        <m:sty m:val="b"/>
                      </m:rPr>
                      <w:rPr>
                        <w:rFonts w:ascii="Cambria Math" w:hAnsi="Symbol"/>
                      </w:rPr>
                      <m:t>u</m:t>
                    </m:r>
                  </m:den>
                </m:f>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11</w:instrText>
              </w:r>
            </w:fldSimple>
            <w:r w:rsidR="002843E4">
              <w:instrText>)</w:instrText>
            </w:r>
            <w:r>
              <w:fldChar w:fldCharType="end"/>
            </w:r>
          </w:p>
        </w:tc>
      </w:tr>
    </w:tbl>
    <w:p w:rsidR="00DC2D93" w:rsidRDefault="003262F2" w:rsidP="003262F2">
      <w:pPr>
        <w:numPr>
          <w:ilvl w:val="12"/>
          <w:numId w:val="0"/>
        </w:numPr>
        <w:spacing w:line="480" w:lineRule="auto"/>
      </w:pPr>
      <w:proofErr w:type="gramStart"/>
      <w:r>
        <w:t>where</w:t>
      </w:r>
      <w:proofErr w:type="gramEnd"/>
      <w:r>
        <w:t xml:space="preserve"> </w:t>
      </w:r>
      <m:oMath>
        <m:r>
          <m:rPr>
            <m:sty m:val="b"/>
          </m:rPr>
          <w:rPr>
            <w:rFonts w:ascii="Cambria Math" w:hAnsi="Cambria Math"/>
          </w:rPr>
          <m:t>u</m:t>
        </m:r>
      </m:oMath>
      <w:r>
        <w:rPr>
          <w:b/>
        </w:rPr>
        <w:t xml:space="preserve"> </w:t>
      </w:r>
      <w:r>
        <w:t xml:space="preserve">is the optimal discriminant function.  We find </w:t>
      </w:r>
      <m:oMath>
        <m:r>
          <m:rPr>
            <m:sty m:val="b"/>
          </m:rPr>
          <w:rPr>
            <w:rFonts w:ascii="Cambria Math" w:hAnsi="Cambria Math"/>
          </w:rPr>
          <m:t>u</m:t>
        </m:r>
      </m:oMath>
      <w:r>
        <w:t xml:space="preserve"> by maximizing</w:t>
      </w:r>
      <w:r w:rsidR="0045074F">
        <w:t xml:space="preserve"> </w:t>
      </w:r>
      <m:oMath>
        <m:r>
          <m:rPr>
            <m:sty m:val="p"/>
          </m:rPr>
          <w:rPr>
            <w:rFonts w:ascii="Cambria Math" w:hAnsi="Cambria Math"/>
          </w:rPr>
          <m:t>μ</m:t>
        </m:r>
      </m:oMath>
      <w:r>
        <w:t xml:space="preserve"> (</w:t>
      </w:r>
      <w:proofErr w:type="gramStart"/>
      <w:r w:rsidR="009A1FE9">
        <w:t xml:space="preserve">setting </w:t>
      </w:r>
      <m:oMath>
        <w:proofErr w:type="gramEnd"/>
        <m:f>
          <m:fPr>
            <m:ctrlPr>
              <w:rPr>
                <w:rFonts w:ascii="Cambria Math" w:hAnsi="Cambria Math"/>
                <w:i/>
              </w:rPr>
            </m:ctrlPr>
          </m:fPr>
          <m:num>
            <m:r>
              <w:rPr>
                <w:rFonts w:ascii="Cambria Math" w:hAnsi="Cambria Math"/>
              </w:rPr>
              <m:t>d</m:t>
            </m:r>
          </m:num>
          <m:den>
            <m:r>
              <w:rPr>
                <w:rFonts w:ascii="Cambria Math" w:hAnsi="Cambria Math"/>
              </w:rPr>
              <m:t>d</m:t>
            </m:r>
            <m:r>
              <m:rPr>
                <m:sty m:val="b"/>
              </m:rPr>
              <w:rPr>
                <w:rFonts w:ascii="Cambria Math" w:hAnsi="Cambria Math"/>
              </w:rPr>
              <m:t>u</m:t>
            </m:r>
          </m:den>
        </m:f>
        <m:d>
          <m:dPr>
            <m:begChr m:val="["/>
            <m:endChr m:val="]"/>
            <m:ctrlPr>
              <w:rPr>
                <w:rFonts w:ascii="Cambria Math" w:hAnsi="Cambria Math"/>
                <w:b/>
                <w:i/>
              </w:rPr>
            </m:ctrlPr>
          </m:dPr>
          <m:e>
            <m:r>
              <m:rPr>
                <m:sty m:val="p"/>
              </m:rPr>
              <w:rPr>
                <w:rFonts w:ascii="Cambria Math" w:hAnsi="Cambria Math"/>
              </w:rPr>
              <m:t>μ</m:t>
            </m:r>
            <m:r>
              <m:rPr>
                <m:sty m:val="bi"/>
              </m:rPr>
              <w:rPr>
                <w:rFonts w:ascii="Cambria Math" w:hAnsi="Cambria Math"/>
              </w:rPr>
              <m:t>(</m:t>
            </m:r>
            <m:r>
              <m:rPr>
                <m:sty m:val="b"/>
              </m:rPr>
              <w:rPr>
                <w:rFonts w:ascii="Cambria Math" w:hAnsi="Cambria Math"/>
              </w:rPr>
              <m:t>u</m:t>
            </m:r>
            <m:r>
              <m:rPr>
                <m:sty m:val="bi"/>
              </m:rPr>
              <w:rPr>
                <w:rFonts w:ascii="Cambria Math" w:hAnsi="Cambria Math"/>
              </w:rPr>
              <m:t>)</m:t>
            </m:r>
          </m:e>
        </m:d>
        <m:r>
          <m:rPr>
            <m:sty m:val="bi"/>
          </m:rPr>
          <w:rPr>
            <w:rFonts w:ascii="Cambria Math" w:hAnsi="Cambria Math"/>
          </w:rPr>
          <m:t>=0</m:t>
        </m:r>
      </m:oMath>
      <w:r>
        <w:t>)</w:t>
      </w:r>
      <w:r w:rsidR="009A1FE9">
        <w:t xml:space="preserve"> </w:t>
      </w:r>
      <w:r w:rsidR="00842C00">
        <w:t>which gives us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Pr="002843E4" w:rsidRDefault="002843E4" w:rsidP="002843E4">
            <w:pPr>
              <w:numPr>
                <w:ilvl w:val="12"/>
                <w:numId w:val="0"/>
              </w:numPr>
              <w:spacing w:line="480" w:lineRule="auto"/>
              <w:ind w:firstLine="720"/>
              <w:rPr>
                <w:b/>
              </w:rPr>
            </w:pPr>
            <m:oMathPara>
              <m:oMath>
                <m:r>
                  <m:rPr>
                    <m:sty m:val="p"/>
                  </m:rPr>
                  <w:rPr>
                    <w:rFonts w:ascii="Cambria Math" w:hAnsi="Cambria Math"/>
                  </w:rPr>
                  <m:t>μ</m:t>
                </m:r>
                <m:r>
                  <m:rPr>
                    <m:sty m:val="b"/>
                  </m:rPr>
                  <w:rPr>
                    <w:rFonts w:ascii="Cambria Math" w:hAnsi="Cambria Math"/>
                  </w:rPr>
                  <m:t>u</m:t>
                </m:r>
                <m:r>
                  <w:rPr>
                    <w:rFonts w:ascii="Cambria Math" w:hAnsi="Cambria Math"/>
                  </w:rPr>
                  <m:t>=</m:t>
                </m:r>
                <m:sSubSup>
                  <m:sSubSupPr>
                    <m:ctrlPr>
                      <w:rPr>
                        <w:rFonts w:ascii="Cambria Math" w:hAnsi="Cambria Math"/>
                        <w:i/>
                      </w:rPr>
                    </m:ctrlPr>
                  </m:sSubSupPr>
                  <m:e>
                    <m:r>
                      <m:rPr>
                        <m:sty m:val="b"/>
                      </m:rPr>
                      <w:rPr>
                        <w:rFonts w:ascii="Cambria Math" w:hAnsi="Cambria Math"/>
                      </w:rPr>
                      <m:t>S</m:t>
                    </m:r>
                  </m:e>
                  <m:sub>
                    <m:r>
                      <m:rPr>
                        <m:sty m:val="b"/>
                      </m:rPr>
                      <w:rPr>
                        <w:rFonts w:ascii="Cambria Math" w:hAnsi="Cambria Math"/>
                      </w:rPr>
                      <m:t>2</m:t>
                    </m:r>
                  </m:sub>
                  <m:sup>
                    <m:r>
                      <w:rPr>
                        <w:rFonts w:ascii="Cambria Math" w:hAnsi="Cambria Math"/>
                      </w:rPr>
                      <m:t>-1</m:t>
                    </m:r>
                  </m:sup>
                </m:sSubSup>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1</m:t>
                    </m:r>
                  </m:sub>
                </m:sSub>
                <m:r>
                  <m:rPr>
                    <m:sty m:val="b"/>
                  </m:rPr>
                  <w:rPr>
                    <w:rFonts w:ascii="Cambria Math" w:hAnsi="Cambria Math"/>
                  </w:rPr>
                  <m:t>u</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12</w:instrText>
              </w:r>
            </w:fldSimple>
            <w:r w:rsidR="002843E4">
              <w:instrText>)</w:instrText>
            </w:r>
            <w:r>
              <w:fldChar w:fldCharType="end"/>
            </w:r>
          </w:p>
        </w:tc>
      </w:tr>
    </w:tbl>
    <w:p w:rsidR="000530D3" w:rsidRDefault="00AD6767" w:rsidP="0045074F">
      <w:pPr>
        <w:numPr>
          <w:ilvl w:val="12"/>
          <w:numId w:val="0"/>
        </w:numPr>
        <w:spacing w:line="480" w:lineRule="auto"/>
        <w:ind w:firstLine="720"/>
      </w:pPr>
      <w:r>
        <w:t>The</w:t>
      </w:r>
      <w:r w:rsidR="000530D3">
        <w:t xml:space="preserve"> optimal linear discriminant</w:t>
      </w:r>
      <w:r w:rsidR="004709B6">
        <w:t xml:space="preserve"> for the binary classification problem</w:t>
      </w:r>
      <w:r w:rsidR="004203DD">
        <w:t>,</w:t>
      </w:r>
      <w:r>
        <w:t xml:space="preserve"> found</w:t>
      </w:r>
      <w:r w:rsidR="000530D3">
        <w:t xml:space="preserve"> by solving th</w:t>
      </w:r>
      <w:r w:rsidR="00842C00">
        <w:t>is</w:t>
      </w:r>
      <w:r w:rsidR="004203DD">
        <w:t xml:space="preserve"> general eigenvalue problem,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p>
                  <m:sSupPr>
                    <m:ctrlPr>
                      <w:rPr>
                        <w:rFonts w:ascii="Cambria Math" w:hAnsi="Cambria Math"/>
                        <w:i/>
                      </w:rPr>
                    </m:ctrlPr>
                  </m:sSupPr>
                  <m:e>
                    <m:r>
                      <m:rPr>
                        <m:sty m:val="b"/>
                      </m:rPr>
                      <w:rPr>
                        <w:rFonts w:ascii="Cambria Math" w:hAnsi="Cambria Math"/>
                      </w:rPr>
                      <m:t>u</m:t>
                    </m:r>
                    <m:r>
                      <w:rPr>
                        <w:rFonts w:ascii="Cambria Math" w:hAnsi="Cambria Math"/>
                      </w:rPr>
                      <m:t>=</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sSubSup>
                  <m:sSubSupPr>
                    <m:ctrlPr>
                      <w:rPr>
                        <w:rFonts w:ascii="Cambria Math" w:hAnsi="Cambria Math"/>
                        <w:i/>
                      </w:rPr>
                    </m:ctrlPr>
                  </m:sSubSupPr>
                  <m:e>
                    <m:r>
                      <m:rPr>
                        <m:sty m:val="b"/>
                      </m:rPr>
                      <w:rPr>
                        <w:rFonts w:ascii="Cambria Math" w:hAnsi="Cambria Math"/>
                      </w:rPr>
                      <m:t>S</m:t>
                    </m:r>
                  </m:e>
                  <m:sub>
                    <m:r>
                      <w:rPr>
                        <w:rFonts w:ascii="Cambria Math" w:hAnsi="Cambria Math"/>
                      </w:rPr>
                      <m:t>2</m:t>
                    </m:r>
                  </m:sub>
                  <m:sup>
                    <m:r>
                      <w:rPr>
                        <w:rFonts w:ascii="Cambria Math" w:hAnsi="Cambria Math"/>
                      </w:rPr>
                      <m:t>-1</m:t>
                    </m:r>
                  </m:sup>
                </m:sSubSup>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13</w:instrText>
              </w:r>
            </w:fldSimple>
            <w:r w:rsidR="002843E4">
              <w:instrText>)</w:instrText>
            </w:r>
            <w:r>
              <w:fldChar w:fldCharType="end"/>
            </w:r>
          </w:p>
        </w:tc>
      </w:tr>
    </w:tbl>
    <w:p w:rsidR="00DC2D93" w:rsidRDefault="00083B7B" w:rsidP="00083B7B">
      <w:pPr>
        <w:numPr>
          <w:ilvl w:val="12"/>
          <w:numId w:val="0"/>
        </w:numPr>
        <w:spacing w:line="480" w:lineRule="auto"/>
      </w:pPr>
      <w:proofErr w:type="gramStart"/>
      <w:r>
        <w:t>and</w:t>
      </w:r>
      <w:proofErr w:type="gramEnd"/>
      <w:r>
        <w:t xml:space="preserve"> the</w:t>
      </w:r>
      <w:r w:rsidR="00DC2D93">
        <w:t xml:space="preserve"> test statistic associated with </w:t>
      </w:r>
      <m:oMath>
        <m:r>
          <w:rPr>
            <w:rFonts w:ascii="Cambria Math" w:hAnsi="Cambria Math"/>
          </w:rPr>
          <m:t>J</m:t>
        </m:r>
      </m:oMath>
      <w:r w:rsidR="00DC2D93">
        <w:t xml:space="preserve">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i/>
                      </w:rPr>
                    </m:ctrlPr>
                  </m:sSubPr>
                  <m:e>
                    <m:r>
                      <m:rPr>
                        <m:sty m:val="p"/>
                      </m:rPr>
                      <w:rPr>
                        <w:rFonts w:ascii="Cambria Math" w:hAnsi="Cambria Math"/>
                      </w:rPr>
                      <m:t>λ</m:t>
                    </m:r>
                  </m:e>
                  <m:sub>
                    <m:r>
                      <m:rPr>
                        <m:sty m:val="p"/>
                      </m:rPr>
                      <w:rPr>
                        <w:rFonts w:ascii="Cambria Math" w:hAnsi="Cambria Math"/>
                      </w:rPr>
                      <m:t>Hot</m:t>
                    </m:r>
                  </m:sub>
                </m:sSub>
                <m:d>
                  <m:dPr>
                    <m:ctrlPr>
                      <w:rPr>
                        <w:rFonts w:ascii="Cambria Math" w:hAnsi="Cambria Math"/>
                        <w:i/>
                      </w:rPr>
                    </m:ctrlPr>
                  </m:dPr>
                  <m:e>
                    <m:r>
                      <m:rPr>
                        <m:sty m:val="b"/>
                      </m:rPr>
                      <w:rPr>
                        <w:rFonts w:ascii="Cambria Math" w:hAnsi="Cambria Math"/>
                      </w:rPr>
                      <m:t>g</m:t>
                    </m:r>
                  </m:e>
                </m:d>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sSubSup>
                  <m:sSubSupPr>
                    <m:ctrlPr>
                      <w:rPr>
                        <w:rFonts w:ascii="Cambria Math" w:hAnsi="Cambria Math"/>
                        <w:i/>
                      </w:rPr>
                    </m:ctrlPr>
                  </m:sSubSupPr>
                  <m:e>
                    <m:r>
                      <m:rPr>
                        <m:sty m:val="b"/>
                      </m:rPr>
                      <w:rPr>
                        <w:rFonts w:ascii="Cambria Math" w:hAnsi="Cambria Math"/>
                      </w:rPr>
                      <m:t>S</m:t>
                    </m:r>
                  </m:e>
                  <m:sub>
                    <m:r>
                      <w:rPr>
                        <w:rFonts w:ascii="Cambria Math" w:hAnsi="Cambria Math"/>
                      </w:rPr>
                      <m:t>2</m:t>
                    </m:r>
                  </m:sub>
                  <m:sup>
                    <m:r>
                      <w:rPr>
                        <w:rFonts w:ascii="Cambria Math" w:hAnsi="Cambria Math"/>
                      </w:rPr>
                      <m:t>-1</m:t>
                    </m:r>
                  </m:sup>
                </m:sSubSup>
                <m:r>
                  <m:rPr>
                    <m:sty m:val="b"/>
                  </m:rPr>
                  <w:rPr>
                    <w:rFonts w:ascii="Cambria Math" w:hAnsi="Cambria Math"/>
                  </w:rPr>
                  <m:t>g</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14</w:instrText>
              </w:r>
            </w:fldSimple>
            <w:r w:rsidR="002843E4">
              <w:instrText>)</w:instrText>
            </w:r>
            <w:r>
              <w:fldChar w:fldCharType="end"/>
            </w:r>
          </w:p>
        </w:tc>
      </w:tr>
    </w:tbl>
    <w:p w:rsidR="00DC2D93" w:rsidRDefault="00DC2D93" w:rsidP="00DC2D93">
      <w:pPr>
        <w:numPr>
          <w:ilvl w:val="12"/>
          <w:numId w:val="0"/>
        </w:numPr>
        <w:spacing w:line="480" w:lineRule="auto"/>
        <w:ind w:firstLine="720"/>
      </w:pPr>
      <w:r w:rsidRPr="00DC2D93">
        <w:t xml:space="preserve">This exactly equals the ideal </w:t>
      </w:r>
      <w:r w:rsidR="00DD2034">
        <w:t>prewhitening matched filter (</w:t>
      </w:r>
      <w:r w:rsidRPr="00DC2D93">
        <w:t>PWMF</w:t>
      </w:r>
      <w:r w:rsidR="00DD2034">
        <w:t>)</w:t>
      </w:r>
      <w:r w:rsidRPr="00DC2D93">
        <w:t xml:space="preserve"> observer in SKE-BKE tasks, when </w:t>
      </w:r>
      <w:r w:rsidR="00EC4756">
        <w:t xml:space="preserve">the </w:t>
      </w:r>
      <w:r w:rsidRPr="00DC2D93">
        <w:t xml:space="preserve">observer covariance matrices are equal for both classes.  </w:t>
      </w:r>
      <w:r w:rsidR="00845B3E">
        <w:t>In the case of normal class distributions, t</w:t>
      </w:r>
      <w:r w:rsidR="00C471B4">
        <w:t>he Hote</w:t>
      </w:r>
      <w:r w:rsidR="00845B3E">
        <w:t xml:space="preserve">lling observer is </w:t>
      </w:r>
      <w:r w:rsidR="006037F0">
        <w:t xml:space="preserve">equal to the </w:t>
      </w:r>
      <w:r w:rsidR="00845B3E">
        <w:t>ideal</w:t>
      </w:r>
      <w:r w:rsidR="006037F0">
        <w:t xml:space="preserve"> observer</w:t>
      </w:r>
      <w:r w:rsidR="00845B3E">
        <w:t>.</w:t>
      </w:r>
    </w:p>
    <w:p w:rsidR="005D083F" w:rsidRDefault="00FB2A16" w:rsidP="005D083F">
      <w:pPr>
        <w:numPr>
          <w:ilvl w:val="12"/>
          <w:numId w:val="0"/>
        </w:numPr>
        <w:spacing w:line="480" w:lineRule="auto"/>
        <w:ind w:firstLine="720"/>
      </w:pPr>
      <w:r>
        <w:lastRenderedPageBreak/>
        <w:t xml:space="preserve">An attempt to directly </w:t>
      </w:r>
      <w:r w:rsidR="00CD4297">
        <w:t>calculate</w:t>
      </w:r>
      <w:r>
        <w:t xml:space="preserve"> the</w:t>
      </w:r>
      <w:r w:rsidR="002E164C">
        <w:t xml:space="preserve"> full</w:t>
      </w:r>
      <w:r>
        <w:t xml:space="preserve"> ensemble statistics from sample training data fails in practice however since the number of sample images is typically insufficient to form a full-rank </w:t>
      </w:r>
      <m:oMath>
        <m:sSub>
          <m:sSubPr>
            <m:ctrlPr>
              <w:rPr>
                <w:rFonts w:ascii="Cambria Math" w:hAnsi="Symbol"/>
                <w:b/>
              </w:rPr>
            </m:ctrlPr>
          </m:sSubPr>
          <m:e>
            <m:r>
              <m:rPr>
                <m:sty m:val="b"/>
              </m:rPr>
              <w:rPr>
                <w:rFonts w:ascii="Cambria Math" w:hAnsi="Symbol"/>
              </w:rPr>
              <m:t>S</m:t>
            </m:r>
          </m:e>
          <m:sub>
            <m:r>
              <m:rPr>
                <m:sty m:val="b"/>
              </m:rPr>
              <w:rPr>
                <w:rFonts w:ascii="Cambria Math" w:hAnsi="Symbol"/>
              </w:rPr>
              <m:t>2</m:t>
            </m:r>
          </m:sub>
        </m:sSub>
      </m:oMath>
      <w:r>
        <w:t xml:space="preserve"> matrix.</w:t>
      </w:r>
      <w:r w:rsidR="002E164C">
        <w:t xml:space="preserve">  </w:t>
      </w:r>
      <w:r w:rsidR="001C08F6">
        <w:t>Solutions to this singularity problem have been proposed</w:t>
      </w:r>
      <w:r w:rsidR="007667B1">
        <w:t xml:space="preserve"> that</w:t>
      </w:r>
      <w:r w:rsidR="001C08F6">
        <w:t xml:space="preserve"> involve simulating noise-free images or using iterative algorithms to estimate the discriminant function </w:t>
      </w:r>
      <w:r w:rsidR="009B6816">
        <w:fldChar w:fldCharType="begin"/>
      </w:r>
      <w:r w:rsidR="002D7C36">
        <w:instrText xml:space="preserve"> ADDIN EN.CITE &lt;EndNote&gt;&lt;Cite&gt;&lt;Author&gt;Fiete&lt;/Author&gt;&lt;Year&gt;1987&lt;/Year&gt;&lt;RecNum&gt;277&lt;/RecNum&gt;&lt;DisplayText&gt;(Fiete, Barrett et al. 1987)&lt;/DisplayText&gt;&lt;record&gt;&lt;rec-number&gt;277&lt;/rec-number&gt;&lt;foreign-keys&gt;&lt;key app="EN" db-id="srwv9ppvvez5pgefxzi5ddeve5w2fe5x5esr"&gt;277&lt;/key&gt;&lt;/foreign-keys&gt;&lt;ref-type name="Journal Article"&gt;17&lt;/ref-type&gt;&lt;contributors&gt;&lt;authors&gt;&lt;author&gt;Fiete, RD&lt;/author&gt;&lt;author&gt;Barrett, HH&lt;/author&gt;&lt;author&gt;Smith, WE&lt;/author&gt;&lt;author&gt;Myers, KJ&lt;/author&gt;&lt;/authors&gt;&lt;/contributors&gt;&lt;titles&gt;&lt;title&gt;Hotelling trace criterion and its correlation with human-observer performance&lt;/title&gt;&lt;secondary-title&gt;JOSA A&lt;/secondary-title&gt;&lt;/titles&gt;&lt;pages&gt;945-953&lt;/pages&gt;&lt;volume&gt;4&lt;/volume&gt;&lt;number&gt;5&lt;/number&gt;&lt;dates&gt;&lt;year&gt;1987&lt;/year&gt;&lt;/dates&gt;&lt;isbn&gt;1520-8532&lt;/isbn&gt;&lt;urls&gt;&lt;/urls&gt;&lt;/record&gt;&lt;/Cite&gt;&lt;/EndNote&gt;</w:instrText>
      </w:r>
      <w:r w:rsidR="009B6816">
        <w:fldChar w:fldCharType="separate"/>
      </w:r>
      <w:r w:rsidR="00B82802">
        <w:rPr>
          <w:noProof/>
        </w:rPr>
        <w:t>(</w:t>
      </w:r>
      <w:hyperlink w:anchor="_ENREF_32" w:tooltip="Fiete, 1987 #277" w:history="1">
        <w:r w:rsidR="007704DB">
          <w:rPr>
            <w:noProof/>
          </w:rPr>
          <w:t>Fiete, Barrett et al. 1987</w:t>
        </w:r>
      </w:hyperlink>
      <w:r w:rsidR="00B82802">
        <w:rPr>
          <w:noProof/>
        </w:rPr>
        <w:t>)</w:t>
      </w:r>
      <w:r w:rsidR="009B6816">
        <w:fldChar w:fldCharType="end"/>
      </w:r>
      <w:r w:rsidR="0099557D">
        <w:t>.</w:t>
      </w:r>
      <w:r w:rsidR="007667B1">
        <w:t xml:space="preserve">  It is also possible to reduce the matrix dimensionality by extracting frequenc</w:t>
      </w:r>
      <w:r w:rsidR="00F430C8">
        <w:t>y-specific features of the data.</w:t>
      </w:r>
      <w:r w:rsidR="005D083F" w:rsidRPr="005D083F">
        <w:t xml:space="preserve"> </w:t>
      </w:r>
    </w:p>
    <w:p w:rsidR="005D083F" w:rsidRDefault="005D083F" w:rsidP="005D083F">
      <w:pPr>
        <w:pStyle w:val="Heading2"/>
      </w:pPr>
      <w:bookmarkStart w:id="76" w:name="_Toc351890016"/>
      <w:r>
        <w:t>Human Response</w:t>
      </w:r>
      <w:bookmarkEnd w:id="76"/>
    </w:p>
    <w:p w:rsidR="006764BF" w:rsidRDefault="005D083F" w:rsidP="005D083F">
      <w:pPr>
        <w:numPr>
          <w:ilvl w:val="12"/>
          <w:numId w:val="0"/>
        </w:numPr>
        <w:spacing w:line="480" w:lineRule="auto"/>
        <w:ind w:firstLine="720"/>
      </w:pPr>
      <w:r w:rsidRPr="005D083F">
        <w:t>As previously mentioned, Myers et al. used SKE-BKE data to test whether human observers are able to perform</w:t>
      </w:r>
      <w:r>
        <w:t xml:space="preserve"> the prewhitening operation </w:t>
      </w:r>
      <w:r w:rsidR="009B6816">
        <w:fldChar w:fldCharType="begin"/>
      </w:r>
      <w:r w:rsidR="002D7C36">
        <w:instrText xml:space="preserve"> ADDIN EN.CITE &lt;EndNote&gt;&lt;Cite&gt;&lt;Author&gt;Myers&lt;/Author&gt;&lt;Year&gt;1985&lt;/Year&gt;&lt;RecNum&gt;160&lt;/RecNum&gt;&lt;DisplayText&gt;(Myers, Barrett et al. 1985)&lt;/DisplayText&gt;&lt;record&gt;&lt;rec-number&gt;160&lt;/rec-number&gt;&lt;foreign-keys&gt;&lt;key app="EN" db-id="srwv9ppvvez5pgefxzi5ddeve5w2fe5x5esr"&gt;160&lt;/key&gt;&lt;/foreign-keys&gt;&lt;ref-type name="Journal Article"&gt;17&lt;/ref-type&gt;&lt;contributors&gt;&lt;authors&gt;&lt;author&gt;Myers, KJ&lt;/author&gt;&lt;author&gt;Barrett, HH&lt;/author&gt;&lt;author&gt;Borgstrom, MC&lt;/author&gt;&lt;author&gt;Patton, DD&lt;/author&gt;&lt;author&gt;Seeley, GW&lt;/author&gt;&lt;/authors&gt;&lt;/contributors&gt;&lt;titles&gt;&lt;title&gt;Effect of noise correlation on detectability of disk signals in medical imaging&lt;/title&gt;&lt;secondary-title&gt;Journal of the Optical Society of America A&lt;/secondary-title&gt;&lt;/titles&gt;&lt;pages&gt;1752-1759&lt;/pages&gt;&lt;volume&gt;2&lt;/volume&gt;&lt;number&gt;10&lt;/number&gt;&lt;dates&gt;&lt;year&gt;1985&lt;/year&gt;&lt;/dates&gt;&lt;urls&gt;&lt;/urls&gt;&lt;/record&gt;&lt;/Cite&gt;&lt;/EndNote&gt;</w:instrText>
      </w:r>
      <w:r w:rsidR="009B6816">
        <w:fldChar w:fldCharType="separate"/>
      </w:r>
      <w:r w:rsidR="00B82802">
        <w:rPr>
          <w:noProof/>
        </w:rPr>
        <w:t>(</w:t>
      </w:r>
      <w:hyperlink w:anchor="_ENREF_57" w:tooltip="Myers, 1985 #160" w:history="1">
        <w:r w:rsidR="007704DB">
          <w:rPr>
            <w:noProof/>
          </w:rPr>
          <w:t>Myers, Barrett et al. 1985</w:t>
        </w:r>
      </w:hyperlink>
      <w:r w:rsidR="00B82802">
        <w:rPr>
          <w:noProof/>
        </w:rPr>
        <w:t>)</w:t>
      </w:r>
      <w:r w:rsidR="009B6816">
        <w:fldChar w:fldCharType="end"/>
      </w:r>
      <w:r w:rsidR="00E13D16">
        <w:t>.</w:t>
      </w:r>
      <w:r>
        <w:t xml:space="preserve">  </w:t>
      </w:r>
      <w:r w:rsidRPr="005D083F">
        <w:t xml:space="preserve">Human observer detectability fell off with increased correlated image noise, while that of the ideal (prewhitening) observer remained constant.  This </w:t>
      </w:r>
      <w:r w:rsidR="003A4E7E">
        <w:t>suggested the use of the</w:t>
      </w:r>
      <w:r w:rsidR="000603C1">
        <w:t xml:space="preserve"> </w:t>
      </w:r>
      <w:r w:rsidR="009B53A7">
        <w:t>non-pre</w:t>
      </w:r>
      <w:r w:rsidRPr="005D083F">
        <w:t xml:space="preserve">whitening matched filter (NPWMF) to model human performance.  The human observer has </w:t>
      </w:r>
      <w:r w:rsidR="00EF785E">
        <w:t xml:space="preserve">also </w:t>
      </w:r>
      <w:r w:rsidRPr="005D083F">
        <w:t>been modeled as a matched filter without the prewhitening operation</w:t>
      </w:r>
      <w:r w:rsidR="00B82802">
        <w:t>,</w:t>
      </w:r>
      <w:r w:rsidR="00EF785E">
        <w:t xml:space="preserve"> but the two have shown poor agreement in various tasks </w:t>
      </w:r>
      <w:r w:rsidR="009B6816">
        <w:fldChar w:fldCharType="begin"/>
      </w:r>
      <w:r w:rsidR="000F64FB">
        <w:instrText xml:space="preserve"> ADDIN EN.CITE &lt;EndNote&gt;&lt;Cite&gt;&lt;Author&gt;Yao&lt;/Author&gt;&lt;Year&gt;1992&lt;/Year&gt;&lt;RecNum&gt;201&lt;/RecNum&gt;&lt;DisplayText&gt;(Yao and Barrett 1992)&lt;/DisplayText&gt;&lt;record&gt;&lt;rec-number&gt;201&lt;/rec-number&gt;&lt;foreign-keys&gt;&lt;key app="EN" db-id="srwv9ppvvez5pgefxzi5ddeve5w2fe5x5esr"&gt;201&lt;/key&gt;&lt;/foreign-keys&gt;&lt;ref-type name="Conference Proceedings"&gt;10&lt;/ref-type&gt;&lt;contributors&gt;&lt;authors&gt;&lt;author&gt;Yao, J&lt;/author&gt;&lt;author&gt;Barrett, HH&lt;/author&gt;&lt;/authors&gt;&lt;/contributors&gt;&lt;titles&gt;&lt;title&gt;Predicting human performance by a channelized Hotelling observer model&lt;/title&gt;&lt;secondary-title&gt;International Society for Optics and Photonics&lt;/secondary-title&gt;&lt;/titles&gt;&lt;pages&gt;161-168&lt;/pages&gt;&lt;dates&gt;&lt;year&gt;1992&lt;/year&gt;&lt;/dates&gt;&lt;pub-location&gt;San Diego&lt;/pub-location&gt;&lt;urls&gt;&lt;/urls&gt;&lt;/record&gt;&lt;/Cite&gt;&lt;/EndNote&gt;</w:instrText>
      </w:r>
      <w:r w:rsidR="009B6816">
        <w:fldChar w:fldCharType="separate"/>
      </w:r>
      <w:r w:rsidR="00B82802">
        <w:rPr>
          <w:noProof/>
        </w:rPr>
        <w:t>(</w:t>
      </w:r>
      <w:hyperlink w:anchor="_ENREF_89" w:tooltip="Yao, 1992 #201" w:history="1">
        <w:r w:rsidR="007704DB">
          <w:rPr>
            <w:noProof/>
          </w:rPr>
          <w:t>Yao and Barrett 1992</w:t>
        </w:r>
      </w:hyperlink>
      <w:r w:rsidR="00B82802">
        <w:rPr>
          <w:noProof/>
        </w:rPr>
        <w:t>)</w:t>
      </w:r>
      <w:r w:rsidR="009B6816">
        <w:fldChar w:fldCharType="end"/>
      </w:r>
      <w:r w:rsidR="00A7564E">
        <w:t>.</w:t>
      </w:r>
      <w:r w:rsidRPr="005D083F">
        <w:t xml:space="preserve">  For example, in the case of </w:t>
      </w:r>
      <w:r w:rsidR="000603C1">
        <w:t>a known signal</w:t>
      </w:r>
      <w:r w:rsidRPr="005D083F">
        <w:t xml:space="preserve"> in a non-uniform background, the NPW observer performance falls off with background lumpiness while human performance does not follow this trend</w:t>
      </w:r>
      <w:r w:rsidR="00B82802">
        <w:t xml:space="preserve"> </w:t>
      </w:r>
      <w:r w:rsidR="009B6816">
        <w:fldChar w:fldCharType="begin"/>
      </w:r>
      <w:r w:rsidR="002D7C36">
        <w:instrText xml:space="preserve"> ADDIN EN.CITE &lt;EndNote&gt;&lt;Cite&gt;&lt;Author&gt;Rolland&lt;/Author&gt;&lt;Year&gt;1992&lt;/Year&gt;&lt;RecNum&gt;162&lt;/RecNum&gt;&lt;DisplayText&gt;(Rolland and Barrett 1992)&lt;/DisplayText&gt;&lt;record&gt;&lt;rec-number&gt;162&lt;/rec-number&gt;&lt;foreign-keys&gt;&lt;key app="EN" db-id="srwv9ppvvez5pgefxzi5ddeve5w2fe5x5esr"&gt;162&lt;/key&gt;&lt;/foreign-keys&gt;&lt;ref-type name="Journal Article"&gt;17&lt;/ref-type&gt;&lt;contributors&gt;&lt;authors&gt;&lt;author&gt;Rolland, JP&lt;/author&gt;&lt;author&gt;Barrett, HH&lt;/author&gt;&lt;/authors&gt;&lt;/contributors&gt;&lt;titles&gt;&lt;title&gt;Effect of random background inhomogeneity on observer detection performance&lt;/title&gt;&lt;secondary-title&gt;Journal of the Optical Society of America A&lt;/secondary-title&gt;&lt;/titles&gt;&lt;pages&gt;649-658&lt;/pages&gt;&lt;volume&gt;9&lt;/volume&gt;&lt;number&gt;5&lt;/number&gt;&lt;dates&gt;&lt;year&gt;1992&lt;/year&gt;&lt;/dates&gt;&lt;urls&gt;&lt;/urls&gt;&lt;/record&gt;&lt;/Cite&gt;&lt;/EndNote&gt;</w:instrText>
      </w:r>
      <w:r w:rsidR="009B6816">
        <w:fldChar w:fldCharType="separate"/>
      </w:r>
      <w:r w:rsidR="00B82802">
        <w:rPr>
          <w:noProof/>
        </w:rPr>
        <w:t>(</w:t>
      </w:r>
      <w:hyperlink w:anchor="_ENREF_66" w:tooltip="Rolland, 1992 #162" w:history="1">
        <w:r w:rsidR="007704DB">
          <w:rPr>
            <w:noProof/>
          </w:rPr>
          <w:t>Rolland and Barrett 1992</w:t>
        </w:r>
      </w:hyperlink>
      <w:r w:rsidR="00B82802">
        <w:rPr>
          <w:noProof/>
        </w:rPr>
        <w:t>)</w:t>
      </w:r>
      <w:r w:rsidR="009B6816">
        <w:fldChar w:fldCharType="end"/>
      </w:r>
      <w:r w:rsidR="00A7564E">
        <w:t>.</w:t>
      </w:r>
      <w:r w:rsidR="00B82802">
        <w:t xml:space="preserve">  </w:t>
      </w:r>
    </w:p>
    <w:p w:rsidR="005D083F" w:rsidRPr="005D083F" w:rsidRDefault="005D083F" w:rsidP="005D083F">
      <w:pPr>
        <w:numPr>
          <w:ilvl w:val="12"/>
          <w:numId w:val="0"/>
        </w:numPr>
        <w:spacing w:line="480" w:lineRule="auto"/>
        <w:ind w:firstLine="720"/>
      </w:pPr>
      <w:r w:rsidRPr="005D083F">
        <w:t>The inconsistenc</w:t>
      </w:r>
      <w:r w:rsidR="006764BF">
        <w:t>ies</w:t>
      </w:r>
      <w:r w:rsidRPr="005D083F">
        <w:t xml:space="preserve"> </w:t>
      </w:r>
      <w:r w:rsidR="00F8061A">
        <w:t>have been</w:t>
      </w:r>
      <w:r w:rsidRPr="005D083F">
        <w:t xml:space="preserve"> explained by internal noise present within the human</w:t>
      </w:r>
      <w:r w:rsidR="001F5FD2">
        <w:t xml:space="preserve"> observer</w:t>
      </w:r>
      <w:r w:rsidR="00B82802">
        <w:t xml:space="preserve"> </w:t>
      </w:r>
      <w:r w:rsidR="009B6816">
        <w:fldChar w:fldCharType="begin"/>
      </w:r>
      <w:r w:rsidR="002D7C36">
        <w:instrText xml:space="preserve"> ADDIN EN.CITE &lt;EndNote&gt;&lt;Cite&gt;&lt;Author&gt;Burgess&lt;/Author&gt;&lt;Year&gt;1988&lt;/Year&gt;&lt;RecNum&gt;163&lt;/RecNum&gt;&lt;DisplayText&gt;(Burgess and Colborne 1988)&lt;/DisplayText&gt;&lt;record&gt;&lt;rec-number&gt;163&lt;/rec-number&gt;&lt;foreign-keys&gt;&lt;key app="EN" db-id="srwv9ppvvez5pgefxzi5ddeve5w2fe5x5esr"&gt;163&lt;/key&gt;&lt;/foreign-keys&gt;&lt;ref-type name="Journal Article"&gt;17&lt;/ref-type&gt;&lt;contributors&gt;&lt;authors&gt;&lt;author&gt;Burgess, AE&lt;/author&gt;&lt;author&gt;Colborne, B&lt;/author&gt;&lt;/authors&gt;&lt;/contributors&gt;&lt;titles&gt;&lt;title&gt;Visual signal detection. IV. Observer inconsistency&lt;/title&gt;&lt;secondary-title&gt;Journal of the Optical Society of America A&lt;/secondary-title&gt;&lt;/titles&gt;&lt;pages&gt;617-627&lt;/pages&gt;&lt;volume&gt;5&lt;/volume&gt;&lt;number&gt;4&lt;/number&gt;&lt;dates&gt;&lt;year&gt;1988&lt;/year&gt;&lt;/dates&gt;&lt;urls&gt;&lt;/urls&gt;&lt;/record&gt;&lt;/Cite&gt;&lt;/EndNote&gt;</w:instrText>
      </w:r>
      <w:r w:rsidR="009B6816">
        <w:fldChar w:fldCharType="separate"/>
      </w:r>
      <w:r w:rsidR="00B82802">
        <w:rPr>
          <w:noProof/>
        </w:rPr>
        <w:t>(</w:t>
      </w:r>
      <w:hyperlink w:anchor="_ENREF_18" w:tooltip="Burgess, 1988 #163" w:history="1">
        <w:r w:rsidR="007704DB">
          <w:rPr>
            <w:noProof/>
          </w:rPr>
          <w:t>Burgess and Colborne 1988</w:t>
        </w:r>
      </w:hyperlink>
      <w:r w:rsidR="00B82802">
        <w:rPr>
          <w:noProof/>
        </w:rPr>
        <w:t>)</w:t>
      </w:r>
      <w:r w:rsidR="009B6816">
        <w:fldChar w:fldCharType="end"/>
      </w:r>
      <w:r w:rsidR="00AD20F5">
        <w:t>.</w:t>
      </w:r>
      <w:r w:rsidR="006764BF">
        <w:t xml:space="preserve">  </w:t>
      </w:r>
      <w:r w:rsidRPr="005D083F">
        <w:t xml:space="preserve">While human performance could be predicted by the NPWMF </w:t>
      </w:r>
      <w:r w:rsidR="00E225F3">
        <w:t xml:space="preserve">for some tasks </w:t>
      </w:r>
      <w:r w:rsidRPr="005D083F">
        <w:t xml:space="preserve">in both correlated and uncorrelated noise, it could not always be accurately </w:t>
      </w:r>
      <w:r w:rsidR="00BD0F84">
        <w:t>predicted</w:t>
      </w:r>
      <w:r w:rsidRPr="005D083F">
        <w:t xml:space="preserve"> </w:t>
      </w:r>
      <w:r w:rsidR="00E225F3">
        <w:t>by</w:t>
      </w:r>
      <w:r w:rsidRPr="005D083F">
        <w:t xml:space="preserve"> a generic observer.  A modified model was </w:t>
      </w:r>
      <w:r w:rsidRPr="005D083F">
        <w:lastRenderedPageBreak/>
        <w:t xml:space="preserve">needed to predict human performance in all tasks, one that incorporated physiological effects of the human detection system.  </w:t>
      </w:r>
    </w:p>
    <w:p w:rsidR="00611C62" w:rsidRDefault="006563BC" w:rsidP="00611C62">
      <w:pPr>
        <w:numPr>
          <w:ilvl w:val="12"/>
          <w:numId w:val="0"/>
        </w:numPr>
        <w:spacing w:line="480" w:lineRule="auto"/>
        <w:ind w:firstLine="720"/>
      </w:pPr>
      <w:r>
        <w:t>The i</w:t>
      </w:r>
      <w:r w:rsidR="005D083F" w:rsidRPr="005D083F">
        <w:t>ncorporati</w:t>
      </w:r>
      <w:r>
        <w:t>on of</w:t>
      </w:r>
      <w:r w:rsidR="005D083F" w:rsidRPr="005D083F">
        <w:t xml:space="preserve"> a single spatial-frequency eye filter and an internal noise mechanism in the </w:t>
      </w:r>
      <w:r w:rsidR="007C4728">
        <w:t>Hotelling observer</w:t>
      </w:r>
      <w:r>
        <w:t xml:space="preserve"> showed </w:t>
      </w:r>
      <w:r w:rsidR="005D083F" w:rsidRPr="005D083F">
        <w:t xml:space="preserve">closer agreement was </w:t>
      </w:r>
      <w:r>
        <w:t>with</w:t>
      </w:r>
      <w:r w:rsidR="005D083F" w:rsidRPr="005D083F">
        <w:t xml:space="preserve"> the human observer</w:t>
      </w:r>
      <w:r w:rsidR="0035764B">
        <w:t xml:space="preserve"> </w:t>
      </w:r>
      <w:r w:rsidR="009B6816">
        <w:fldChar w:fldCharType="begin">
          <w:fldData xml:space="preserve">PEVuZE5vdGU+PENpdGU+PEF1dGhvcj5Mb288L0F1dGhvcj48WWVhcj4xOTg0PC9ZZWFyPjxSZWNO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=
</w:fldData>
        </w:fldChar>
      </w:r>
      <w:r w:rsidR="000F64FB">
        <w:instrText xml:space="preserve"> ADDIN EN.CITE </w:instrText>
      </w:r>
      <w:r w:rsidR="009B6816">
        <w:fldChar w:fldCharType="begin">
          <w:fldData xml:space="preserve">PEVuZE5vdGU+PENpdGU+PEF1dGhvcj5Mb288L0F1dGhvcj48WWVhcj4xOTg0PC9ZZWFyPjxSZWNO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=
</w:fldData>
        </w:fldChar>
      </w:r>
      <w:r w:rsidR="000F64FB">
        <w:instrText xml:space="preserve"> ADDIN EN.CITE.DATA </w:instrText>
      </w:r>
      <w:r w:rsidR="009B6816">
        <w:fldChar w:fldCharType="end"/>
      </w:r>
      <w:r w:rsidR="009B6816">
        <w:fldChar w:fldCharType="separate"/>
      </w:r>
      <w:r w:rsidR="0035764B">
        <w:rPr>
          <w:noProof/>
        </w:rPr>
        <w:t>(</w:t>
      </w:r>
      <w:hyperlink w:anchor="_ENREF_52" w:tooltip="Loo, 1984 #166" w:history="1">
        <w:r w:rsidR="007704DB">
          <w:rPr>
            <w:noProof/>
          </w:rPr>
          <w:t>Loo, Doi et al. 1984</w:t>
        </w:r>
      </w:hyperlink>
      <w:r w:rsidR="0035764B">
        <w:rPr>
          <w:noProof/>
        </w:rPr>
        <w:t xml:space="preserve">; </w:t>
      </w:r>
      <w:hyperlink w:anchor="_ENREF_37" w:tooltip="Giger, 1987 #280" w:history="1">
        <w:r w:rsidR="007704DB">
          <w:rPr>
            <w:noProof/>
          </w:rPr>
          <w:t>Giger and Doi 1987</w:t>
        </w:r>
      </w:hyperlink>
      <w:r w:rsidR="0035764B">
        <w:rPr>
          <w:noProof/>
        </w:rPr>
        <w:t xml:space="preserve">; </w:t>
      </w:r>
      <w:hyperlink w:anchor="_ENREF_7" w:tooltip="Barrett, 1993 #92" w:history="1">
        <w:r w:rsidR="007704DB">
          <w:rPr>
            <w:noProof/>
          </w:rPr>
          <w:t>Barrett, Yao et al. 1993</w:t>
        </w:r>
      </w:hyperlink>
      <w:r w:rsidR="0035764B">
        <w:rPr>
          <w:noProof/>
        </w:rPr>
        <w:t>)</w:t>
      </w:r>
      <w:r w:rsidR="009B6816">
        <w:fldChar w:fldCharType="end"/>
      </w:r>
      <w:r w:rsidR="008F16B0">
        <w:t>.</w:t>
      </w:r>
      <w:r w:rsidR="0035764B">
        <w:t xml:space="preserve">  </w:t>
      </w:r>
      <w:r w:rsidR="00AD3ACC">
        <w:t>Further, i</w:t>
      </w:r>
      <w:r w:rsidR="005D083F" w:rsidRPr="005D083F">
        <w:t xml:space="preserve">t is understood that the human visual system is composed of multiple narrow spatial-frequency filters.  This psychophysical model </w:t>
      </w:r>
      <w:r w:rsidR="00B67E27">
        <w:t>is also</w:t>
      </w:r>
      <w:r w:rsidR="001942F1">
        <w:t xml:space="preserve"> </w:t>
      </w:r>
      <w:r w:rsidR="005D083F" w:rsidRPr="005D083F">
        <w:t>incorporated in the NPWMF to more accurately predict human observer performance.</w:t>
      </w:r>
      <w:r w:rsidR="00611C62" w:rsidRPr="00611C62">
        <w:t xml:space="preserve"> </w:t>
      </w:r>
    </w:p>
    <w:p w:rsidR="00611C62" w:rsidRDefault="00611C62" w:rsidP="00611C62">
      <w:pPr>
        <w:pStyle w:val="Heading2"/>
      </w:pPr>
      <w:bookmarkStart w:id="77" w:name="_Toc351890017"/>
      <w:r>
        <w:t>Response Channels</w:t>
      </w:r>
      <w:bookmarkEnd w:id="77"/>
    </w:p>
    <w:p w:rsidR="00611C62" w:rsidRDefault="009F3EEA" w:rsidP="00611C62">
      <w:pPr>
        <w:numPr>
          <w:ilvl w:val="12"/>
          <w:numId w:val="0"/>
        </w:numPr>
        <w:spacing w:line="480" w:lineRule="auto"/>
        <w:ind w:firstLine="720"/>
      </w:pPr>
      <w:r>
        <w:t xml:space="preserve">Contrast sensitivity of an </w:t>
      </w:r>
      <w:r w:rsidR="00611C62" w:rsidRPr="00611C62">
        <w:t>observing system is defined as the minimum contrast ratio that is able to be detected.  Visual performance</w:t>
      </w:r>
      <w:r>
        <w:t>,</w:t>
      </w:r>
      <w:r w:rsidR="00611C62" w:rsidRPr="00611C62">
        <w:t xml:space="preserve"> rated </w:t>
      </w:r>
      <w:r>
        <w:t>by</w:t>
      </w:r>
      <w:r w:rsidR="00611C62" w:rsidRPr="00611C62">
        <w:t xml:space="preserve"> its contrast sensitivity function, </w:t>
      </w:r>
      <w:r>
        <w:t>measures</w:t>
      </w:r>
      <w:r w:rsidR="00611C62" w:rsidRPr="00611C62">
        <w:t xml:space="preserve"> the overall sensitivity to sinusoidal pattern contrast as a function of spatial frequency (</w:t>
      </w:r>
      <w:r w:rsidR="00D71A1F" w:rsidRPr="00611C62">
        <w:t>i.e.</w:t>
      </w:r>
      <w:r w:rsidR="00611C62" w:rsidRPr="00611C62">
        <w:t xml:space="preserve"> cycles/visual degree).  Much work has been done investigating the performance of the human visual system</w:t>
      </w:r>
      <w:r w:rsidR="00611C62">
        <w:t xml:space="preserve"> </w:t>
      </w:r>
      <w:r w:rsidR="009B6816">
        <w:fldChar w:fldCharType="begin"/>
      </w:r>
      <w:r w:rsidR="002D7C36">
        <w:instrText xml:space="preserve"> ADDIN EN.CITE &lt;EndNote&gt;&lt;Cite&gt;&lt;Author&gt;Campbell&lt;/Author&gt;&lt;Year&gt;1968&lt;/Year&gt;&lt;RecNum&gt;167&lt;/RecNum&gt;&lt;DisplayText&gt;(Campbell and Robson 1968)&lt;/DisplayText&gt;&lt;record&gt;&lt;rec-number&gt;167&lt;/rec-number&gt;&lt;foreign-keys&gt;&lt;key app="EN" db-id="srwv9ppvvez5pgefxzi5ddeve5w2fe5x5esr"&gt;167&lt;/key&gt;&lt;/foreign-keys&gt;&lt;ref-type name="Journal Article"&gt;17&lt;/ref-type&gt;&lt;contributors&gt;&lt;authors&gt;&lt;author&gt;Campbell, FW&lt;/author&gt;&lt;author&gt;Robson, JG&lt;/author&gt;&lt;/authors&gt;&lt;/contributors&gt;&lt;titles&gt;&lt;title&gt;Application of Fourier analysis to the visibility of gratings&lt;/title&gt;&lt;secondary-title&gt;The Journal of Physiology&lt;/secondary-title&gt;&lt;/titles&gt;&lt;pages&gt;551&lt;/pages&gt;&lt;volume&gt;197&lt;/volume&gt;&lt;number&gt;3&lt;/number&gt;&lt;dates&gt;&lt;year&gt;1968&lt;/year&gt;&lt;/dates&gt;&lt;urls&gt;&lt;/urls&gt;&lt;/record&gt;&lt;/Cite&gt;&lt;/EndNote&gt;</w:instrText>
      </w:r>
      <w:r w:rsidR="009B6816">
        <w:fldChar w:fldCharType="separate"/>
      </w:r>
      <w:r w:rsidR="00611C62">
        <w:rPr>
          <w:noProof/>
        </w:rPr>
        <w:t>(</w:t>
      </w:r>
      <w:hyperlink w:anchor="_ENREF_20" w:tooltip="Campbell, 1968 #167" w:history="1">
        <w:r w:rsidR="007704DB">
          <w:rPr>
            <w:noProof/>
          </w:rPr>
          <w:t>Campbell and Robson 1968</w:t>
        </w:r>
      </w:hyperlink>
      <w:r w:rsidR="00611C62">
        <w:rPr>
          <w:noProof/>
        </w:rPr>
        <w:t>)</w:t>
      </w:r>
      <w:r w:rsidR="009B6816">
        <w:fldChar w:fldCharType="end"/>
      </w:r>
      <w:r w:rsidR="00A12CF3">
        <w:t>.</w:t>
      </w:r>
      <w:r w:rsidR="00611C62">
        <w:t xml:space="preserve">  </w:t>
      </w:r>
      <w:r w:rsidR="00611C62" w:rsidRPr="00611C62">
        <w:t>It is well known that the ability of humans to detect patterns is based on a global response to a pattern, rather than the local response of a single optical nerve.  However, certain cells are uniquely tuned to identify specific patterns and frequencies</w:t>
      </w:r>
      <w:r w:rsidR="00611C62">
        <w:t>.</w:t>
      </w:r>
    </w:p>
    <w:p w:rsidR="00611C62" w:rsidRDefault="00611C62" w:rsidP="00611C62">
      <w:pPr>
        <w:numPr>
          <w:ilvl w:val="12"/>
          <w:numId w:val="0"/>
        </w:numPr>
        <w:spacing w:line="480" w:lineRule="auto"/>
        <w:ind w:firstLine="720"/>
      </w:pPr>
      <w:r w:rsidRPr="00611C62">
        <w:t xml:space="preserve">This physiological effect </w:t>
      </w:r>
      <w:r w:rsidR="009F3EEA">
        <w:t>is</w:t>
      </w:r>
      <w:r w:rsidRPr="00611C62">
        <w:t xml:space="preserve"> modeled </w:t>
      </w:r>
      <w:r w:rsidR="009F3EEA">
        <w:t>by</w:t>
      </w:r>
      <w:r w:rsidR="00644825">
        <w:t xml:space="preserve"> computers through</w:t>
      </w:r>
      <w:r w:rsidRPr="00611C62">
        <w:t xml:space="preserve"> channelized </w:t>
      </w:r>
      <w:r w:rsidR="00C73E20">
        <w:t>filters</w:t>
      </w:r>
      <w:r w:rsidRPr="00611C62">
        <w:t xml:space="preserve">.  A channel is an independent processor which acts as a band-pass filter tuned to a finite frequency bandwidth.  </w:t>
      </w:r>
      <w:r w:rsidR="002D489C">
        <w:t xml:space="preserve">The </w:t>
      </w:r>
      <w:r w:rsidRPr="00611C62">
        <w:t xml:space="preserve">component with the highest detectability is </w:t>
      </w:r>
      <w:r w:rsidR="00103130">
        <w:t xml:space="preserve">then </w:t>
      </w:r>
      <w:r w:rsidRPr="00611C62">
        <w:t>identified when it rises above threshold, instead of analyzing the data across a large continuum of frequencies, which mask</w:t>
      </w:r>
      <w:r w:rsidR="00103130">
        <w:t>s</w:t>
      </w:r>
      <w:r w:rsidRPr="00611C62">
        <w:t xml:space="preserve"> weaker effects and raise</w:t>
      </w:r>
      <w:r w:rsidR="00103130">
        <w:t>s</w:t>
      </w:r>
      <w:r w:rsidRPr="00611C62">
        <w:t xml:space="preserve"> the signal detectability threshold.   A </w:t>
      </w:r>
      <w:r w:rsidRPr="00611C62">
        <w:lastRenderedPageBreak/>
        <w:t>robust model observer capable of modeling human performance in all tasks was achieved through the incorporation of c</w:t>
      </w:r>
      <w:r w:rsidR="0067526B">
        <w:t>hannels into the observer model</w:t>
      </w:r>
      <w:r>
        <w:t xml:space="preserve"> </w:t>
      </w:r>
      <w:r w:rsidR="009B6816">
        <w:fldChar w:fldCharType="begin">
          <w:fldData xml:space="preserve">PEVuZE5vdGU+PENpdGU+PEF1dGhvcj5NeWVyczwvQXV0aG9yPjxZZWFyPjE5ODc8L1llYXI+PFJl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</w:fldData>
        </w:fldChar>
      </w:r>
      <w:r w:rsidR="000F64FB">
        <w:instrText xml:space="preserve"> ADDIN EN.CITE </w:instrText>
      </w:r>
      <w:r w:rsidR="009B6816">
        <w:fldChar w:fldCharType="begin">
          <w:fldData xml:space="preserve">PEVuZE5vdGU+PENpdGU+PEF1dGhvcj5NeWVyczwvQXV0aG9yPjxZZWFyPjE5ODc8L1llYXI+PFJl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</w:fldData>
        </w:fldChar>
      </w:r>
      <w:r w:rsidR="000F64FB">
        <w:instrText xml:space="preserve"> ADDIN EN.CITE.DATA </w:instrText>
      </w:r>
      <w:r w:rsidR="009B6816">
        <w:fldChar w:fldCharType="end"/>
      </w:r>
      <w:r w:rsidR="009B6816">
        <w:fldChar w:fldCharType="separate"/>
      </w:r>
      <w:r>
        <w:rPr>
          <w:noProof/>
        </w:rPr>
        <w:t>(</w:t>
      </w:r>
      <w:hyperlink w:anchor="_ENREF_58" w:tooltip="Myers, 1987 #256" w:history="1">
        <w:r w:rsidR="007704DB">
          <w:rPr>
            <w:noProof/>
          </w:rPr>
          <w:t>Myers and Barrett 1987</w:t>
        </w:r>
      </w:hyperlink>
      <w:r>
        <w:rPr>
          <w:noProof/>
        </w:rPr>
        <w:t xml:space="preserve">; </w:t>
      </w:r>
      <w:hyperlink w:anchor="_ENREF_7" w:tooltip="Barrett, 1993 #92" w:history="1">
        <w:r w:rsidR="007704DB">
          <w:rPr>
            <w:noProof/>
          </w:rPr>
          <w:t>Barrett, Yao et al. 1993</w:t>
        </w:r>
      </w:hyperlink>
      <w:r>
        <w:rPr>
          <w:noProof/>
        </w:rPr>
        <w:t xml:space="preserve">; </w:t>
      </w:r>
      <w:hyperlink w:anchor="_ENREF_19" w:tooltip="Burgess, 1999 #159" w:history="1">
        <w:r w:rsidR="007704DB">
          <w:rPr>
            <w:noProof/>
          </w:rPr>
          <w:t>Burgess, Shaw et al. 1999</w:t>
        </w:r>
      </w:hyperlink>
      <w:r>
        <w:rPr>
          <w:noProof/>
        </w:rPr>
        <w:t xml:space="preserve">; </w:t>
      </w:r>
      <w:hyperlink w:anchor="_ENREF_35" w:tooltip="Gifford, 2000 #86" w:history="1">
        <w:r w:rsidR="007704DB">
          <w:rPr>
            <w:noProof/>
          </w:rPr>
          <w:t>Gifford, King et al. 2000</w:t>
        </w:r>
      </w:hyperlink>
      <w:r>
        <w:rPr>
          <w:noProof/>
        </w:rPr>
        <w:t>)</w:t>
      </w:r>
      <w:r w:rsidR="009B6816">
        <w:fldChar w:fldCharType="end"/>
      </w:r>
      <w:r w:rsidR="0067526B">
        <w:t>.</w:t>
      </w:r>
      <w:r w:rsidR="0032313C">
        <w:t xml:space="preserve">  </w:t>
      </w:r>
      <w:r w:rsidRPr="00611C62">
        <w:t>A channel, as it applies to mathematical observers, is represented by a vector that describes the channel impulse response centered on the tumor location</w:t>
      </w:r>
      <w:r>
        <w:t xml:space="preserve"> </w:t>
      </w:r>
      <w:r w:rsidR="009B6816">
        <w:fldChar w:fldCharType="begin"/>
      </w:r>
      <w:r w:rsidR="000F64FB">
        <w:instrText xml:space="preserve"> ADDIN EN.CITE &lt;EndNote&gt;&lt;Cite&gt;&lt;Author&gt;Gifford&lt;/Author&gt;&lt;Year&gt;2000&lt;/Year&gt;&lt;RecNum&gt;86&lt;/RecNum&gt;&lt;DisplayText&gt;(Gifford, King et al. 2000)&lt;/DisplayText&gt;&lt;record&gt;&lt;rec-number&gt;86&lt;/rec-number&gt;&lt;foreign-keys&gt;&lt;key app="EN" db-id="srwv9ppvvez5pgefxzi5ddeve5w2fe5x5esr"&gt;86&lt;/key&gt;&lt;/foreign-keys&gt;&lt;ref-type name="Journal Article"&gt;17&lt;/ref-type&gt;&lt;contributors&gt;&lt;authors&gt;&lt;author&gt;Gifford, HC&lt;/author&gt;&lt;author&gt;King, MA&lt;/author&gt;&lt;author&gt;De Vries, DJ&lt;/author&gt;&lt;author&gt;Soares, EJ&lt;/author&gt;&lt;/authors&gt;&lt;/contributors&gt;&lt;titles&gt;&lt;title&gt;Channelized Hotelling and human observer correlation for lesion detection in hepatic SPECT imaging&lt;/title&gt;&lt;secondary-title&gt;Journal of Nuclear Medicine&lt;/secondary-title&gt;&lt;/titles&gt;&lt;periodical&gt;&lt;full-title&gt;Journal of Nuclear Medicine&lt;/full-title&gt;&lt;/periodical&gt;&lt;pages&gt;514-521&lt;/pages&gt;&lt;volume&gt;41&lt;/volume&gt;&lt;number&gt;3&lt;/number&gt;&lt;dates&gt;&lt;year&gt;2000&lt;/year&gt;&lt;/dates&gt;&lt;urls&gt;&lt;/urls&gt;&lt;/record&gt;&lt;/Cite&gt;&lt;/EndNote&gt;</w:instrText>
      </w:r>
      <w:r w:rsidR="009B6816">
        <w:fldChar w:fldCharType="separate"/>
      </w:r>
      <w:r>
        <w:rPr>
          <w:noProof/>
        </w:rPr>
        <w:t>(</w:t>
      </w:r>
      <w:hyperlink w:anchor="_ENREF_35" w:tooltip="Gifford, 2000 #86" w:history="1">
        <w:r w:rsidR="007704DB">
          <w:rPr>
            <w:noProof/>
          </w:rPr>
          <w:t>Gifford, King et al. 2000</w:t>
        </w:r>
      </w:hyperlink>
      <w:r>
        <w:rPr>
          <w:noProof/>
        </w:rPr>
        <w:t>)</w:t>
      </w:r>
      <w:r w:rsidR="009B6816">
        <w:fldChar w:fldCharType="end"/>
      </w:r>
      <w:r w:rsidR="00175A33">
        <w:t>.</w:t>
      </w:r>
      <w:r>
        <w:t xml:space="preserve">  </w:t>
      </w:r>
      <w:r w:rsidRPr="00611C62">
        <w:t>They are defined in frequency space (pixels</w:t>
      </w:r>
      <w:r w:rsidRPr="00611C62">
        <w:rPr>
          <w:vertAlign w:val="superscript"/>
        </w:rPr>
        <w:t>-1</w:t>
      </w:r>
      <w:r w:rsidRPr="00611C62">
        <w:t xml:space="preserve">) and the responses are their inverse Fourier transforms.  </w:t>
      </w:r>
    </w:p>
    <w:p w:rsidR="008F2E5B" w:rsidRDefault="008F2E5B" w:rsidP="008F2E5B">
      <w:pPr>
        <w:numPr>
          <w:ilvl w:val="12"/>
          <w:numId w:val="0"/>
        </w:numPr>
        <w:spacing w:line="480" w:lineRule="auto"/>
        <w:ind w:firstLine="720"/>
      </w:pPr>
      <w:r w:rsidRPr="008F2E5B">
        <w:t xml:space="preserve">Channels </w:t>
      </w:r>
      <w:r w:rsidR="007058B0">
        <w:t>are</w:t>
      </w:r>
      <w:r w:rsidRPr="008F2E5B">
        <w:t xml:space="preserve"> chosen for different purposes.  If the goal is to optimize the hardware of the acquisition system and the calculation of the likelihood of each class is intractable, the ideal linear observer model would be suitable.  However if the goal is to assess the performance of different reconstruction algorithms, the ideal observer model </w:t>
      </w:r>
      <w:r w:rsidR="004469CF">
        <w:t>may</w:t>
      </w:r>
      <w:r w:rsidRPr="008F2E5B">
        <w:t xml:space="preserve"> not useful because it is invariant to invertible image processing</w:t>
      </w:r>
      <w:r w:rsidR="004618A5">
        <w:t xml:space="preserve"> </w:t>
      </w:r>
      <w:r w:rsidR="009B6816">
        <w:fldChar w:fldCharType="begin"/>
      </w:r>
      <w:r w:rsidR="002D7C36">
        <w:instrText xml:space="preserve"> ADDIN EN.CITE &lt;EndNote&gt;&lt;Cite&gt;&lt;Author&gt;Barrett&lt;/Author&gt;&lt;Year&gt;2004&lt;/Year&gt;&lt;RecNum&gt;192&lt;/RecNum&gt;&lt;DisplayText&gt;(Barrett and Myers 2004)&lt;/DisplayText&gt;&lt;record&gt;&lt;rec-number&gt;192&lt;/rec-number&gt;&lt;foreign-keys&gt;&lt;key app="EN" db-id="srwv9ppvvez5pgefxzi5ddeve5w2fe5x5esr"&gt;192&lt;/key&gt;&lt;/foreign-keys&gt;&lt;ref-type name="Book"&gt;6&lt;/ref-type&gt;&lt;contributors&gt;&lt;authors&gt;&lt;author&gt;Barrett, Harrison H.&lt;/author&gt;&lt;author&gt;Myers, Kyle J.&lt;/author&gt;&lt;/authors&gt;&lt;/contributors&gt;&lt;titles&gt;&lt;title&gt;Foundations of image science&lt;/title&gt;&lt;secondary-title&gt;Wiley series in pure and applied optics&lt;/secondary-title&gt;&lt;/titles&gt;&lt;dates&gt;&lt;year&gt;2004&lt;/year&gt;&lt;/dates&gt;&lt;pub-location&gt;Hoboken, NJ&lt;/pub-location&gt;&lt;publisher&gt;Wiley&lt;/publisher&gt;&lt;isbn&gt;0471153001 9780471153009&lt;/isbn&gt;&lt;urls&gt;&lt;/urls&gt;&lt;remote-database-name&gt;/z-wcorg/&lt;/remote-database-name&gt;&lt;remote-database-provider&gt;http://worldcat.org&lt;/remote-database-provider&gt;&lt;language&gt;English&lt;/language&gt;&lt;/record&gt;&lt;/Cite&gt;&lt;/EndNote&gt;</w:instrText>
      </w:r>
      <w:r w:rsidR="009B6816">
        <w:fldChar w:fldCharType="separate"/>
      </w:r>
      <w:r w:rsidR="004618A5">
        <w:rPr>
          <w:noProof/>
        </w:rPr>
        <w:t>(</w:t>
      </w:r>
      <w:hyperlink w:anchor="_ENREF_9" w:tooltip="Barrett, 2004 #192" w:history="1">
        <w:r w:rsidR="007704DB">
          <w:rPr>
            <w:noProof/>
          </w:rPr>
          <w:t>Barrett and Myers 2004</w:t>
        </w:r>
      </w:hyperlink>
      <w:r w:rsidR="004618A5">
        <w:rPr>
          <w:noProof/>
        </w:rPr>
        <w:t>)</w:t>
      </w:r>
      <w:r w:rsidR="009B6816">
        <w:fldChar w:fldCharType="end"/>
      </w:r>
      <w:r w:rsidR="00175A33">
        <w:t>.</w:t>
      </w:r>
      <w:r w:rsidR="004618A5">
        <w:t xml:space="preserve">  </w:t>
      </w:r>
      <w:r w:rsidRPr="008F2E5B">
        <w:t xml:space="preserve">In any case, channels are implemented to handicap the observer, </w:t>
      </w:r>
      <w:r w:rsidR="00681A5E">
        <w:t xml:space="preserve">and </w:t>
      </w:r>
      <w:r w:rsidRPr="008F2E5B">
        <w:t>in so doing, the dimensionality of the data</w:t>
      </w:r>
      <w:r w:rsidR="00C1329C">
        <w:t xml:space="preserve"> is reduced</w:t>
      </w:r>
      <w:r w:rsidRPr="008F2E5B">
        <w:t xml:space="preserve">.  </w:t>
      </w:r>
    </w:p>
    <w:p w:rsidR="00E62AD0" w:rsidRDefault="00E62AD0" w:rsidP="00E62AD0">
      <w:pPr>
        <w:numPr>
          <w:ilvl w:val="12"/>
          <w:numId w:val="0"/>
        </w:numPr>
        <w:spacing w:line="480" w:lineRule="auto"/>
        <w:ind w:firstLine="720"/>
      </w:pPr>
      <w:r w:rsidRPr="00E62AD0">
        <w:t xml:space="preserve">The </w:t>
      </w:r>
      <w:r w:rsidR="00A449FC">
        <w:t xml:space="preserve">2-class </w:t>
      </w:r>
      <w:r w:rsidRPr="00E62AD0">
        <w:t>channelized Hotelling observer</w:t>
      </w:r>
      <w:r w:rsidR="007C4728">
        <w:t xml:space="preserve"> (CHO)</w:t>
      </w:r>
      <w:r w:rsidRPr="00E62AD0">
        <w:t xml:space="preserve"> </w:t>
      </w:r>
      <w:r>
        <w:t>intraclass scatter matrix</w:t>
      </w:r>
      <w:r w:rsidRPr="00E62AD0">
        <w:t xml:space="preserve"> takes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rPr>
                    </m:ctrlPr>
                  </m:sSubPr>
                  <m:e>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2</m:t>
                        </m:r>
                      </m:sub>
                    </m:sSub>
                  </m:e>
                  <m:sub>
                    <m:r>
                      <m:rPr>
                        <m:sty m:val="p"/>
                      </m:rPr>
                      <w:rPr>
                        <w:rFonts w:ascii="Cambria Math" w:hAnsi="Cambria Math"/>
                      </w:rPr>
                      <m:t>ch</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b/>
                      </w:rPr>
                    </m:ctrlPr>
                  </m:sSupPr>
                  <m:e>
                    <m:r>
                      <m:rPr>
                        <m:sty m:val="b"/>
                      </m:rPr>
                      <w:rPr>
                        <w:rFonts w:ascii="Cambria Math" w:hAnsi="Cambria Math"/>
                      </w:rPr>
                      <m:t>U</m:t>
                    </m:r>
                  </m:e>
                  <m:sup>
                    <m:r>
                      <m:rPr>
                        <m:sty m:val="p"/>
                      </m:rPr>
                      <w:rPr>
                        <w:rFonts w:ascii="Cambria Math" w:hAnsi="Cambria Math"/>
                      </w:rPr>
                      <m:t>t</m:t>
                    </m:r>
                    <m:ctrlPr>
                      <w:rPr>
                        <w:rFonts w:ascii="Cambria Math" w:hAnsi="Cambria Math"/>
                        <w:i/>
                      </w:rPr>
                    </m:ctrlPr>
                  </m:sup>
                </m:sSup>
                <m:d>
                  <m:dPr>
                    <m:begChr m:val="["/>
                    <m:endChr m:val="]"/>
                    <m:ctrlPr>
                      <w:rPr>
                        <w:rFonts w:ascii="Cambria Math" w:hAnsi="Cambria Math"/>
                        <w:b/>
                      </w:rPr>
                    </m:ctrlPr>
                  </m:dPr>
                  <m:e>
                    <m:sSub>
                      <m:sSubPr>
                        <m:ctrlPr>
                          <w:rPr>
                            <w:rFonts w:ascii="Cambria Math" w:hAnsi="Cambria Math"/>
                            <w:b/>
                          </w:rPr>
                        </m:ctrlPr>
                      </m:sSubPr>
                      <m:e>
                        <m:r>
                          <m:rPr>
                            <m:sty m:val="b"/>
                          </m:rPr>
                          <w:rPr>
                            <w:rFonts w:ascii="Cambria Math" w:hAnsi="Cambria Math"/>
                          </w:rPr>
                          <m:t>K</m:t>
                        </m:r>
                      </m:e>
                      <m:sub>
                        <m:r>
                          <m:rPr>
                            <m:sty m:val="b"/>
                          </m:rPr>
                          <w:rPr>
                            <w:rFonts w:ascii="Cambria Math" w:hAnsi="Cambria Math"/>
                          </w:rPr>
                          <m:t>1</m:t>
                        </m:r>
                      </m:sub>
                    </m:sSub>
                    <m:r>
                      <m:rPr>
                        <m:sty m:val="p"/>
                      </m:rPr>
                      <w:rPr>
                        <w:rFonts w:ascii="Cambria Math" w:hAnsi="Cambria Math"/>
                      </w:rPr>
                      <m:t>+</m:t>
                    </m:r>
                    <m:sSub>
                      <m:sSubPr>
                        <m:ctrlPr>
                          <w:rPr>
                            <w:rFonts w:ascii="Cambria Math" w:hAnsi="Cambria Math"/>
                            <w:b/>
                          </w:rPr>
                        </m:ctrlPr>
                      </m:sSubPr>
                      <m:e>
                        <m:r>
                          <m:rPr>
                            <m:sty m:val="b"/>
                          </m:rPr>
                          <w:rPr>
                            <w:rFonts w:ascii="Cambria Math" w:hAnsi="Cambria Math"/>
                          </w:rPr>
                          <m:t>K</m:t>
                        </m:r>
                      </m:e>
                      <m:sub>
                        <m:r>
                          <m:rPr>
                            <m:sty m:val="b"/>
                          </m:rPr>
                          <w:rPr>
                            <w:rFonts w:ascii="Cambria Math" w:hAnsi="Cambria Math"/>
                          </w:rPr>
                          <m:t>2</m:t>
                        </m:r>
                      </m:sub>
                    </m:sSub>
                    <m:ctrlPr>
                      <w:rPr>
                        <w:rFonts w:ascii="Cambria Math" w:hAnsi="Cambria Math"/>
                      </w:rPr>
                    </m:ctrlPr>
                  </m:e>
                </m:d>
                <m:r>
                  <m:rPr>
                    <m:sty m:val="b"/>
                  </m:rPr>
                  <w:rPr>
                    <w:rFonts w:ascii="Cambria Math" w:hAnsi="Cambria Math"/>
                  </w:rPr>
                  <m:t>U</m:t>
                </m:r>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15</w:instrText>
              </w:r>
            </w:fldSimple>
            <w:r w:rsidR="002843E4">
              <w:instrText>)</w:instrText>
            </w:r>
            <w:r>
              <w:fldChar w:fldCharType="end"/>
            </w:r>
          </w:p>
        </w:tc>
      </w:tr>
    </w:tbl>
    <w:p w:rsidR="00DE731D" w:rsidRPr="00DE731D" w:rsidRDefault="00DE731D" w:rsidP="00DE731D">
      <w:pPr>
        <w:numPr>
          <w:ilvl w:val="12"/>
          <w:numId w:val="0"/>
        </w:numPr>
        <w:spacing w:line="480" w:lineRule="auto"/>
        <w:ind w:firstLine="720"/>
      </w:pPr>
      <w:r w:rsidRPr="00DE731D">
        <w:t>T</w:t>
      </w:r>
      <w:r w:rsidR="00D60067">
        <w:t>he data covariance matrix for a 2-dimensional</w:t>
      </w:r>
      <w:r w:rsidRPr="00DE731D">
        <w:t xml:space="preserve"> image with N pixels has the </w:t>
      </w:r>
      <w:proofErr w:type="gramStart"/>
      <w:r w:rsidRPr="00DE731D">
        <w:t>dimensions</w:t>
      </w:r>
      <w:r w:rsidR="00D60067">
        <w:t xml:space="preserve"> </w:t>
      </w:r>
      <m:oMath>
        <w:proofErr w:type="gramEnd"/>
        <m:r>
          <m:rPr>
            <m:sty m:val="p"/>
          </m:rPr>
          <w:rPr>
            <w:rFonts w:ascii="Cambria Math" w:hAnsi="Cambria Math"/>
          </w:rPr>
          <m:t>N</m:t>
        </m:r>
        <m:r>
          <m:rPr>
            <m:sty m:val="p"/>
          </m:rPr>
          <w:rPr>
            <w:rFonts w:ascii="Cambria Math" w:hAnsi="Cambria Math"/>
          </w:rPr>
          <m:t>×</m:t>
        </m:r>
        <m:r>
          <m:rPr>
            <m:sty m:val="p"/>
          </m:rPr>
          <w:rPr>
            <w:rFonts w:ascii="Cambria Math" w:hAnsi="Cambria Math"/>
          </w:rPr>
          <m:t>N</m:t>
        </m:r>
      </m:oMath>
      <w:r w:rsidRPr="00DE731D">
        <w:t xml:space="preserve">, yielding a matrix containing a number of elements on the order of </w:t>
      </w:r>
      <w:r w:rsidR="00D60067" w:rsidRPr="00DE731D">
        <w:t>10</w:t>
      </w:r>
      <w:r w:rsidR="00D60067">
        <w:rPr>
          <w:vertAlign w:val="superscript"/>
        </w:rPr>
        <w:t>4</w:t>
      </w:r>
      <w:r w:rsidR="00D60067">
        <w:t>-1</w:t>
      </w:r>
      <w:r w:rsidR="00D60067" w:rsidRPr="00DE731D">
        <w:t>0</w:t>
      </w:r>
      <w:r w:rsidR="00D60067">
        <w:rPr>
          <w:vertAlign w:val="superscript"/>
        </w:rPr>
        <w:t>5</w:t>
      </w:r>
      <w:r w:rsidRPr="00DE731D">
        <w:t xml:space="preserve"> for a typical size image</w:t>
      </w:r>
      <w:r w:rsidR="001E488C">
        <w:t>; this size would be bigger if de</w:t>
      </w:r>
      <w:r w:rsidR="00C93BDF">
        <w:t>aling with 3-dimensional volume</w:t>
      </w:r>
      <w:r w:rsidR="0001322A">
        <w:t xml:space="preserve"> arrays</w:t>
      </w:r>
      <w:r w:rsidRPr="00DE731D">
        <w:t xml:space="preserve">.  </w:t>
      </w:r>
      <w:r w:rsidR="00714196">
        <w:t xml:space="preserve">Processing the images with a </w:t>
      </w:r>
      <w:r w:rsidR="004910E5">
        <w:t xml:space="preserve">channelized </w:t>
      </w:r>
      <w:r w:rsidR="00D71A1F">
        <w:t>filter</w:t>
      </w:r>
      <w:r w:rsidRPr="00DE731D">
        <w:t xml:space="preserve"> </w:t>
      </w:r>
      <w:r w:rsidR="00714196">
        <w:t>reduces the dimensionality of the problem</w:t>
      </w:r>
      <w:r w:rsidR="008130D5">
        <w:t>,</w:t>
      </w:r>
      <w:r w:rsidR="00714196">
        <w:t xml:space="preserve"> and </w:t>
      </w:r>
      <w:r w:rsidRPr="00DE731D">
        <w:t>the M-channel covariance matrix</w:t>
      </w:r>
      <w:r w:rsidR="008130D5">
        <w:t xml:space="preserve"> now</w:t>
      </w:r>
      <w:r w:rsidRPr="00DE731D">
        <w:t xml:space="preserve"> has the </w:t>
      </w:r>
      <w:r w:rsidRPr="00DE731D">
        <w:lastRenderedPageBreak/>
        <w:t xml:space="preserve">dimensions </w:t>
      </w:r>
      <w:proofErr w:type="gramStart"/>
      <w:r w:rsidRPr="00DE731D">
        <w:t xml:space="preserve">of </w:t>
      </w:r>
      <m:oMath>
        <w:proofErr w:type="gramEnd"/>
        <m:r>
          <m:rPr>
            <m:sty m:val="p"/>
          </m:rPr>
          <w:rPr>
            <w:rFonts w:ascii="Cambria Math" w:hAnsi="Cambria Math"/>
          </w:rPr>
          <m:t>M×M</m:t>
        </m:r>
      </m:oMath>
      <w:r w:rsidRPr="00DE731D">
        <w:t xml:space="preserve">, which is significantly smaller.  The CHO prewhitening operation decorrelates the </w:t>
      </w:r>
      <w:r w:rsidR="00491F6D">
        <w:t xml:space="preserve">image </w:t>
      </w:r>
      <w:r w:rsidRPr="00DE731D">
        <w:t xml:space="preserve">noise </w:t>
      </w:r>
      <w:r w:rsidR="007C023F">
        <w:t>between</w:t>
      </w:r>
      <w:r w:rsidR="00095559">
        <w:t xml:space="preserve"> the channel responses</w:t>
      </w:r>
      <w:r w:rsidR="00F5296B">
        <w:t>,</w:t>
      </w:r>
      <w:r w:rsidRPr="00DE731D">
        <w:t xml:space="preserve"> instead of the pixels.</w:t>
      </w:r>
    </w:p>
    <w:p w:rsidR="00F97C27" w:rsidRDefault="00DE731D" w:rsidP="00F97C27">
      <w:pPr>
        <w:numPr>
          <w:ilvl w:val="12"/>
          <w:numId w:val="0"/>
        </w:numPr>
        <w:spacing w:line="480" w:lineRule="auto"/>
        <w:ind w:firstLine="720"/>
      </w:pPr>
      <w:r w:rsidRPr="00DE731D">
        <w:t xml:space="preserve">The matched filter of the CHO uses the signal as it is processed through the channels to give us the </w:t>
      </w:r>
      <w:r w:rsidR="0013297A">
        <w:t xml:space="preserve">complete </w:t>
      </w:r>
      <w:r w:rsidRPr="00DE731D">
        <w:t xml:space="preserve">template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2843E4">
            <w:pPr>
              <w:numPr>
                <w:ilvl w:val="12"/>
                <w:numId w:val="0"/>
              </w:numPr>
              <w:spacing w:line="480" w:lineRule="auto"/>
              <w:ind w:firstLine="720"/>
            </w:pPr>
            <m:oMathPara>
              <m:oMath>
                <m:sSub>
                  <m:sSubPr>
                    <m:ctrlPr>
                      <w:rPr>
                        <w:rFonts w:ascii="Cambria Math" w:hAnsi="Cambria Math"/>
                      </w:rPr>
                    </m:ctrlPr>
                  </m:sSubPr>
                  <m:e>
                    <m:r>
                      <m:rPr>
                        <m:sty m:val="b"/>
                      </m:rPr>
                      <w:rPr>
                        <w:rFonts w:ascii="Cambria Math" w:hAnsi="Cambria Math"/>
                      </w:rPr>
                      <m:t>w</m:t>
                    </m:r>
                  </m:e>
                  <m:sub>
                    <m:r>
                      <m:rPr>
                        <m:sty m:val="p"/>
                      </m:rPr>
                      <w:rPr>
                        <w:rFonts w:ascii="Cambria Math" w:hAnsi="Cambria Math"/>
                      </w:rPr>
                      <m:t>cho</m:t>
                    </m:r>
                  </m:sub>
                </m:sSub>
                <m: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r>
                  <m:rPr>
                    <m:sty m:val="b"/>
                  </m:rPr>
                  <w:rPr>
                    <w:rFonts w:ascii="Cambria Math" w:hAnsi="Cambria Math"/>
                  </w:rPr>
                  <m:t>U</m:t>
                </m:r>
                <m:r>
                  <m:rPr>
                    <m:sty m:val="p"/>
                  </m:rPr>
                  <w:rPr>
                    <w:rFonts w:ascii="Cambria Math" w:hAnsi="Cambria Math"/>
                  </w:rPr>
                  <m:t xml:space="preserve"> </m:t>
                </m:r>
                <m:sSubSup>
                  <m:sSubSupPr>
                    <m:ctrlPr>
                      <w:rPr>
                        <w:rFonts w:ascii="Cambria Math" w:hAnsi="Cambria Math"/>
                        <w:b/>
                      </w:rPr>
                    </m:ctrlPr>
                  </m:sSubSupPr>
                  <m:e>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2</m:t>
                        </m:r>
                      </m:sub>
                    </m:sSub>
                    <m:ctrlPr>
                      <w:rPr>
                        <w:rFonts w:ascii="Cambria Math" w:hAnsi="Cambria Math"/>
                      </w:rPr>
                    </m:ctrlPr>
                  </m:e>
                  <m:sub>
                    <m:r>
                      <m:rPr>
                        <m:sty m:val="p"/>
                      </m:rPr>
                      <w:rPr>
                        <w:rFonts w:ascii="Cambria Math" w:hAnsi="Cambria Math"/>
                      </w:rPr>
                      <m:t>ch</m:t>
                    </m:r>
                    <m:ctrlPr>
                      <w:rPr>
                        <w:rFonts w:ascii="Cambria Math" w:hAnsi="Cambria Math"/>
                      </w:rPr>
                    </m:ctrlPr>
                  </m:sub>
                  <m:sup>
                    <m:r>
                      <m:rPr>
                        <m:sty m:val="p"/>
                      </m:rPr>
                      <w:rPr>
                        <w:rFonts w:ascii="Cambria Math" w:hAnsi="Cambria Math"/>
                      </w:rPr>
                      <m:t>-1</m:t>
                    </m:r>
                  </m:sup>
                </m:sSubSup>
                <m:sSup>
                  <m:sSupPr>
                    <m:ctrlPr>
                      <w:rPr>
                        <w:rFonts w:ascii="Cambria Math" w:hAnsi="Cambria Math"/>
                        <w:b/>
                      </w:rPr>
                    </m:ctrlPr>
                  </m:sSupPr>
                  <m:e>
                    <m:r>
                      <m:rPr>
                        <m:sty m:val="b"/>
                      </m:rPr>
                      <w:rPr>
                        <w:rFonts w:ascii="Cambria Math" w:hAnsi="Cambria Math"/>
                      </w:rPr>
                      <m:t>U</m:t>
                    </m:r>
                  </m:e>
                  <m:sup>
                    <m:r>
                      <w:rPr>
                        <w:rFonts w:ascii="Cambria Math" w:hAnsi="Cambria Math"/>
                      </w:rPr>
                      <m:t>t</m:t>
                    </m:r>
                  </m:sup>
                </m:sSup>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16</w:instrText>
              </w:r>
            </w:fldSimple>
            <w:r w:rsidR="002843E4">
              <w:instrText>)</w:instrText>
            </w:r>
            <w:r>
              <w:fldChar w:fldCharType="end"/>
            </w:r>
          </w:p>
        </w:tc>
      </w:tr>
    </w:tbl>
    <w:p w:rsidR="00350757" w:rsidRDefault="00350757" w:rsidP="00FE30D1">
      <w:pPr>
        <w:numPr>
          <w:ilvl w:val="12"/>
          <w:numId w:val="0"/>
        </w:numPr>
        <w:spacing w:line="480" w:lineRule="auto"/>
        <w:ind w:firstLine="720"/>
      </w:pPr>
      <w:r>
        <w:t>The SNR of the CHO is the</w:t>
      </w:r>
      <w:r w:rsidR="004B49E0">
        <w:t xml:space="preserve"> </w:t>
      </w:r>
      <w:r w:rsidR="00FE6038">
        <w:t>sq</w:t>
      </w:r>
      <w:r w:rsidR="003A102D">
        <w:t>u</w:t>
      </w:r>
      <w:r w:rsidR="004B49E0">
        <w:t>are root of the</w:t>
      </w:r>
      <w:r w:rsidR="00FE6038">
        <w:t xml:space="preserve"> inner</w:t>
      </w:r>
      <w:r>
        <w:t xml:space="preserve"> product of the template and the mean signal, namely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2843E4" w:rsidTr="002843E4">
        <w:tc>
          <w:tcPr>
            <w:tcW w:w="7920" w:type="dxa"/>
            <w:shd w:val="clear" w:color="auto" w:fill="auto"/>
            <w:vAlign w:val="center"/>
          </w:tcPr>
          <w:p w:rsidR="002843E4" w:rsidRDefault="009B6816" w:rsidP="001824D2">
            <w:pPr>
              <w:numPr>
                <w:ilvl w:val="12"/>
                <w:numId w:val="0"/>
              </w:numPr>
              <w:spacing w:line="480" w:lineRule="auto"/>
            </w:pPr>
            <m:oMathPara>
              <m:oMath>
                <m:sSub>
                  <m:sSubPr>
                    <m:ctrlPr>
                      <w:rPr>
                        <w:rFonts w:ascii="Cambria Math" w:hAnsi="Cambria Math"/>
                      </w:rPr>
                    </m:ctrlPr>
                  </m:sSubPr>
                  <m:e>
                    <m:r>
                      <m:rPr>
                        <m:sty m:val="p"/>
                      </m:rPr>
                      <w:rPr>
                        <w:rFonts w:ascii="Cambria Math" w:hAnsi="Cambria Math"/>
                      </w:rPr>
                      <m:t>SNR</m:t>
                    </m:r>
                  </m:e>
                  <m:sub>
                    <m:r>
                      <m:rPr>
                        <m:sty m:val="p"/>
                      </m:rPr>
                      <w:rPr>
                        <w:rFonts w:ascii="Cambria Math" w:hAnsi="Cambria Math"/>
                      </w:rPr>
                      <m:t>cho</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sup>
                            <m:r>
                              <w:rPr>
                                <w:rFonts w:ascii="Cambria Math" w:hAnsi="Cambria Math"/>
                              </w:rPr>
                              <m:t>t</m:t>
                            </m:r>
                          </m:sup>
                        </m:sSup>
                        <m:r>
                          <m:rPr>
                            <m:sty m:val="b"/>
                          </m:rPr>
                          <w:rPr>
                            <w:rFonts w:ascii="Cambria Math" w:hAnsi="Cambria Math"/>
                          </w:rPr>
                          <m:t>U</m:t>
                        </m:r>
                        <m:r>
                          <m:rPr>
                            <m:sty m:val="p"/>
                          </m:rPr>
                          <w:rPr>
                            <w:rFonts w:ascii="Cambria Math" w:hAnsi="Cambria Math"/>
                          </w:rPr>
                          <m:t xml:space="preserve"> </m:t>
                        </m:r>
                        <m:sSubSup>
                          <m:sSubSupPr>
                            <m:ctrlPr>
                              <w:rPr>
                                <w:rFonts w:ascii="Cambria Math" w:hAnsi="Cambria Math"/>
                                <w:b/>
                              </w:rPr>
                            </m:ctrlPr>
                          </m:sSubSupPr>
                          <m:e>
                            <m:sSub>
                              <m:sSubPr>
                                <m:ctrlPr>
                                  <w:rPr>
                                    <w:rFonts w:ascii="Cambria Math" w:hAnsi="Cambria Math"/>
                                    <w:b/>
                                  </w:rPr>
                                </m:ctrlPr>
                              </m:sSubPr>
                              <m:e>
                                <m:r>
                                  <m:rPr>
                                    <m:sty m:val="b"/>
                                  </m:rPr>
                                  <w:rPr>
                                    <w:rFonts w:ascii="Cambria Math" w:hAnsi="Cambria Math"/>
                                  </w:rPr>
                                  <m:t>S</m:t>
                                </m:r>
                              </m:e>
                              <m:sub>
                                <m:r>
                                  <m:rPr>
                                    <m:sty m:val="b"/>
                                  </m:rPr>
                                  <w:rPr>
                                    <w:rFonts w:ascii="Cambria Math" w:hAnsi="Cambria Math"/>
                                  </w:rPr>
                                  <m:t>2</m:t>
                                </m:r>
                              </m:sub>
                            </m:sSub>
                            <m:ctrlPr>
                              <w:rPr>
                                <w:rFonts w:ascii="Cambria Math" w:hAnsi="Cambria Math"/>
                              </w:rPr>
                            </m:ctrlPr>
                          </m:e>
                          <m:sub>
                            <m:r>
                              <m:rPr>
                                <m:sty m:val="p"/>
                              </m:rPr>
                              <w:rPr>
                                <w:rFonts w:ascii="Cambria Math" w:hAnsi="Cambria Math"/>
                              </w:rPr>
                              <m:t>ch</m:t>
                            </m:r>
                            <m:ctrlPr>
                              <w:rPr>
                                <w:rFonts w:ascii="Cambria Math" w:hAnsi="Cambria Math"/>
                              </w:rPr>
                            </m:ctrlPr>
                          </m:sub>
                          <m:sup>
                            <m:r>
                              <m:rPr>
                                <m:sty m:val="p"/>
                              </m:rPr>
                              <w:rPr>
                                <w:rFonts w:ascii="Cambria Math" w:hAnsi="Cambria Math"/>
                              </w:rPr>
                              <m:t>-1</m:t>
                            </m:r>
                          </m:sup>
                        </m:sSubSup>
                        <m:sSup>
                          <m:sSupPr>
                            <m:ctrlPr>
                              <w:rPr>
                                <w:rFonts w:ascii="Cambria Math" w:hAnsi="Cambria Math"/>
                                <w:b/>
                              </w:rPr>
                            </m:ctrlPr>
                          </m:sSupPr>
                          <m:e>
                            <m:r>
                              <m:rPr>
                                <m:sty m:val="b"/>
                              </m:rPr>
                              <w:rPr>
                                <w:rFonts w:ascii="Cambria Math" w:hAnsi="Cambria Math"/>
                              </w:rPr>
                              <m:t>U</m:t>
                            </m:r>
                          </m:e>
                          <m:sup>
                            <m:r>
                              <w:rPr>
                                <w:rFonts w:ascii="Cambria Math" w:hAnsi="Cambria Math"/>
                              </w:rPr>
                              <m:t>t</m:t>
                            </m:r>
                          </m:sup>
                        </m:sSup>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m:rPr>
                                        <m:sty m:val="b"/>
                                      </m:rPr>
                                      <w:rPr>
                                        <w:rFonts w:ascii="Cambria Math" w:hAnsi="Cambria Math"/>
                                      </w:rPr>
                                      <m:t>g</m:t>
                                    </m:r>
                                  </m:e>
                                </m:acc>
                              </m:e>
                              <m:sub>
                                <m:r>
                                  <w:rPr>
                                    <w:rFonts w:ascii="Cambria Math" w:hAnsi="Cambria Math"/>
                                  </w:rPr>
                                  <m:t>1</m:t>
                                </m:r>
                              </m:sub>
                            </m:sSub>
                          </m:e>
                        </m:d>
                      </m:e>
                    </m:d>
                  </m:e>
                  <m:sup>
                    <m:f>
                      <m:fPr>
                        <m:ctrlPr>
                          <w:rPr>
                            <w:rFonts w:ascii="Cambria Math" w:hAnsi="Cambria Math"/>
                            <w:i/>
                          </w:rPr>
                        </m:ctrlPr>
                      </m:fPr>
                      <m:num>
                        <m:r>
                          <w:rPr>
                            <w:rFonts w:ascii="Cambria Math" w:hAnsi="Cambria Math"/>
                          </w:rPr>
                          <m:t>1</m:t>
                        </m:r>
                      </m:num>
                      <m:den>
                        <m:r>
                          <w:rPr>
                            <w:rFonts w:ascii="Cambria Math" w:hAnsi="Cambria Math"/>
                          </w:rPr>
                          <m:t>2</m:t>
                        </m:r>
                      </m:den>
                    </m:f>
                  </m:sup>
                </m:sSup>
              </m:oMath>
            </m:oMathPara>
          </w:p>
        </w:tc>
        <w:tc>
          <w:tcPr>
            <w:tcW w:w="720" w:type="dxa"/>
            <w:shd w:val="clear" w:color="auto" w:fill="auto"/>
            <w:vAlign w:val="center"/>
          </w:tcPr>
          <w:p w:rsidR="002843E4" w:rsidRDefault="009B6816" w:rsidP="002843E4">
            <w:pPr>
              <w:pStyle w:val="EquationNumberStyle"/>
            </w:pPr>
            <w:r>
              <w:fldChar w:fldCharType="begin"/>
            </w:r>
            <w:r w:rsidR="002843E4">
              <w:instrText xml:space="preserve"> MACROBUTTON NumberReference \* MERGEFORMAT (</w:instrText>
            </w:r>
            <w:fldSimple w:instr=" SEQ EqnChapter \c \* Arabic \* MERGEFORMAT ">
              <w:r w:rsidR="005B6C27">
                <w:rPr>
                  <w:noProof/>
                </w:rPr>
                <w:instrText>4</w:instrText>
              </w:r>
            </w:fldSimple>
            <w:r w:rsidR="002843E4">
              <w:instrText>.</w:instrText>
            </w:r>
            <w:fldSimple w:instr=" SEQ EquationNumber \n \* Arabic \* MERGEFORMAT ">
              <w:r w:rsidR="005B6C27">
                <w:rPr>
                  <w:noProof/>
                </w:rPr>
                <w:instrText>17</w:instrText>
              </w:r>
            </w:fldSimple>
            <w:r w:rsidR="002843E4">
              <w:instrText>)</w:instrText>
            </w:r>
            <w:r>
              <w:fldChar w:fldCharType="end"/>
            </w:r>
          </w:p>
        </w:tc>
      </w:tr>
    </w:tbl>
    <w:p w:rsidR="00350757" w:rsidRDefault="00350757" w:rsidP="00FE30D1">
      <w:pPr>
        <w:numPr>
          <w:ilvl w:val="12"/>
          <w:numId w:val="0"/>
        </w:numPr>
        <w:spacing w:line="480" w:lineRule="auto"/>
      </w:pPr>
      <w:r>
        <w:t xml:space="preserve">The SNR-rated performance of a mathematical observer </w:t>
      </w:r>
      <w:r w:rsidR="001B3613">
        <w:t>is</w:t>
      </w:r>
      <w:r>
        <w:t xml:space="preserve"> compared with that of a human observer using the relationship between the AUC and the detectability index.</w:t>
      </w:r>
    </w:p>
    <w:p w:rsidR="00DC2D93" w:rsidRPr="00DC2D93" w:rsidRDefault="00DC2D93" w:rsidP="00611C62">
      <w:pPr>
        <w:numPr>
          <w:ilvl w:val="12"/>
          <w:numId w:val="0"/>
        </w:numPr>
        <w:spacing w:line="480" w:lineRule="auto"/>
        <w:ind w:firstLine="720"/>
      </w:pPr>
      <w:r w:rsidRPr="00DC2D93">
        <w:br w:type="page"/>
      </w:r>
    </w:p>
    <w:p w:rsidR="0093091A" w:rsidRPr="00F920F6" w:rsidRDefault="006855CA" w:rsidP="005E4C89">
      <w:pPr>
        <w:pStyle w:val="Heading1"/>
      </w:pPr>
      <w:bookmarkStart w:id="78" w:name="_Toc351890018"/>
      <w:r w:rsidRPr="00F920F6">
        <w:lastRenderedPageBreak/>
        <w:t xml:space="preserve">Chapter </w:t>
      </w:r>
      <w:r w:rsidR="00B72A41">
        <w:t>5</w:t>
      </w:r>
      <w:r w:rsidR="00C95439">
        <w:t xml:space="preserve"> </w:t>
      </w:r>
      <w:r w:rsidR="00C95439">
        <w:br/>
      </w:r>
      <w:r w:rsidR="0093091A">
        <w:t>Lesion Detection</w:t>
      </w:r>
      <w:r w:rsidR="0093091A" w:rsidRPr="0093091A">
        <w:t xml:space="preserve"> </w:t>
      </w:r>
      <w:r w:rsidR="009B6816">
        <w:fldChar w:fldCharType="begin"/>
      </w:r>
      <w:r w:rsidR="0079770B">
        <w:instrText xml:space="preserve"> MACROBUTTON RemoveChapterIncreaseMark \* MERGEFORMAT </w:instrText>
      </w:r>
      <w:r w:rsidR="009B6816">
        <w:fldChar w:fldCharType="begin"/>
      </w:r>
      <w:r w:rsidR="0079770B">
        <w:instrText xml:space="preserve"> SEQ EqnChapter \n \h \* MERGEFORMAT </w:instrText>
      </w:r>
      <w:r w:rsidR="009B6816">
        <w:fldChar w:fldCharType="end"/>
      </w:r>
      <w:r w:rsidR="009B6816">
        <w:fldChar w:fldCharType="begin"/>
      </w:r>
      <w:r w:rsidR="0079770B">
        <w:instrText xml:space="preserve"> SEQ EquationNumber \r0 \h \* MERGEFORMAT </w:instrText>
      </w:r>
      <w:r w:rsidR="009B6816">
        <w:fldChar w:fldCharType="end"/>
      </w:r>
      <w:r w:rsidR="009B6816">
        <w:fldChar w:fldCharType="begin"/>
      </w:r>
      <w:r w:rsidR="0079770B">
        <w:instrText xml:space="preserve"> SEQ TheoremNumber \r0 \h \* MERGEFORMAT </w:instrText>
      </w:r>
      <w:r w:rsidR="009B6816">
        <w:fldChar w:fldCharType="end"/>
      </w:r>
      <w:r w:rsidR="0079770B" w:rsidRPr="0079770B">
        <w:rPr>
          <w:vanish/>
        </w:rPr>
        <w:sym w:font="Wingdings" w:char="F0F6"/>
      </w:r>
      <w:r w:rsidR="009B6816">
        <w:fldChar w:fldCharType="end"/>
      </w:r>
      <w:bookmarkEnd w:id="78"/>
    </w:p>
    <w:p w:rsidR="003B0285" w:rsidRDefault="0093091A" w:rsidP="003B0285">
      <w:pPr>
        <w:pStyle w:val="Heading2"/>
      </w:pPr>
      <w:bookmarkStart w:id="79" w:name="_Toc351890019"/>
      <w:r>
        <w:t>Introduction</w:t>
      </w:r>
      <w:bookmarkEnd w:id="79"/>
    </w:p>
    <w:p w:rsidR="002D7C36" w:rsidRPr="002D7C36" w:rsidRDefault="002D7C36" w:rsidP="002D7C36">
      <w:pPr>
        <w:numPr>
          <w:ilvl w:val="12"/>
          <w:numId w:val="0"/>
        </w:numPr>
        <w:spacing w:line="480" w:lineRule="auto"/>
        <w:ind w:firstLine="720"/>
      </w:pPr>
      <w:r w:rsidRPr="002D7C36">
        <w:t xml:space="preserve">The idea to use time-of-flight (TOF) information from coincident photon detections to improve PET image quality has been explored before </w:t>
      </w:r>
      <w:r w:rsidR="009B6816" w:rsidRPr="002D7C36">
        <w:fldChar w:fldCharType="begin"/>
      </w:r>
      <w:r w:rsidR="000F64FB">
        <w:instrText xml:space="preserve"> ADDIN EN.CITE &lt;EndNote&gt;&lt;Cite&gt;&lt;Author&gt;Tomitani&lt;/Author&gt;&lt;Year&gt;1980&lt;/Year&gt;&lt;RecNum&gt;183&lt;/RecNum&gt;&lt;DisplayText&gt;(Tomitani and Tanaka 1980; Budinger 1983)&lt;/DisplayText&gt;&lt;record&gt;&lt;rec-number&gt;183&lt;/rec-number&gt;&lt;foreign-keys&gt;&lt;key app="EN" db-id="srwv9ppvvez5pgefxzi5ddeve5w2fe5x5esr"&gt;183&lt;/key&gt;&lt;/foreign-keys&gt;&lt;ref-type name="Conference Proceedings"&gt;10&lt;/ref-type&gt;&lt;contributors&gt;&lt;authors&gt;&lt;author&gt;Tomitani, T&lt;/author&gt;&lt;author&gt;Tanaka, E&lt;/author&gt;&lt;/authors&gt;&lt;/contributors&gt;&lt;titles&gt;&lt;title&gt;Noise Characteristics of Positron CT Using Time of Flight&lt;/title&gt;&lt;secondary-title&gt;Third Symposium on Physical and Technical Aspects of Transmission and Emission Computed Tomography&lt;/secondary-title&gt;&lt;/titles&gt;&lt;pages&gt;92-93&lt;/pages&gt;&lt;dates&gt;&lt;year&gt;1980&lt;/year&gt;&lt;/dates&gt;&lt;urls&gt;&lt;/urls&gt;&lt;/record&gt;&lt;/Cite&gt;&lt;Cite&gt;&lt;Author&gt;Budinger&lt;/Author&gt;&lt;Year&gt;1983&lt;/Year&gt;&lt;RecNum&gt;178&lt;/RecNum&gt;&lt;record&gt;&lt;rec-number&gt;178&lt;/rec-number&gt;&lt;foreign-keys&gt;&lt;key app="EN" db-id="srwv9ppvvez5pgefxzi5ddeve5w2fe5x5esr"&gt;178&lt;/key&gt;&lt;/foreign-keys&gt;&lt;ref-type name="Journal Article"&gt;17&lt;/ref-type&gt;&lt;contributors&gt;&lt;authors&gt;&lt;author&gt;Budinger, TF&lt;/author&gt;&lt;/authors&gt;&lt;/contributors&gt;&lt;titles&gt;&lt;title&gt;Time-of-flight positron emission tomography: status relative to conventional PET&lt;/title&gt;&lt;secondary-title&gt;Journal of Nuclear Medicine&lt;/secondary-title&gt;&lt;/titles&gt;&lt;periodical&gt;&lt;full-title&gt;Journal of Nuclear Medicine&lt;/full-title&gt;&lt;/periodical&gt;&lt;pages&gt;73-78&lt;/pages&gt;&lt;volume&gt;24&lt;/volume&gt;&lt;number&gt;1&lt;/number&gt;&lt;dates&gt;&lt;year&gt;1983&lt;/year&gt;&lt;/dates&gt;&lt;urls&gt;&lt;/urls&gt;&lt;/record&gt;&lt;/Cite&gt;&lt;/EndNote&gt;</w:instrText>
      </w:r>
      <w:r w:rsidR="009B6816" w:rsidRPr="002D7C36">
        <w:fldChar w:fldCharType="separate"/>
      </w:r>
      <w:r w:rsidRPr="002D7C36">
        <w:rPr>
          <w:noProof/>
        </w:rPr>
        <w:t>(</w:t>
      </w:r>
      <w:hyperlink w:anchor="_ENREF_76" w:tooltip="Tomitani, 1980 #183" w:history="1">
        <w:r w:rsidR="007704DB" w:rsidRPr="002D7C36">
          <w:rPr>
            <w:noProof/>
          </w:rPr>
          <w:t>Tomitani and Tanaka 1980</w:t>
        </w:r>
      </w:hyperlink>
      <w:r w:rsidRPr="002D7C36">
        <w:rPr>
          <w:noProof/>
        </w:rPr>
        <w:t xml:space="preserve">; </w:t>
      </w:r>
      <w:hyperlink w:anchor="_ENREF_16" w:tooltip="Budinger, 1983 #178" w:history="1">
        <w:r w:rsidR="007704DB" w:rsidRPr="002D7C36">
          <w:rPr>
            <w:noProof/>
          </w:rPr>
          <w:t>Budinger 1983</w:t>
        </w:r>
      </w:hyperlink>
      <w:r w:rsidRPr="002D7C36">
        <w:rPr>
          <w:noProof/>
        </w:rPr>
        <w:t>)</w:t>
      </w:r>
      <w:r w:rsidR="009B6816" w:rsidRPr="002D7C36">
        <w:fldChar w:fldCharType="end"/>
      </w:r>
      <w:r w:rsidRPr="002D7C36">
        <w:t xml:space="preserve">, and it has recently been revived due to advances in PET scanner technology </w:t>
      </w:r>
      <w:r w:rsidR="009B6816" w:rsidRPr="002D7C36">
        <w:fldChar w:fldCharType="begin"/>
      </w:r>
      <w:r w:rsidR="000F64FB">
        <w:instrText xml:space="preserve"> ADDIN EN.CITE &lt;EndNote&gt;&lt;Cite&gt;&lt;Author&gt;Conti&lt;/Author&gt;&lt;Year&gt;2005&lt;/Year&gt;&lt;RecNum&gt;171&lt;/RecNum&gt;&lt;DisplayText&gt;(Conti, Bendriem et al. 2005)&lt;/DisplayText&gt;&lt;record&gt;&lt;rec-number&gt;171&lt;/rec-number&gt;&lt;foreign-keys&gt;&lt;key app="EN" db-id="srwv9ppvvez5pgefxzi5ddeve5w2fe5x5esr"&gt;171&lt;/key&gt;&lt;/foreign-keys&gt;&lt;ref-type name="Journal Article"&gt;17&lt;/ref-type&gt;&lt;contributors&gt;&lt;authors&gt;&lt;author&gt;Conti, M&lt;/author&gt;&lt;author&gt;Bendriem, B&lt;/author&gt;&lt;author&gt;Casey, M&lt;/author&gt;&lt;author&gt;Chen, M&lt;/author&gt;&lt;author&gt;Kehren, F&lt;/author&gt;&lt;author&gt;Michel, C&lt;/author&gt;&lt;author&gt;Panin, V&lt;/author&gt;&lt;/authors&gt;&lt;/contributors&gt;&lt;titles&gt;&lt;title&gt;First experimental results of time-of-flight reconstruction on an LSO PET scanner&lt;/title&gt;&lt;secondary-title&gt;Physics in Medicine and Biology&lt;/secondary-title&gt;&lt;/titles&gt;&lt;periodical&gt;&lt;full-title&gt;Physics in medicine and biology&lt;/full-title&gt;&lt;/periodical&gt;&lt;pages&gt;4507-4526&lt;/pages&gt;&lt;volume&gt;50&lt;/volume&gt;&lt;dates&gt;&lt;year&gt;2005&lt;/year&gt;&lt;/dates&gt;&lt;urls&gt;&lt;/urls&gt;&lt;/record&gt;&lt;/Cite&gt;&lt;/EndNote&gt;</w:instrText>
      </w:r>
      <w:r w:rsidR="009B6816" w:rsidRPr="002D7C36">
        <w:fldChar w:fldCharType="separate"/>
      </w:r>
      <w:r w:rsidRPr="002D7C36">
        <w:rPr>
          <w:noProof/>
        </w:rPr>
        <w:t>(</w:t>
      </w:r>
      <w:hyperlink w:anchor="_ENREF_27" w:tooltip="Conti, 2005 #171" w:history="1">
        <w:r w:rsidR="007704DB" w:rsidRPr="002D7C36">
          <w:rPr>
            <w:noProof/>
          </w:rPr>
          <w:t>Conti, Bendriem et al. 2005</w:t>
        </w:r>
      </w:hyperlink>
      <w:r w:rsidRPr="002D7C36">
        <w:rPr>
          <w:noProof/>
        </w:rPr>
        <w:t>)</w:t>
      </w:r>
      <w:r w:rsidR="009B6816" w:rsidRPr="002D7C36">
        <w:fldChar w:fldCharType="end"/>
      </w:r>
      <w:r w:rsidRPr="002D7C36">
        <w:t xml:space="preserve">.  Additionally, the spatially-variant point spread response (PSF) of a PET system can be incorporated into the system model </w:t>
      </w:r>
      <w:r w:rsidR="009B6816" w:rsidRPr="002D7C36">
        <w:fldChar w:fldCharType="begin">
          <w:fldData xml:space="preserve">PEVuZE5vdGU+PENpdGU+PEF1dGhvcj5EYXViZS1XaXRoZXJzcG9vbjwvQXV0aG9yPjxZZWFyPjIw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</w:fldData>
        </w:fldChar>
      </w:r>
      <w:r w:rsidR="000F64FB">
        <w:instrText xml:space="preserve"> ADDIN EN.CITE </w:instrText>
      </w:r>
      <w:r w:rsidR="009B6816">
        <w:fldChar w:fldCharType="begin">
          <w:fldData xml:space="preserve">PEVuZE5vdGU+PENpdGU+PEF1dGhvcj5EYXViZS1XaXRoZXJzcG9vbjwvQXV0aG9yPjxZZWFyPjIw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</w:fldData>
        </w:fldChar>
      </w:r>
      <w:r w:rsidR="000F64FB">
        <w:instrText xml:space="preserve"> ADDIN EN.CITE.DATA </w:instrText>
      </w:r>
      <w:r w:rsidR="009B6816">
        <w:fldChar w:fldCharType="end"/>
      </w:r>
      <w:r w:rsidR="009B6816" w:rsidRPr="002D7C36">
        <w:fldChar w:fldCharType="separate"/>
      </w:r>
      <w:r w:rsidRPr="002D7C36">
        <w:rPr>
          <w:noProof/>
        </w:rPr>
        <w:t>(</w:t>
      </w:r>
      <w:hyperlink w:anchor="_ENREF_60" w:tooltip="Panin, 2006 #326" w:history="1">
        <w:r w:rsidR="007704DB" w:rsidRPr="002D7C36">
          <w:rPr>
            <w:noProof/>
          </w:rPr>
          <w:t>Panin, Kehren et al. 2006</w:t>
        </w:r>
      </w:hyperlink>
      <w:r w:rsidRPr="002D7C36">
        <w:rPr>
          <w:noProof/>
        </w:rPr>
        <w:t xml:space="preserve">; </w:t>
      </w:r>
      <w:hyperlink w:anchor="_ENREF_78" w:tooltip="Tong, 2009 #294" w:history="1">
        <w:r w:rsidR="007704DB" w:rsidRPr="002D7C36">
          <w:rPr>
            <w:noProof/>
          </w:rPr>
          <w:t>Tong, Alessio et al. 2009</w:t>
        </w:r>
      </w:hyperlink>
      <w:r w:rsidRPr="002D7C36">
        <w:rPr>
          <w:noProof/>
        </w:rPr>
        <w:t xml:space="preserve">; </w:t>
      </w:r>
      <w:hyperlink w:anchor="_ENREF_84" w:tooltip="Walker, 2009 #298" w:history="1">
        <w:r w:rsidR="007704DB" w:rsidRPr="002D7C36">
          <w:rPr>
            <w:noProof/>
          </w:rPr>
          <w:t>Walker, Julyan et al. 2009</w:t>
        </w:r>
      </w:hyperlink>
      <w:r w:rsidRPr="002D7C36">
        <w:rPr>
          <w:noProof/>
        </w:rPr>
        <w:t xml:space="preserve">; </w:t>
      </w:r>
      <w:hyperlink w:anchor="_ENREF_28" w:tooltip="Daube-Witherspoon, 2011 #296" w:history="1">
        <w:r w:rsidR="007704DB" w:rsidRPr="002D7C36">
          <w:rPr>
            <w:noProof/>
          </w:rPr>
          <w:t>Daube-Witherspoon, Matej et al. 2011</w:t>
        </w:r>
      </w:hyperlink>
      <w:r w:rsidRPr="002D7C36">
        <w:rPr>
          <w:noProof/>
        </w:rPr>
        <w:t>)</w:t>
      </w:r>
      <w:r w:rsidR="009B6816" w:rsidRPr="002D7C36">
        <w:fldChar w:fldCharType="end"/>
      </w:r>
      <w:r w:rsidRPr="002D7C36">
        <w:t>.</w:t>
      </w:r>
    </w:p>
    <w:p w:rsidR="002D7C36" w:rsidRPr="002D7C36" w:rsidRDefault="002D7C36" w:rsidP="002D7C36">
      <w:pPr>
        <w:numPr>
          <w:ilvl w:val="12"/>
          <w:numId w:val="0"/>
        </w:numPr>
        <w:spacing w:line="480" w:lineRule="auto"/>
        <w:ind w:firstLine="720"/>
      </w:pPr>
      <w:r w:rsidRPr="002D7C36">
        <w:t>The clinical benefit of TOF and PSF in PET reconstructions is of major interest.  In oncology, lesion detectability is important in the early diagnosis and staging of patients.  Positive patient prognoses are strongly dependent on early detection, so the ability to detect small, low-intensity lesions is critically important.</w:t>
      </w:r>
    </w:p>
    <w:p w:rsidR="00C225CC" w:rsidRPr="00C225CC" w:rsidRDefault="002D7C36" w:rsidP="00F974C2">
      <w:pPr>
        <w:numPr>
          <w:ilvl w:val="12"/>
          <w:numId w:val="0"/>
        </w:numPr>
        <w:spacing w:line="480" w:lineRule="auto"/>
        <w:ind w:firstLine="720"/>
      </w:pPr>
      <w:r w:rsidRPr="002D7C36">
        <w:t xml:space="preserve">Incorporation of these reconstruction models has great potential to improve image quality in oncological studies </w:t>
      </w:r>
      <w:r w:rsidR="009B6816" w:rsidRPr="002D7C36">
        <w:fldChar w:fldCharType="begin"/>
      </w:r>
      <w:r w:rsidR="000F64FB">
        <w:instrText xml:space="preserve"> ADDIN EN.CITE &lt;EndNote&gt;&lt;Cite&gt;&lt;Author&gt;Armstrong&lt;/Author&gt;&lt;Year&gt;2011&lt;/Year&gt;&lt;RecNum&gt;295&lt;/RecNum&gt;&lt;DisplayText&gt;(Kadrmas, Casey et al. 2009; Armstrong, Williams et al. 2011)&lt;/DisplayText&gt;&lt;record&gt;&lt;rec-number&gt;295&lt;/rec-number&gt;&lt;foreign-keys&gt;&lt;key app="EN" db-id="srwv9ppvvez5pgefxzi5ddeve5w2fe5x5esr"&gt;295&lt;/key&gt;&lt;/foreign-keys&gt;&lt;ref-type name="Conference Proceedings"&gt;10&lt;/ref-type&gt;&lt;contributors&gt;&lt;authors&gt;&lt;author&gt;Armstrong, I.S.&lt;/author&gt;&lt;author&gt;Williams, H.A.&lt;/author&gt;&lt;author&gt;Matthews, J.C.&lt;/author&gt;&lt;/authors&gt;&lt;/contributors&gt;&lt;titles&gt;&lt;title&gt;Accuracy and variability of quantitative measurements using PET with time-of-flight information and resolution modelling&lt;/title&gt;&lt;secondary-title&gt;Nuclear Science Symposium and Medical Imaging Conference (NSS/MIC)&lt;/secondary-title&gt;&lt;/titles&gt;&lt;pages&gt;4167-4170&lt;/pages&gt;&lt;dates&gt;&lt;year&gt;2011&lt;/year&gt;&lt;/dates&gt;&lt;publisher&gt;IEEE&lt;/publisher&gt;&lt;isbn&gt;1467301183&lt;/isbn&gt;&lt;urls&gt;&lt;/urls&gt;&lt;/record&gt;&lt;/Cite&gt;&lt;Cite&gt;&lt;Author&gt;Kadrmas&lt;/Author&gt;&lt;Year&gt;2009&lt;/Year&gt;&lt;RecNum&gt;44&lt;/RecNum&gt;&lt;record&gt;&lt;rec-number&gt;44&lt;/rec-number&gt;&lt;foreign-keys&gt;&lt;key app="EN" db-id="srwv9ppvvez5pgefxzi5ddeve5w2fe5x5esr"&gt;44&lt;/key&gt;&lt;/foreign-keys&gt;&lt;ref-type name="Journal Article"&gt;17&lt;/ref-type&gt;&lt;contributors&gt;&lt;authors&gt;&lt;author&gt;Kadrmas, D. J.&lt;/author&gt;&lt;author&gt;Casey, M. E.&lt;/author&gt;&lt;author&gt;Conti, M.&lt;/author&gt;&lt;author&gt;Jakoby, B. W.&lt;/author&gt;&lt;author&gt;Lois, C.&lt;/author&gt;&lt;author&gt;Townsend, D. W.&lt;/author&gt;&lt;/authors&gt;&lt;/contributors&gt;&lt;titles&gt;&lt;title&gt;Impact of Time-of-Flight on PET Tumor Detection&lt;/title&gt;&lt;secondary-title&gt;Journal of Nuclear Medicine&lt;/secondary-title&gt;&lt;/titles&gt;&lt;periodical&gt;&lt;full-title&gt;Journal of Nuclear Medicine&lt;/full-title&gt;&lt;/periodical&gt;&lt;pages&gt;1315-1323&lt;/pages&gt;&lt;volume&gt;50&lt;/volume&gt;&lt;number&gt;8&lt;/number&gt;&lt;dates&gt;&lt;year&gt;2009&lt;/year&gt;&lt;/dates&gt;&lt;isbn&gt;0161-5505&lt;/isbn&gt;&lt;urls&gt;&lt;/urls&gt;&lt;electronic-resource-num&gt;10.2967/jnumed.109.063016&lt;/electronic-resource-num&gt;&lt;/record&gt;&lt;/Cite&gt;&lt;/EndNote&gt;</w:instrText>
      </w:r>
      <w:r w:rsidR="009B6816" w:rsidRPr="002D7C36">
        <w:fldChar w:fldCharType="separate"/>
      </w:r>
      <w:r w:rsidRPr="002D7C36">
        <w:rPr>
          <w:noProof/>
        </w:rPr>
        <w:t>(</w:t>
      </w:r>
      <w:hyperlink w:anchor="_ENREF_46" w:tooltip="Kadrmas, 2009 #44" w:history="1">
        <w:r w:rsidR="007704DB" w:rsidRPr="002D7C36">
          <w:rPr>
            <w:noProof/>
          </w:rPr>
          <w:t>Kadrmas, Casey et al. 2009</w:t>
        </w:r>
      </w:hyperlink>
      <w:r w:rsidRPr="002D7C36">
        <w:rPr>
          <w:noProof/>
        </w:rPr>
        <w:t xml:space="preserve">; </w:t>
      </w:r>
      <w:hyperlink w:anchor="_ENREF_4" w:tooltip="Armstrong, 2011 #295" w:history="1">
        <w:r w:rsidR="007704DB" w:rsidRPr="002D7C36">
          <w:rPr>
            <w:noProof/>
          </w:rPr>
          <w:t>Armstrong, Williams et al. 2011</w:t>
        </w:r>
      </w:hyperlink>
      <w:r w:rsidRPr="002D7C36">
        <w:rPr>
          <w:noProof/>
        </w:rPr>
        <w:t>)</w:t>
      </w:r>
      <w:r w:rsidR="009B6816" w:rsidRPr="002D7C36">
        <w:fldChar w:fldCharType="end"/>
      </w:r>
      <w:r w:rsidRPr="002D7C36">
        <w:t xml:space="preserve">.  Recent work has reported improvement from TOF due to the faster iterative convergence  </w:t>
      </w:r>
      <w:r w:rsidR="009B6816" w:rsidRPr="002D7C36">
        <w:fldChar w:fldCharType="begin"/>
      </w:r>
      <w:r w:rsidRPr="002D7C36">
        <w:instrText xml:space="preserve"> ADDIN EN.CITE &lt;EndNote&gt;&lt;Cite&gt;&lt;Author&gt;Karp&lt;/Author&gt;&lt;Year&gt;2008&lt;/Year&gt;&lt;RecNum&gt;66&lt;/RecNum&gt;&lt;DisplayText&gt;(Karp, Surti et al. 2008; Lois, Jakoby et al. 2010)&lt;/DisplayText&gt;&lt;record&gt;&lt;rec-number&gt;66&lt;/rec-number&gt;&lt;foreign-keys&gt;&lt;key app="EN" db-id="srwv9ppvvez5pgefxzi5ddeve5w2fe5x5esr"&gt;66&lt;/key&gt;&lt;/foreign-keys&gt;&lt;ref-type name="Journal Article"&gt;17&lt;/ref-type&gt;&lt;contributors&gt;&lt;authors&gt;&lt;author&gt;Karp, J. S.&lt;/author&gt;&lt;author&gt;Surti, S.&lt;/author&gt;&lt;author&gt;Daube-Witherspoon, M. E.&lt;/author&gt;&lt;author&gt;Muehllehner, G.&lt;/author&gt;&lt;/authors&gt;&lt;/contributors&gt;&lt;titles&gt;&lt;title&gt;Benefit of Time-of-Flight in PET: Experimental and Clinical Results&lt;/title&gt;&lt;secondary-title&gt;Journal of Nuclear Medicine&lt;/secondary-title&gt;&lt;/titles&gt;&lt;periodical&gt;&lt;full-title&gt;Journal of Nuclear Medicine&lt;/full-title&gt;&lt;/periodical&gt;&lt;pages&gt;462-470&lt;/pages&gt;&lt;volume&gt;49&lt;/volume&gt;&lt;number&gt;3&lt;/number&gt;&lt;dates&gt;&lt;year&gt;2008&lt;/year&gt;&lt;/dates&gt;&lt;isbn&gt;0161-5505&lt;/isbn&gt;&lt;urls&gt;&lt;/urls&gt;&lt;electronic-resource-num&gt;10.2967/jnumed.107.044834&lt;/electronic-resource-num&gt;&lt;/record&gt;&lt;/Cite&gt;&lt;Cite&gt;&lt;Author&gt;Lois&lt;/Author&gt;&lt;Year&gt;2010&lt;/Year&gt;&lt;RecNum&gt;65&lt;/RecNum&gt;&lt;record&gt;&lt;rec-number&gt;65&lt;/rec-number&gt;&lt;foreign-keys&gt;&lt;key app="EN" db-id="srwv9ppvvez5pgefxzi5ddeve5w2fe5x5esr"&gt;65&lt;/key&gt;&lt;/foreign-keys&gt;&lt;ref-type name="Journal Article"&gt;17&lt;/ref-type&gt;&lt;contributors&gt;&lt;authors&gt;&lt;author&gt;Lois, C.&lt;/author&gt;&lt;author&gt;Jakoby, B. W.&lt;/author&gt;&lt;author&gt;Long, M. J.&lt;/author&gt;&lt;author&gt;Hubner, K. F.&lt;/author&gt;&lt;author&gt;Barker, D. W.&lt;/author&gt;&lt;author&gt;Casey, M. E.&lt;/author&gt;&lt;author&gt;Conti, M.&lt;/author&gt;&lt;author&gt;Panin, V. Y.&lt;/author&gt;&lt;author&gt;Kadrmas, D. J.&lt;/author&gt;&lt;author&gt;Townsend, D. W.&lt;/author&gt;&lt;/authors&gt;&lt;/contributors&gt;&lt;titles&gt;&lt;title&gt;An Assessment of the Impact of Incorporating Time-of-Flight Information into Clinical PET/CT Imaging&lt;/title&gt;&lt;secondary-title&gt;Journal of Nuclear Medicine&lt;/secondary-title&gt;&lt;/titles&gt;&lt;periodical&gt;&lt;full-title&gt;Journal of Nuclear Medicine&lt;/full-title&gt;&lt;/periodical&gt;&lt;pages&gt;237-245&lt;/pages&gt;&lt;volume&gt;51&lt;/volume&gt;&lt;number&gt;2&lt;/number&gt;&lt;dates&gt;&lt;year&gt;2010&lt;/year&gt;&lt;/dates&gt;&lt;isbn&gt;0161-5505&lt;/isbn&gt;&lt;urls&gt;&lt;/urls&gt;&lt;electronic-resource-num&gt;10.2967/jnumed.109.068098&lt;/electronic-resource-num&gt;&lt;/record&gt;&lt;/Cite&gt;&lt;/EndNote&gt;</w:instrText>
      </w:r>
      <w:r w:rsidR="009B6816" w:rsidRPr="002D7C36">
        <w:fldChar w:fldCharType="separate"/>
      </w:r>
      <w:r w:rsidRPr="002D7C36">
        <w:t>(</w:t>
      </w:r>
      <w:hyperlink w:anchor="_ENREF_48" w:tooltip="Karp, 2008 #66" w:history="1">
        <w:r w:rsidR="007704DB" w:rsidRPr="002D7C36">
          <w:t>Karp, Surti et al. 2008</w:t>
        </w:r>
      </w:hyperlink>
      <w:r w:rsidRPr="002D7C36">
        <w:t xml:space="preserve">; </w:t>
      </w:r>
      <w:hyperlink w:anchor="_ENREF_51" w:tooltip="Lois, 2010 #65" w:history="1">
        <w:r w:rsidR="007704DB" w:rsidRPr="002D7C36">
          <w:t>Lois, Jakoby et al. 2010</w:t>
        </w:r>
      </w:hyperlink>
      <w:r w:rsidRPr="002D7C36">
        <w:t>)</w:t>
      </w:r>
      <w:r w:rsidR="009B6816" w:rsidRPr="002D7C36">
        <w:fldChar w:fldCharType="end"/>
      </w:r>
      <w:r w:rsidRPr="002D7C36">
        <w:t>, and from PSF due to more uniform spatial resolution</w:t>
      </w:r>
      <w:r w:rsidR="00B26399">
        <w:t xml:space="preserve"> which enhances small foci of uptake, especially at large radial distances</w:t>
      </w:r>
      <w:r w:rsidRPr="002D7C36">
        <w:t xml:space="preserve"> </w:t>
      </w:r>
      <w:r w:rsidR="009B6816" w:rsidRPr="002D7C36">
        <w:fldChar w:fldCharType="begin"/>
      </w:r>
      <w:r w:rsidR="000F64FB">
        <w:instrText xml:space="preserve"> ADDIN EN.CITE &lt;EndNote&gt;&lt;Cite&gt;&lt;Author&gt;Casey&lt;/Author&gt;&lt;Year&gt;2007&lt;/Year&gt;&lt;RecNum&gt;103&lt;/RecNum&gt;&lt;DisplayText&gt;(Casey 2007; Tong, Alessio et al. 2010)&lt;/DisplayText&gt;&lt;record&gt;&lt;rec-number&gt;103&lt;/rec-number&gt;&lt;foreign-keys&gt;&lt;key app="EN" db-id="srwv9ppvvez5pgefxzi5ddeve5w2fe5x5esr"&gt;103&lt;/key&gt;&lt;/foreign-keys&gt;&lt;ref-type name="Journal Article"&gt;17&lt;/ref-type&gt;&lt;contributors&gt;&lt;authors&gt;&lt;author&gt;Casey, ME&lt;/author&gt;&lt;/authors&gt;&lt;/contributors&gt;&lt;titles&gt;&lt;title&gt;Point spread function reconstruction in PET&lt;/title&gt;&lt;secondary-title&gt;Siemens Medical Solution, Knoxville, USA&lt;/secondary-title&gt;&lt;/titles&gt;&lt;dates&gt;&lt;year&gt;2007&lt;/year&gt;&lt;/dates&gt;&lt;urls&gt;&lt;/urls&gt;&lt;/record&gt;&lt;/Cite&gt;&lt;Cite&gt;&lt;Author&gt;Tong&lt;/Author&gt;&lt;Year&gt;2010&lt;/Year&gt;&lt;RecNum&gt;297&lt;/RecNum&gt;&lt;record&gt;&lt;rec-number&gt;297&lt;/rec-number&gt;&lt;foreign-keys&gt;&lt;key app="EN" db-id="srwv9ppvvez5pgefxzi5ddeve5w2fe5x5esr"&gt;297&lt;/key&gt;&lt;/foreign-keys&gt;&lt;ref-type name="Journal Article"&gt;17&lt;/ref-type&gt;&lt;contributors&gt;&lt;authors&gt;&lt;author&gt;Tong, S.&lt;/author&gt;&lt;author&gt;Alessio, AM&lt;/author&gt;&lt;author&gt;Kinahan, PE&lt;/author&gt;&lt;/authors&gt;&lt;/contributors&gt;&lt;titles&gt;&lt;title&gt;Noise and signal properties in PSF-based fully 3D PET image reconstruction: an experimental evaluation&lt;/title&gt;&lt;secondary-title&gt;Physics in Medicine and Biology&lt;/secondary-title&gt;&lt;/titles&gt;&lt;periodical&gt;&lt;full-title&gt;Physics in medicine and biology&lt;/full-title&gt;&lt;/periodical&gt;&lt;pages&gt;1453-1473&lt;/pages&gt;&lt;volume&gt;55&lt;/volume&gt;&lt;dates&gt;&lt;year&gt;2010&lt;/year&gt;&lt;/dates&gt;&lt;urls&gt;&lt;/urls&gt;&lt;/record&gt;&lt;/Cite&gt;&lt;/EndNote&gt;</w:instrText>
      </w:r>
      <w:r w:rsidR="009B6816" w:rsidRPr="002D7C36">
        <w:fldChar w:fldCharType="separate"/>
      </w:r>
      <w:r w:rsidRPr="002D7C36">
        <w:rPr>
          <w:noProof/>
        </w:rPr>
        <w:t>(</w:t>
      </w:r>
      <w:hyperlink w:anchor="_ENREF_22" w:tooltip="Casey, 2007 #103" w:history="1">
        <w:r w:rsidR="007704DB" w:rsidRPr="002D7C36">
          <w:rPr>
            <w:noProof/>
          </w:rPr>
          <w:t>Casey 2007</w:t>
        </w:r>
      </w:hyperlink>
      <w:r w:rsidRPr="002D7C36">
        <w:rPr>
          <w:noProof/>
        </w:rPr>
        <w:t xml:space="preserve">; </w:t>
      </w:r>
      <w:hyperlink w:anchor="_ENREF_77" w:tooltip="Tong, 2010 #297" w:history="1">
        <w:r w:rsidR="007704DB" w:rsidRPr="002D7C36">
          <w:rPr>
            <w:noProof/>
          </w:rPr>
          <w:t>Tong, Alessio et al. 2010</w:t>
        </w:r>
      </w:hyperlink>
      <w:r w:rsidRPr="002D7C36">
        <w:rPr>
          <w:noProof/>
        </w:rPr>
        <w:t>)</w:t>
      </w:r>
      <w:r w:rsidR="009B6816" w:rsidRPr="002D7C36">
        <w:fldChar w:fldCharType="end"/>
      </w:r>
      <w:r w:rsidRPr="002D7C36">
        <w:t xml:space="preserve">.  Little work has been done, however, to </w:t>
      </w:r>
      <w:r w:rsidRPr="002D7C36">
        <w:rPr>
          <w:i/>
        </w:rPr>
        <w:t>objectively</w:t>
      </w:r>
      <w:r w:rsidRPr="002D7C36">
        <w:t xml:space="preserve"> assess the impact of these benefits for lesion detection in clinical whole-body </w:t>
      </w:r>
      <w:r w:rsidRPr="002D7C36">
        <w:rPr>
          <w:vertAlign w:val="superscript"/>
        </w:rPr>
        <w:t>18</w:t>
      </w:r>
      <w:r w:rsidRPr="002D7C36">
        <w:t>F-FDG oncological studies</w:t>
      </w:r>
      <w:r w:rsidR="00B26399">
        <w:t xml:space="preserve"> </w:t>
      </w:r>
      <w:r w:rsidR="009B6816">
        <w:fldChar w:fldCharType="begin"/>
      </w:r>
      <w:r w:rsidR="00B26399">
        <w:instrText xml:space="preserve"> ADDIN EN.CITE &lt;EndNote&gt;&lt;Cite&gt;&lt;Author&gt;Surti&lt;/Author&gt;&lt;Year&gt;2011&lt;/Year&gt;&lt;RecNum&gt;301&lt;/RecNum&gt;&lt;DisplayText&gt;(Surti, Scheuermann et al. 2011)&lt;/DisplayText&gt;&lt;record&gt;&lt;rec-number&gt;301&lt;/rec-number&gt;&lt;foreign-keys&gt;&lt;key app="EN" db-id="srwv9ppvvez5pgefxzi5ddeve5w2fe5x5esr"&gt;301&lt;/key&gt;&lt;/foreign-keys&gt;&lt;ref-type name="Journal Article"&gt;17&lt;/ref-type&gt;&lt;contributors&gt;&lt;authors&gt;&lt;author&gt;Surti, S.&lt;/author&gt;&lt;author&gt;Scheuermann, J.&lt;/author&gt;&lt;author&gt;El Fakhri, G.&lt;/author&gt;&lt;author&gt;Daube-Witherspoon, M.E.&lt;/author&gt;&lt;author&gt;Lim, R.&lt;/author&gt;&lt;author&gt;Abi-Hatem, N.&lt;/author&gt;&lt;author&gt;Moussallem, E.&lt;/author&gt;&lt;author&gt;Benard, F.&lt;/author&gt;&lt;author&gt;Mankoff, D.&lt;/author&gt;&lt;author&gt;Karp, J.S.&lt;/author&gt;&lt;/authors&gt;&lt;/contributors&gt;&lt;titles&gt;&lt;title&gt;Impact of Time-of-Flight PET on Whole-Body Oncologic Studies: A Human Observer Lesion Detection and Localization Study&lt;/title&gt;&lt;secondary-title&gt;Journal of Nuclear Medicine&lt;/secondary-title&gt;&lt;/titles&gt;&lt;periodical&gt;&lt;full-title&gt;Journal of Nuclear Medicine&lt;/full-title&gt;&lt;/periodical&gt;&lt;pages&gt;712-719&lt;/pages&gt;&lt;volume&gt;52&lt;/volume&gt;&lt;number&gt;5&lt;/number&gt;&lt;dates&gt;&lt;year&gt;2011&lt;/year&gt;&lt;/dates&gt;&lt;isbn&gt;0161-5505&lt;/isbn&gt;&lt;urls&gt;&lt;/urls&gt;&lt;/record&gt;&lt;/Cite&gt;&lt;/EndNote&gt;</w:instrText>
      </w:r>
      <w:r w:rsidR="009B6816">
        <w:fldChar w:fldCharType="separate"/>
      </w:r>
      <w:r w:rsidR="00B26399">
        <w:rPr>
          <w:noProof/>
        </w:rPr>
        <w:t>(</w:t>
      </w:r>
      <w:hyperlink w:anchor="_ENREF_73" w:tooltip="Surti, 2011 #301" w:history="1">
        <w:r w:rsidR="007704DB">
          <w:rPr>
            <w:noProof/>
          </w:rPr>
          <w:t>Surti, Scheuermann et al. 2011</w:t>
        </w:r>
      </w:hyperlink>
      <w:r w:rsidR="00B26399">
        <w:rPr>
          <w:noProof/>
        </w:rPr>
        <w:t>)</w:t>
      </w:r>
      <w:r w:rsidR="009B6816">
        <w:fldChar w:fldCharType="end"/>
      </w:r>
      <w:r w:rsidRPr="002D7C36">
        <w:t xml:space="preserve">.  This is partly </w:t>
      </w:r>
      <w:r w:rsidRPr="002D7C36">
        <w:lastRenderedPageBreak/>
        <w:t xml:space="preserve">because of the complications in translating realistic tasks into the experimental setting and the difficulty in performing a study on sufficient patient numbers to ensure statistical power </w:t>
      </w:r>
      <w:r w:rsidR="009B6816" w:rsidRPr="002D7C36">
        <w:fldChar w:fldCharType="begin"/>
      </w:r>
      <w:r w:rsidR="000F64FB">
        <w:instrText xml:space="preserve"> ADDIN EN.CITE &lt;EndNote&gt;&lt;Cite&gt;&lt;Author&gt;El Fakhri&lt;/Author&gt;&lt;Year&gt;2011&lt;/Year&gt;&lt;RecNum&gt;268&lt;/RecNum&gt;&lt;DisplayText&gt;(El Fakhri, Surti et al. 2011)&lt;/DisplayText&gt;&lt;record&gt;&lt;rec-number&gt;268&lt;/rec-number&gt;&lt;foreign-keys&gt;&lt;key app="EN" db-id="srwv9ppvvez5pgefxzi5ddeve5w2fe5x5esr"&gt;268&lt;/key&gt;&lt;/foreign-keys&gt;&lt;ref-type name="Journal Article"&gt;17&lt;/ref-type&gt;&lt;contributors&gt;&lt;authors&gt;&lt;author&gt;El Fakhri, G.&lt;/author&gt;&lt;author&gt;Surti, S.&lt;/author&gt;&lt;author&gt;Trott, C.M.&lt;/author&gt;&lt;author&gt;Scheuermann, J.&lt;/author&gt;&lt;author&gt;Karp, J.S.&lt;/author&gt;&lt;/authors&gt;&lt;/contributors&gt;&lt;titles&gt;&lt;title&gt;Improvement in lesion detection with whole-body oncologic time-of-flight PET&lt;/title&gt;&lt;secondary-title&gt;Journal of Nuclear Medicine&lt;/secondary-title&gt;&lt;/titles&gt;&lt;periodical&gt;&lt;full-title&gt;Journal of Nuclear Medicine&lt;/full-title&gt;&lt;/periodical&gt;&lt;pages&gt;347-353&lt;/pages&gt;&lt;volume&gt;52&lt;/volume&gt;&lt;number&gt;3&lt;/number&gt;&lt;dates&gt;&lt;year&gt;2011&lt;/year&gt;&lt;/dates&gt;&lt;isbn&gt;0161-5505&lt;/isbn&gt;&lt;urls&gt;&lt;/urls&gt;&lt;/record&gt;&lt;/Cite&gt;&lt;/EndNote&gt;</w:instrText>
      </w:r>
      <w:r w:rsidR="009B6816" w:rsidRPr="002D7C36">
        <w:fldChar w:fldCharType="separate"/>
      </w:r>
      <w:r w:rsidRPr="002D7C36">
        <w:rPr>
          <w:noProof/>
        </w:rPr>
        <w:t>(</w:t>
      </w:r>
      <w:hyperlink w:anchor="_ENREF_31" w:tooltip="El Fakhri, 2011 #268" w:history="1">
        <w:r w:rsidR="007704DB" w:rsidRPr="002D7C36">
          <w:rPr>
            <w:noProof/>
          </w:rPr>
          <w:t>El Fakhri, Surti et al. 2011</w:t>
        </w:r>
      </w:hyperlink>
      <w:r w:rsidRPr="002D7C36">
        <w:rPr>
          <w:noProof/>
        </w:rPr>
        <w:t>)</w:t>
      </w:r>
      <w:r w:rsidR="009B6816" w:rsidRPr="002D7C36">
        <w:fldChar w:fldCharType="end"/>
      </w:r>
      <w:r w:rsidRPr="002D7C36">
        <w:t xml:space="preserve">. </w:t>
      </w:r>
    </w:p>
    <w:p w:rsidR="00B26399" w:rsidRPr="00B26399" w:rsidRDefault="00C225CC" w:rsidP="00B26399">
      <w:pPr>
        <w:numPr>
          <w:ilvl w:val="12"/>
          <w:numId w:val="0"/>
        </w:numPr>
        <w:spacing w:line="480" w:lineRule="auto"/>
        <w:ind w:firstLine="720"/>
      </w:pPr>
      <w:r w:rsidRPr="00C225CC">
        <w:t>A rigorous evaluation methodology was developed to quantify the benefit of these new reconstruction models in a real lesion detection task using both human and mathematical observers.  Three physicians (2 board-certified nuclear medicine physicians and 1 radiologist certified in nuclear medicine) were recruited for the study.  The use of actual patient data accounted for the wide range of realistic subject volumes and physiological variability that exist in the clinical setting; the addition of known signals provided a gold standard for the detection task.</w:t>
      </w:r>
      <w:r w:rsidR="00B26399" w:rsidRPr="00B26399">
        <w:rPr>
          <w:sz w:val="22"/>
          <w:szCs w:val="22"/>
        </w:rPr>
        <w:t xml:space="preserve"> </w:t>
      </w:r>
    </w:p>
    <w:p w:rsidR="00C225CC" w:rsidRDefault="00B26399" w:rsidP="00C225CC">
      <w:pPr>
        <w:numPr>
          <w:ilvl w:val="12"/>
          <w:numId w:val="0"/>
        </w:numPr>
        <w:spacing w:line="480" w:lineRule="auto"/>
        <w:ind w:firstLine="720"/>
      </w:pPr>
      <w:r w:rsidRPr="00B26399">
        <w:t>Additionally, the performances of eight mathematical observer models will be evaluated in a localization task and compared to those of the physicians.  Non</w:t>
      </w:r>
      <w:r w:rsidR="00DA3D1A">
        <w:t>-</w:t>
      </w:r>
      <w:r w:rsidRPr="00B26399">
        <w:t xml:space="preserve">prewhitening and Hotelling (with internal noise) schemes are used, each with 4 channel configurations. </w:t>
      </w:r>
    </w:p>
    <w:p w:rsidR="00F974C2" w:rsidRPr="00C225CC" w:rsidRDefault="00C225CC" w:rsidP="00F974C2">
      <w:pPr>
        <w:pStyle w:val="Heading2"/>
      </w:pPr>
      <w:bookmarkStart w:id="80" w:name="_Toc351890020"/>
      <w:r>
        <w:t>Background</w:t>
      </w:r>
      <w:bookmarkEnd w:id="80"/>
    </w:p>
    <w:p w:rsidR="00F974C2" w:rsidRPr="00C225CC" w:rsidRDefault="00F974C2" w:rsidP="00F974C2">
      <w:pPr>
        <w:numPr>
          <w:ilvl w:val="12"/>
          <w:numId w:val="0"/>
        </w:numPr>
        <w:spacing w:line="480" w:lineRule="auto"/>
        <w:ind w:firstLine="720"/>
      </w:pPr>
      <w:r w:rsidRPr="00C225CC">
        <w:t xml:space="preserve">This work aims to assess the added utility of both TOF and PSF reconstructions in the detection of lesions of varying contrast placed at different anatomical locations.  The hypothesis is that the enhancement of the visibility of small foci when employing the combination of both models is superior to that when using either independently or neither </w:t>
      </w:r>
      <w:r w:rsidR="009B6816" w:rsidRPr="00C225CC">
        <w:fldChar w:fldCharType="begin"/>
      </w:r>
      <w:r w:rsidRPr="00C225CC">
        <w:instrText xml:space="preserve"> ADDIN EN.CITE &lt;EndNote&gt;&lt;Cite&gt;&lt;Author&gt;Kadrmas&lt;/Author&gt;&lt;Year&gt;2009&lt;/Year&gt;&lt;RecNum&gt;44&lt;/RecNum&gt;&lt;DisplayText&gt;(Kadrmas, Casey et al. 2009)&lt;/DisplayText&gt;&lt;record&gt;&lt;rec-number&gt;44&lt;/rec-number&gt;&lt;foreign-keys&gt;&lt;key app="EN" db-id="srwv9ppvvez5pgefxzi5ddeve5w2fe5x5esr"&gt;44&lt;/key&gt;&lt;/foreign-keys&gt;&lt;ref-type name="Journal Article"&gt;17&lt;/ref-type&gt;&lt;contributors&gt;&lt;authors&gt;&lt;author&gt;Kadrmas, D. J.&lt;/author&gt;&lt;author&gt;Casey, M. E.&lt;/author&gt;&lt;author&gt;Conti, M.&lt;/author&gt;&lt;author&gt;Jakoby, B. W.&lt;/author&gt;&lt;author&gt;Lois, C.&lt;/author&gt;&lt;author&gt;Townsend, D. W.&lt;/author&gt;&lt;/authors&gt;&lt;/contributors&gt;&lt;titles&gt;&lt;title&gt;Impact of Time-of-Flight on PET Tumor Detection&lt;/title&gt;&lt;secondary-title&gt;Journal of Nuclear Medicine&lt;/secondary-title&gt;&lt;/titles&gt;&lt;periodical&gt;&lt;full-title&gt;Journal of Nuclear Medicine&lt;/full-title&gt;&lt;/periodical&gt;&lt;pages&gt;1315-1323&lt;/pages&gt;&lt;volume&gt;50&lt;/volume&gt;&lt;number&gt;8&lt;/number&gt;&lt;dates&gt;&lt;year&gt;2009&lt;/year&gt;&lt;/dates&gt;&lt;isbn&gt;0161-5505&lt;/isbn&gt;&lt;urls&gt;&lt;/urls&gt;&lt;electronic-resource-num&gt;10.2967/jnumed.109.063016&lt;/electronic-resource-num&gt;&lt;/record&gt;&lt;/Cite&gt;&lt;/EndNote&gt;</w:instrText>
      </w:r>
      <w:r w:rsidR="009B6816" w:rsidRPr="00C225CC">
        <w:fldChar w:fldCharType="separate"/>
      </w:r>
      <w:r w:rsidRPr="00C225CC">
        <w:t>(</w:t>
      </w:r>
      <w:hyperlink w:anchor="_ENREF_46" w:tooltip="Kadrmas, 2009 #44" w:history="1">
        <w:r w:rsidR="007704DB" w:rsidRPr="00C225CC">
          <w:t>Kadrmas, Casey et al. 2009</w:t>
        </w:r>
      </w:hyperlink>
      <w:r w:rsidRPr="00C225CC">
        <w:t>)</w:t>
      </w:r>
      <w:r w:rsidR="009B6816" w:rsidRPr="00C225CC">
        <w:fldChar w:fldCharType="end"/>
      </w:r>
      <w:r w:rsidRPr="00C225CC">
        <w:t xml:space="preserve">, and that these effects are amplified for weaker signals and in larger patients </w:t>
      </w:r>
      <w:r w:rsidR="009B6816" w:rsidRPr="00C225CC">
        <w:fldChar w:fldCharType="begin"/>
      </w:r>
      <w:r w:rsidRPr="00C225CC">
        <w:instrText xml:space="preserve"> ADDIN EN.CITE &lt;EndNote&gt;&lt;Cite&gt;&lt;Author&gt;Surti&lt;/Author&gt;&lt;Year&gt;2009&lt;/Year&gt;&lt;RecNum&gt;43&lt;/RecNum&gt;&lt;DisplayText&gt;(Surti and Karp 2009)&lt;/DisplayText&gt;&lt;record&gt;&lt;rec-number&gt;43&lt;/rec-number&gt;&lt;foreign-keys&gt;&lt;key app="EN" db-id="srwv9ppvvez5pgefxzi5ddeve5w2fe5x5esr"&gt;43&lt;/key&gt;&lt;/foreign-keys&gt;&lt;ref-type name="Journal Article"&gt;17&lt;/ref-type&gt;&lt;contributors&gt;&lt;authors&gt;&lt;author&gt;Surti, S.&lt;/author&gt;&lt;author&gt;Karp, J. S.&lt;/author&gt;&lt;/authors&gt;&lt;/contributors&gt;&lt;titles&gt;&lt;title&gt;Experimental evaluation of a simple lesion detection task with time-of-flight PET&lt;/title&gt;&lt;secondary-title&gt;Physics in Medicine and Biology&lt;/secondary-title&gt;&lt;/titles&gt;&lt;periodical&gt;&lt;full-title&gt;Physics in medicine and biology&lt;/full-title&gt;&lt;/periodical&gt;&lt;pages&gt;373-384&lt;/pages&gt;&lt;volume&gt;54&lt;/volume&gt;&lt;number&gt;2&lt;/number&gt;&lt;dates&gt;&lt;year&gt;2009&lt;/year&gt;&lt;/dates&gt;&lt;isbn&gt;0031-9155&amp;#xD;1361-6560&lt;/isbn&gt;&lt;urls&gt;&lt;/urls&gt;&lt;electronic-resource-num&gt;10.1088/0031-9155/54/2/013&lt;/electronic-resource-num&gt;&lt;/record&gt;&lt;/Cite&gt;&lt;/EndNote&gt;</w:instrText>
      </w:r>
      <w:r w:rsidR="009B6816" w:rsidRPr="00C225CC">
        <w:fldChar w:fldCharType="separate"/>
      </w:r>
      <w:r w:rsidRPr="00C225CC">
        <w:t>(</w:t>
      </w:r>
      <w:hyperlink w:anchor="_ENREF_72" w:tooltip="Surti, 2009 #43" w:history="1">
        <w:r w:rsidR="007704DB" w:rsidRPr="00C225CC">
          <w:t>Surti and Karp 2009</w:t>
        </w:r>
      </w:hyperlink>
      <w:r w:rsidRPr="00C225CC">
        <w:t>)</w:t>
      </w:r>
      <w:r w:rsidR="009B6816" w:rsidRPr="00C225CC">
        <w:fldChar w:fldCharType="end"/>
      </w:r>
      <w:r w:rsidRPr="00C225CC">
        <w:t xml:space="preserve">.  </w:t>
      </w:r>
    </w:p>
    <w:p w:rsidR="00913F5E" w:rsidRDefault="00E01AF9" w:rsidP="003B0285">
      <w:pPr>
        <w:numPr>
          <w:ilvl w:val="12"/>
          <w:numId w:val="0"/>
        </w:numPr>
        <w:spacing w:line="480" w:lineRule="auto"/>
        <w:ind w:firstLine="720"/>
      </w:pPr>
      <w:r>
        <w:lastRenderedPageBreak/>
        <w:t>P</w:t>
      </w:r>
      <w:r w:rsidR="00F430A2" w:rsidRPr="00924402">
        <w:t>hantoms are used to measure detectability performance because the physical geometry and exact concentration of the activity distribution is known</w:t>
      </w:r>
      <w:r w:rsidR="001253D2">
        <w:t>.  H</w:t>
      </w:r>
      <w:r w:rsidR="00F974C2">
        <w:t>owever</w:t>
      </w:r>
      <w:r w:rsidR="001253D2">
        <w:t>,</w:t>
      </w:r>
      <w:r w:rsidR="00F974C2">
        <w:t xml:space="preserve"> this</w:t>
      </w:r>
      <w:r w:rsidR="00F430A2" w:rsidRPr="00924402">
        <w:t xml:space="preserve"> </w:t>
      </w:r>
      <w:r w:rsidR="00F974C2">
        <w:t xml:space="preserve">neglects many </w:t>
      </w:r>
      <w:r>
        <w:t xml:space="preserve">of the </w:t>
      </w:r>
      <w:r w:rsidR="00F974C2">
        <w:t>complexities that exist in the</w:t>
      </w:r>
      <w:r w:rsidR="003B0285">
        <w:t xml:space="preserve"> </w:t>
      </w:r>
      <w:r w:rsidR="00F430A2" w:rsidRPr="00924402">
        <w:t>clinic</w:t>
      </w:r>
      <w:r w:rsidR="00F430A2">
        <w:t xml:space="preserve">.  </w:t>
      </w:r>
      <w:r w:rsidR="00B63012">
        <w:t>The current</w:t>
      </w:r>
      <w:r w:rsidR="00F430A2">
        <w:t xml:space="preserve"> experiment implement</w:t>
      </w:r>
      <w:r w:rsidR="000E55D7">
        <w:t>s</w:t>
      </w:r>
      <w:r w:rsidR="00F430A2">
        <w:t xml:space="preserve"> a recent method of</w:t>
      </w:r>
      <w:r w:rsidR="00160F3A">
        <w:t xml:space="preserve"> statistically</w:t>
      </w:r>
      <w:r w:rsidR="00F430A2">
        <w:t xml:space="preserve"> inserting small spherical volumes of known activity into actual patient scans</w:t>
      </w:r>
      <w:r w:rsidR="00461531">
        <w:t xml:space="preserve"> </w:t>
      </w:r>
      <w:r w:rsidR="009B6816">
        <w:fldChar w:fldCharType="begin"/>
      </w:r>
      <w:r w:rsidR="002D7C36">
        <w:instrText xml:space="preserve"> ADDIN EN.CITE &lt;EndNote&gt;&lt;Cite&gt;&lt;Author&gt;El Fakhri&lt;/Author&gt;&lt;Year&gt;2007&lt;/Year&gt;&lt;RecNum&gt;33&lt;/RecNum&gt;&lt;DisplayText&gt;(El Fakhri, Santos et al. 2007)&lt;/DisplayText&gt;&lt;record&gt;&lt;rec-number&gt;33&lt;/rec-number&gt;&lt;foreign-keys&gt;&lt;key app="EN" db-id="srwv9ppvvez5pgefxzi5ddeve5w2fe5x5esr"&gt;33&lt;/key&gt;&lt;/foreign-keys&gt;&lt;ref-type name="Journal Article"&gt;17&lt;/ref-type&gt;&lt;contributors&gt;&lt;authors&gt;&lt;author&gt;El Fakhri, G.&lt;/author&gt;&lt;author&gt;Santos, P. A.&lt;/author&gt;&lt;author&gt;Badawi, R. D.&lt;/author&gt;&lt;author&gt;Holdsworth, C. H.&lt;/author&gt;&lt;author&gt;Van Den Abbeele, A. D.&lt;/author&gt;&lt;author&gt;Kijewski, M. F.&lt;/author&gt;&lt;/authors&gt;&lt;/contributors&gt;&lt;titles&gt;&lt;title&gt;Impact of Acquisition Geometry, Image Processing, and Patient Size on Lesion Detection in Whole-Body 18F-FDG PET&lt;/title&gt;&lt;secondary-title&gt;Journal of Nuclear Medicine&lt;/secondary-title&gt;&lt;/titles&gt;&lt;periodical&gt;&lt;full-title&gt;Journal of Nuclear Medicine&lt;/full-title&gt;&lt;/periodical&gt;&lt;pages&gt;1951-1960&lt;/pages&gt;&lt;volume&gt;48&lt;/volume&gt;&lt;number&gt;12&lt;/number&gt;&lt;dates&gt;&lt;year&gt;2007&lt;/year&gt;&lt;/dates&gt;&lt;isbn&gt;0161-5505&lt;/isbn&gt;&lt;urls&gt;&lt;/urls&gt;&lt;electronic-resource-num&gt;10.2967/jnumed.108.007369&lt;/electronic-resource-num&gt;&lt;/record&gt;&lt;/Cite&gt;&lt;/EndNote&gt;</w:instrText>
      </w:r>
      <w:r w:rsidR="009B6816">
        <w:fldChar w:fldCharType="separate"/>
      </w:r>
      <w:r w:rsidR="00B63012">
        <w:rPr>
          <w:noProof/>
        </w:rPr>
        <w:t>(</w:t>
      </w:r>
      <w:hyperlink w:anchor="_ENREF_30" w:tooltip="El Fakhri, 2007 #33" w:history="1">
        <w:r w:rsidR="007704DB">
          <w:rPr>
            <w:noProof/>
          </w:rPr>
          <w:t>El Fakhri, Santos et al. 2007</w:t>
        </w:r>
      </w:hyperlink>
      <w:r w:rsidR="00B63012">
        <w:rPr>
          <w:noProof/>
        </w:rPr>
        <w:t>)</w:t>
      </w:r>
      <w:r w:rsidR="009B6816">
        <w:fldChar w:fldCharType="end"/>
      </w:r>
      <w:r w:rsidR="00461531">
        <w:t>,</w:t>
      </w:r>
      <w:r w:rsidR="00F430A2" w:rsidRPr="00924402">
        <w:t xml:space="preserve"> providing a rigorous, highly reproducible method of testing</w:t>
      </w:r>
      <w:r w:rsidR="00F430A2">
        <w:t xml:space="preserve">.  </w:t>
      </w:r>
    </w:p>
    <w:p w:rsidR="003B0285" w:rsidRDefault="00392288" w:rsidP="003B0285">
      <w:pPr>
        <w:numPr>
          <w:ilvl w:val="12"/>
          <w:numId w:val="0"/>
        </w:numPr>
        <w:spacing w:line="480" w:lineRule="auto"/>
        <w:ind w:firstLine="720"/>
      </w:pPr>
      <w:r w:rsidRPr="00E12C8A">
        <w:t xml:space="preserve">The combination of real clinical data with </w:t>
      </w:r>
      <w:r w:rsidR="00B63012">
        <w:t xml:space="preserve">that of </w:t>
      </w:r>
      <w:r w:rsidRPr="00E12C8A">
        <w:t>simulated lesions</w:t>
      </w:r>
      <w:r w:rsidR="00913F5E">
        <w:t xml:space="preserve"> reduces the complexities associated with a problematical clinical evaluation to those of a simple</w:t>
      </w:r>
      <w:r w:rsidR="00CC0B3D">
        <w:t xml:space="preserve"> signal detection</w:t>
      </w:r>
      <w:r w:rsidR="00913F5E">
        <w:t xml:space="preserve"> </w:t>
      </w:r>
      <w:r w:rsidR="00CC0B3D">
        <w:t>task, in which the signal is known statistically (</w:t>
      </w:r>
      <w:r w:rsidR="00344105">
        <w:t>SKS</w:t>
      </w:r>
      <w:r w:rsidR="00CC0B3D">
        <w:t>), but its location is not</w:t>
      </w:r>
      <w:r w:rsidR="00913F5E">
        <w:t>.  It</w:t>
      </w:r>
      <w:r w:rsidRPr="00E12C8A">
        <w:t xml:space="preserve"> allows complete control over the signal to background contrast</w:t>
      </w:r>
      <w:r w:rsidR="00B63012">
        <w:t xml:space="preserve"> ratios</w:t>
      </w:r>
      <w:r w:rsidR="00413F34">
        <w:t xml:space="preserve">, and it provides a gold standard for </w:t>
      </w:r>
      <w:r w:rsidR="001253D2">
        <w:t>the</w:t>
      </w:r>
      <w:r w:rsidR="00413F34">
        <w:t xml:space="preserve"> classification task</w:t>
      </w:r>
      <w:r w:rsidRPr="00E12C8A">
        <w:t xml:space="preserve">.  </w:t>
      </w:r>
      <w:r w:rsidR="00AC6D40">
        <w:t xml:space="preserve">This </w:t>
      </w:r>
      <w:r w:rsidR="00B63012">
        <w:t xml:space="preserve">combines </w:t>
      </w:r>
      <w:r w:rsidR="00413F34">
        <w:t xml:space="preserve">the control of a phantom </w:t>
      </w:r>
      <w:r w:rsidR="00AC6D40">
        <w:t>and</w:t>
      </w:r>
      <w:r w:rsidR="00413F34">
        <w:t xml:space="preserve"> the realism of a patient</w:t>
      </w:r>
      <w:r w:rsidR="00F430A2">
        <w:t xml:space="preserve"> to investigate the performance of different reconstruction algorithms</w:t>
      </w:r>
      <w:r w:rsidR="00413F34">
        <w:t>.</w:t>
      </w:r>
    </w:p>
    <w:p w:rsidR="003B0285" w:rsidRDefault="003B0285" w:rsidP="003B0285">
      <w:pPr>
        <w:numPr>
          <w:ilvl w:val="12"/>
          <w:numId w:val="0"/>
        </w:numPr>
        <w:spacing w:line="480" w:lineRule="auto"/>
        <w:ind w:firstLine="720"/>
      </w:pPr>
      <w:r w:rsidRPr="00E12C8A">
        <w:t xml:space="preserve">A full range of contrast ratios will be analyzed using both human and </w:t>
      </w:r>
      <w:r>
        <w:t>mathematical</w:t>
      </w:r>
      <w:r w:rsidRPr="00E12C8A">
        <w:t xml:space="preserve"> </w:t>
      </w:r>
      <w:r>
        <w:t>observers</w:t>
      </w:r>
      <w:r w:rsidR="00913F5E">
        <w:t xml:space="preserve">, providing a </w:t>
      </w:r>
      <w:r>
        <w:t>wide range of observer confidence sampling</w:t>
      </w:r>
      <w:r w:rsidR="00913F5E">
        <w:t xml:space="preserve"> for characterizing ROC performance</w:t>
      </w:r>
      <w:r>
        <w:t xml:space="preserve">.  </w:t>
      </w:r>
      <w:r w:rsidR="00913F5E">
        <w:t>F</w:t>
      </w:r>
      <w:r w:rsidR="00913F5E" w:rsidRPr="00E12C8A">
        <w:t>urthermore</w:t>
      </w:r>
      <w:r w:rsidRPr="00E12C8A">
        <w:t xml:space="preserve"> the performance of the model observer</w:t>
      </w:r>
      <w:r>
        <w:t>s</w:t>
      </w:r>
      <w:r w:rsidRPr="00E12C8A">
        <w:t xml:space="preserve"> will be </w:t>
      </w:r>
      <w:r w:rsidR="00344105">
        <w:t xml:space="preserve">compared to and </w:t>
      </w:r>
      <w:r w:rsidR="00913F5E">
        <w:t>validated by</w:t>
      </w:r>
      <w:r w:rsidRPr="00E12C8A">
        <w:t xml:space="preserve"> </w:t>
      </w:r>
      <w:r>
        <w:t>that</w:t>
      </w:r>
      <w:r w:rsidRPr="00E12C8A">
        <w:t xml:space="preserve"> of the physicians.</w:t>
      </w:r>
      <w:r w:rsidR="00B26399">
        <w:t xml:space="preserve">  </w:t>
      </w:r>
      <w:r w:rsidR="00F9285E">
        <w:t xml:space="preserve">This work is among the first </w:t>
      </w:r>
      <w:r w:rsidRPr="00DD14B0">
        <w:t xml:space="preserve">studies to investigate the benefit of TOF in lesion-detection tasks using actual clinical data.  This study is strongly motivated by the lack of research assessing the impact that the PSF model and TOF information </w:t>
      </w:r>
      <w:r>
        <w:t>has</w:t>
      </w:r>
      <w:r w:rsidRPr="00DD14B0">
        <w:t xml:space="preserve"> on improved patient care</w:t>
      </w:r>
      <w:r w:rsidR="00B26399">
        <w:t>.</w:t>
      </w:r>
    </w:p>
    <w:p w:rsidR="00241D1C" w:rsidRDefault="001253D2" w:rsidP="00241D1C">
      <w:pPr>
        <w:pStyle w:val="Heading2"/>
      </w:pPr>
      <w:bookmarkStart w:id="81" w:name="_Toc351890021"/>
      <w:r>
        <w:lastRenderedPageBreak/>
        <w:t>Previous Work</w:t>
      </w:r>
      <w:bookmarkEnd w:id="81"/>
    </w:p>
    <w:p w:rsidR="00241D1C" w:rsidRPr="00924402" w:rsidRDefault="00241D1C" w:rsidP="00241D1C">
      <w:pPr>
        <w:numPr>
          <w:ilvl w:val="12"/>
          <w:numId w:val="0"/>
        </w:numPr>
        <w:spacing w:line="480" w:lineRule="auto"/>
        <w:ind w:firstLine="720"/>
      </w:pPr>
      <w:r>
        <w:t xml:space="preserve">  The current</w:t>
      </w:r>
      <w:r w:rsidRPr="00924402">
        <w:t xml:space="preserve"> </w:t>
      </w:r>
      <w:r>
        <w:t>method of lesion simulation in patient data</w:t>
      </w:r>
      <w:r w:rsidRPr="00924402">
        <w:t xml:space="preserve"> was developed by</w:t>
      </w:r>
      <w:r>
        <w:t xml:space="preserve"> the group led by</w:t>
      </w:r>
      <w:r w:rsidRPr="00924402">
        <w:t xml:space="preserve"> El Fakhri at Massachusetts General Hospital</w:t>
      </w:r>
      <w:r>
        <w:t xml:space="preserve"> (MGH)</w:t>
      </w:r>
      <w:r w:rsidRPr="00924402">
        <w:t>.  It was validated through the use of a phantom study in which a 1.3cm-diameter sphere was filled with FDG and an elliptical phantom was also filled with a solution of FDG, with a contrast ratio of 2:1.</w:t>
      </w:r>
      <w:r w:rsidR="00121172">
        <w:t xml:space="preserve"> </w:t>
      </w:r>
      <w:r>
        <w:t xml:space="preserve"> </w:t>
      </w:r>
      <w:r w:rsidRPr="00924402">
        <w:t>The phantom was scanned both without and with the sphere positioned inside of it at an off-centered position.  Then the sphere was scanned in air at the same position mounted to the grid then added to the phantom in sinogram space.  The linear profiles of the images, as well as mean pixel noise and sphere-to-background contrast ratios were identical</w:t>
      </w:r>
      <w:r w:rsidR="00121172">
        <w:t xml:space="preserve"> </w:t>
      </w:r>
      <w:r w:rsidR="009B6816">
        <w:fldChar w:fldCharType="begin"/>
      </w:r>
      <w:r w:rsidR="002D7C36">
        <w:instrText xml:space="preserve"> ADDIN EN.CITE &lt;EndNote&gt;&lt;Cite&gt;&lt;Author&gt;El Fakhri&lt;/Author&gt;&lt;Year&gt;2007&lt;/Year&gt;&lt;RecNum&gt;33&lt;/RecNum&gt;&lt;DisplayText&gt;(El Fakhri, Santos et al. 2007)&lt;/DisplayText&gt;&lt;record&gt;&lt;rec-number&gt;33&lt;/rec-number&gt;&lt;foreign-keys&gt;&lt;key app="EN" db-id="srwv9ppvvez5pgefxzi5ddeve5w2fe5x5esr"&gt;33&lt;/key&gt;&lt;/foreign-keys&gt;&lt;ref-type name="Journal Article"&gt;17&lt;/ref-type&gt;&lt;contributors&gt;&lt;authors&gt;&lt;author&gt;El Fakhri, G.&lt;/author&gt;&lt;author&gt;Santos, P. A.&lt;/author&gt;&lt;author&gt;Badawi, R. D.&lt;/author&gt;&lt;author&gt;Holdsworth, C. H.&lt;/author&gt;&lt;author&gt;Van Den Abbeele, A. D.&lt;/author&gt;&lt;author&gt;Kijewski, M. F.&lt;/author&gt;&lt;/authors&gt;&lt;/contributors&gt;&lt;titles&gt;&lt;title&gt;Impact of Acquisition Geometry, Image Processing, and Patient Size on Lesion Detection in Whole-Body 18F-FDG PET&lt;/title&gt;&lt;secondary-title&gt;Journal of Nuclear Medicine&lt;/secondary-title&gt;&lt;/titles&gt;&lt;periodical&gt;&lt;full-title&gt;Journal of Nuclear Medicine&lt;/full-title&gt;&lt;/periodical&gt;&lt;pages&gt;1951-1960&lt;/pages&gt;&lt;volume&gt;48&lt;/volume&gt;&lt;number&gt;12&lt;/number&gt;&lt;dates&gt;&lt;year&gt;2007&lt;/year&gt;&lt;/dates&gt;&lt;isbn&gt;0161-5505&lt;/isbn&gt;&lt;urls&gt;&lt;/urls&gt;&lt;electronic-resource-num&gt;10.2967/jnumed.108.007369&lt;/electronic-resource-num&gt;&lt;/record&gt;&lt;/Cite&gt;&lt;/EndNote&gt;</w:instrText>
      </w:r>
      <w:r w:rsidR="009B6816">
        <w:fldChar w:fldCharType="separate"/>
      </w:r>
      <w:r w:rsidR="00121172">
        <w:rPr>
          <w:noProof/>
        </w:rPr>
        <w:t>(</w:t>
      </w:r>
      <w:hyperlink w:anchor="_ENREF_30" w:tooltip="El Fakhri, 2007 #33" w:history="1">
        <w:r w:rsidR="007704DB">
          <w:rPr>
            <w:noProof/>
          </w:rPr>
          <w:t>El Fakhri, Santos et al. 2007</w:t>
        </w:r>
      </w:hyperlink>
      <w:r w:rsidR="00121172">
        <w:rPr>
          <w:noProof/>
        </w:rPr>
        <w:t>)</w:t>
      </w:r>
      <w:r w:rsidR="009B6816">
        <w:fldChar w:fldCharType="end"/>
      </w:r>
      <w:r w:rsidR="00175A33">
        <w:t>.</w:t>
      </w:r>
    </w:p>
    <w:p w:rsidR="00241D1C" w:rsidRDefault="00121172" w:rsidP="00241D1C">
      <w:pPr>
        <w:numPr>
          <w:ilvl w:val="12"/>
          <w:numId w:val="0"/>
        </w:numPr>
        <w:spacing w:line="480" w:lineRule="auto"/>
        <w:ind w:firstLine="720"/>
      </w:pPr>
      <w:r>
        <w:t xml:space="preserve">This </w:t>
      </w:r>
      <w:r w:rsidR="00241D1C" w:rsidRPr="00924402">
        <w:t xml:space="preserve">method </w:t>
      </w:r>
      <w:r>
        <w:t>was designed to study</w:t>
      </w:r>
      <w:r w:rsidR="00241D1C" w:rsidRPr="00924402">
        <w:t xml:space="preserve"> the image quality obtained from 2D versus 3D PET acquisition</w:t>
      </w:r>
      <w:r>
        <w:t>,</w:t>
      </w:r>
      <w:r w:rsidR="00241D1C" w:rsidRPr="00924402">
        <w:t xml:space="preserve"> in the context of lesion detection</w:t>
      </w:r>
      <w:r>
        <w:t>.  It</w:t>
      </w:r>
      <w:r w:rsidR="00241D1C" w:rsidRPr="00924402">
        <w:t xml:space="preserve"> was found that the method of optimal acquisition is dependent on patient BMI, which was used as a surrogate for total patient attenuation.  This study was conducted on a PET/CT scanner with BGO detectors.  It concluded that 3D acquisition was superior </w:t>
      </w:r>
      <w:r>
        <w:t xml:space="preserve">for smaller patients </w:t>
      </w:r>
      <w:r w:rsidR="00241D1C" w:rsidRPr="00924402">
        <w:t xml:space="preserve">until the </w:t>
      </w:r>
      <w:r>
        <w:t>individual’s</w:t>
      </w:r>
      <w:r w:rsidR="00241D1C">
        <w:t xml:space="preserve"> BMI reached 31;</w:t>
      </w:r>
      <w:r w:rsidR="00241D1C" w:rsidRPr="00924402">
        <w:t xml:space="preserve"> at this point the increased sensitivity of 3D WB-PET to the scattered and random coincidences led to noisier images and lesion detectability deteriorated</w:t>
      </w:r>
      <w:r>
        <w:t xml:space="preserve">.  These conclusions were </w:t>
      </w:r>
      <w:r w:rsidR="00241D1C" w:rsidRPr="00924402">
        <w:t xml:space="preserve">based on </w:t>
      </w:r>
      <w:r>
        <w:t>CHO-</w:t>
      </w:r>
      <w:r w:rsidR="00241D1C" w:rsidRPr="00924402">
        <w:t xml:space="preserve">SNR.  </w:t>
      </w:r>
      <w:r w:rsidR="001C2548" w:rsidRPr="00196C0E">
        <w:t xml:space="preserve">This lesion detection study will build on the </w:t>
      </w:r>
      <w:r w:rsidR="006401FF">
        <w:t>methods developed by</w:t>
      </w:r>
      <w:r w:rsidR="001C2548" w:rsidRPr="00196C0E">
        <w:t xml:space="preserve"> El </w:t>
      </w:r>
      <w:r w:rsidR="00D71A1F" w:rsidRPr="00196C0E">
        <w:t>Fakhri</w:t>
      </w:r>
      <w:r w:rsidR="001C2548" w:rsidRPr="00196C0E">
        <w:t xml:space="preserve"> et al</w:t>
      </w:r>
      <w:r w:rsidR="001C2548">
        <w:t>.</w:t>
      </w:r>
      <w:r w:rsidR="001C2548" w:rsidRPr="00196C0E">
        <w:t xml:space="preserve"> to assess image quality</w:t>
      </w:r>
      <w:r w:rsidR="001C2548">
        <w:t xml:space="preserve"> in a clinically relevant paradigm</w:t>
      </w:r>
      <w:r w:rsidR="001C2548" w:rsidRPr="00196C0E">
        <w:t xml:space="preserve">.  </w:t>
      </w:r>
    </w:p>
    <w:p w:rsidR="00241D1C" w:rsidRDefault="00241D1C" w:rsidP="00241D1C">
      <w:pPr>
        <w:numPr>
          <w:ilvl w:val="12"/>
          <w:numId w:val="0"/>
        </w:numPr>
        <w:spacing w:line="480" w:lineRule="auto"/>
        <w:ind w:firstLine="720"/>
      </w:pPr>
      <w:r w:rsidRPr="001174E7">
        <w:t xml:space="preserve">Several groups have recently </w:t>
      </w:r>
      <w:r w:rsidR="006401FF">
        <w:t>investigated</w:t>
      </w:r>
      <w:r w:rsidRPr="001174E7">
        <w:t xml:space="preserve"> the benefit of TOF information on image quality.</w:t>
      </w:r>
      <w:r w:rsidR="006401FF">
        <w:t xml:space="preserve">  One work</w:t>
      </w:r>
      <w:r>
        <w:t xml:space="preserve"> </w:t>
      </w:r>
      <w:r w:rsidR="009B6816">
        <w:fldChar w:fldCharType="begin"/>
      </w:r>
      <w:r w:rsidR="002D7C36">
        <w:instrText xml:space="preserve"> ADDIN EN.CITE &lt;EndNote&gt;&lt;Cite&gt;&lt;Author&gt;Karp&lt;/Author&gt;&lt;Year&gt;2008&lt;/Year&gt;&lt;RecNum&gt;66&lt;/RecNum&gt;&lt;DisplayText&gt;(Karp, Surti et al. 2008)&lt;/DisplayText&gt;&lt;record&gt;&lt;rec-number&gt;66&lt;/rec-number&gt;&lt;foreign-keys&gt;&lt;key app="EN" db-id="srwv9ppvvez5pgefxzi5ddeve5w2fe5x5esr"&gt;66&lt;/key&gt;&lt;/foreign-keys&gt;&lt;ref-type name="Journal Article"&gt;17&lt;/ref-type&gt;&lt;contributors&gt;&lt;authors&gt;&lt;author&gt;Karp, J. S.&lt;/author&gt;&lt;author&gt;Surti, S.&lt;/author&gt;&lt;author&gt;Daube-Witherspoon, M. E.&lt;/author&gt;&lt;author&gt;Muehllehner, G.&lt;/author&gt;&lt;/authors&gt;&lt;/contributors&gt;&lt;titles&gt;&lt;title&gt;Benefit of Time-of-Flight in PET: Experimental and Clinical Results&lt;/title&gt;&lt;secondary-title&gt;Journal of Nuclear Medicine&lt;/secondary-title&gt;&lt;/titles&gt;&lt;periodical&gt;&lt;full-title&gt;Journal of Nuclear Medicine&lt;/full-title&gt;&lt;/periodical&gt;&lt;pages&gt;462-470&lt;/pages&gt;&lt;volume&gt;49&lt;/volume&gt;&lt;number&gt;3&lt;/number&gt;&lt;dates&gt;&lt;year&gt;2008&lt;/year&gt;&lt;/dates&gt;&lt;isbn&gt;0161-5505&lt;/isbn&gt;&lt;urls&gt;&lt;/urls&gt;&lt;electronic-resource-num&gt;10.2967/jnumed.107.044834&lt;/electronic-resource-num&gt;&lt;/record&gt;&lt;/Cite&gt;&lt;/EndNote&gt;</w:instrText>
      </w:r>
      <w:r w:rsidR="009B6816">
        <w:fldChar w:fldCharType="separate"/>
      </w:r>
      <w:r>
        <w:rPr>
          <w:noProof/>
        </w:rPr>
        <w:t>(</w:t>
      </w:r>
      <w:hyperlink w:anchor="_ENREF_48" w:tooltip="Karp, 2008 #66" w:history="1">
        <w:r w:rsidR="007704DB">
          <w:rPr>
            <w:noProof/>
          </w:rPr>
          <w:t>Karp, Surti et al. 2008</w:t>
        </w:r>
      </w:hyperlink>
      <w:r>
        <w:rPr>
          <w:noProof/>
        </w:rPr>
        <w:t>)</w:t>
      </w:r>
      <w:r w:rsidR="009B6816">
        <w:fldChar w:fldCharType="end"/>
      </w:r>
      <w:r w:rsidRPr="001174E7">
        <w:t xml:space="preserve"> used simulations and phantom data, </w:t>
      </w:r>
      <w:r w:rsidRPr="001174E7">
        <w:lastRenderedPageBreak/>
        <w:t xml:space="preserve">with TOF information alongside iterative reconstruction, to demonstrate that the benefit of TOF could not be measured by a single gain factor.  The addition of the TOF information in the </w:t>
      </w:r>
      <w:r>
        <w:t>EM</w:t>
      </w:r>
      <w:r w:rsidRPr="001174E7">
        <w:t xml:space="preserve"> algorithm</w:t>
      </w:r>
      <w:r>
        <w:t xml:space="preserve"> increases the image convergence rate, leading</w:t>
      </w:r>
      <w:r w:rsidRPr="001174E7">
        <w:t xml:space="preserve"> the reconstruction to reach a higher contrast ratio in </w:t>
      </w:r>
      <w:proofErr w:type="gramStart"/>
      <w:r w:rsidRPr="001174E7">
        <w:t>fewer iterations</w:t>
      </w:r>
      <w:proofErr w:type="gramEnd"/>
      <w:r w:rsidRPr="001174E7">
        <w:t>.  Furthermore they found that the TOF reconstruction converges</w:t>
      </w:r>
      <w:r w:rsidR="006401FF">
        <w:t xml:space="preserve"> more uniformly and</w:t>
      </w:r>
      <w:r w:rsidRPr="001174E7">
        <w:t xml:space="preserve"> to different contrast values than conventional reconstruction</w:t>
      </w:r>
      <w:r w:rsidR="00F55C9D">
        <w:t>s</w:t>
      </w:r>
      <w:r w:rsidRPr="001174E7">
        <w:t xml:space="preserve">.  </w:t>
      </w:r>
    </w:p>
    <w:p w:rsidR="00241D1C" w:rsidRDefault="00241D1C" w:rsidP="00241D1C">
      <w:pPr>
        <w:numPr>
          <w:ilvl w:val="12"/>
          <w:numId w:val="0"/>
        </w:numPr>
        <w:spacing w:line="480" w:lineRule="auto"/>
        <w:ind w:firstLine="720"/>
      </w:pPr>
      <w:r w:rsidRPr="001174E7">
        <w:t xml:space="preserve">Lois et al. </w:t>
      </w:r>
      <w:r w:rsidR="009B6816">
        <w:fldChar w:fldCharType="begin"/>
      </w:r>
      <w:r w:rsidR="002D7C36">
        <w:instrText xml:space="preserve"> ADDIN EN.CITE &lt;EndNote&gt;&lt;Cite&gt;&lt;Author&gt;Lois&lt;/Author&gt;&lt;Year&gt;2010&lt;/Year&gt;&lt;RecNum&gt;65&lt;/RecNum&gt;&lt;DisplayText&gt;(Lois, Jakoby et al. 2010)&lt;/DisplayText&gt;&lt;record&gt;&lt;rec-number&gt;65&lt;/rec-number&gt;&lt;foreign-keys&gt;&lt;key app="EN" db-id="srwv9ppvvez5pgefxzi5ddeve5w2fe5x5esr"&gt;65&lt;/key&gt;&lt;/foreign-keys&gt;&lt;ref-type name="Journal Article"&gt;17&lt;/ref-type&gt;&lt;contributors&gt;&lt;authors&gt;&lt;author&gt;Lois, C.&lt;/author&gt;&lt;author&gt;Jakoby, B. W.&lt;/author&gt;&lt;author&gt;Long, M. J.&lt;/author&gt;&lt;author&gt;Hubner, K. F.&lt;/author&gt;&lt;author&gt;Barker, D. W.&lt;/author&gt;&lt;author&gt;Casey, M. E.&lt;/author&gt;&lt;author&gt;Conti, M.&lt;/author&gt;&lt;author&gt;Panin, V. Y.&lt;/author&gt;&lt;author&gt;Kadrmas, D. J.&lt;/author&gt;&lt;author&gt;Townsend, D. W.&lt;/author&gt;&lt;/authors&gt;&lt;/contributors&gt;&lt;titles&gt;&lt;title&gt;An Assessment of the Impact of Incorporating Time-of-Flight Information into Clinical PET/CT Imaging&lt;/title&gt;&lt;secondary-title&gt;Journal of Nuclear Medicine&lt;/secondary-title&gt;&lt;/titles&gt;&lt;periodical&gt;&lt;full-title&gt;Journal of Nuclear Medicine&lt;/full-title&gt;&lt;/periodical&gt;&lt;pages&gt;237-245&lt;/pages&gt;&lt;volume&gt;51&lt;/volume&gt;&lt;number&gt;2&lt;/number&gt;&lt;dates&gt;&lt;year&gt;2010&lt;/year&gt;&lt;/dates&gt;&lt;isbn&gt;0161-5505&lt;/isbn&gt;&lt;urls&gt;&lt;/urls&gt;&lt;electronic-resource-num&gt;10.2967/jnumed.109.068098&lt;/electronic-resource-num&gt;&lt;/record&gt;&lt;/Cite&gt;&lt;/EndNote&gt;</w:instrText>
      </w:r>
      <w:r w:rsidR="009B6816">
        <w:fldChar w:fldCharType="separate"/>
      </w:r>
      <w:r>
        <w:rPr>
          <w:noProof/>
        </w:rPr>
        <w:t>(</w:t>
      </w:r>
      <w:hyperlink w:anchor="_ENREF_51" w:tooltip="Lois, 2010 #65" w:history="1">
        <w:r w:rsidR="007704DB">
          <w:rPr>
            <w:noProof/>
          </w:rPr>
          <w:t>Lois, Jakoby et al. 2010</w:t>
        </w:r>
      </w:hyperlink>
      <w:r>
        <w:rPr>
          <w:noProof/>
        </w:rPr>
        <w:t>)</w:t>
      </w:r>
      <w:r w:rsidR="009B6816">
        <w:fldChar w:fldCharType="end"/>
      </w:r>
      <w:r w:rsidRPr="001174E7">
        <w:t xml:space="preserve"> </w:t>
      </w:r>
      <w:r>
        <w:t xml:space="preserve">compared PSF reconstructions, with and without TOF.  </w:t>
      </w:r>
      <w:r w:rsidR="00E6275E">
        <w:t>An i</w:t>
      </w:r>
      <w:r w:rsidR="00B978EC">
        <w:t xml:space="preserve">mage </w:t>
      </w:r>
      <w:r w:rsidR="00E6275E">
        <w:t>quality phantom</w:t>
      </w:r>
      <w:r w:rsidR="00B978EC">
        <w:t xml:space="preserve"> </w:t>
      </w:r>
      <w:r w:rsidR="00E6275E">
        <w:t xml:space="preserve">and the clinical data from </w:t>
      </w:r>
      <w:r w:rsidR="00522A58">
        <w:t xml:space="preserve">a small subset of </w:t>
      </w:r>
      <w:r w:rsidR="00E6275E">
        <w:t>patient scans were used in the subjective assessment of image quality by a physicist and a nuclear medicine physician</w:t>
      </w:r>
      <w:r w:rsidR="005A6451">
        <w:t xml:space="preserve"> to establish optimal reconstruction parameters</w:t>
      </w:r>
      <w:r w:rsidR="00E6275E">
        <w:t xml:space="preserve">.  </w:t>
      </w:r>
      <w:r w:rsidR="00522A58">
        <w:t>The data from a cohort of 100 patient scans</w:t>
      </w:r>
      <w:r w:rsidR="00522A58">
        <w:rPr>
          <w:rStyle w:val="FootnoteReference"/>
        </w:rPr>
        <w:footnoteReference w:id="10"/>
      </w:r>
      <w:r w:rsidR="00522A58">
        <w:t xml:space="preserve"> were then reconstructed according to these parameters and SNR statistics were calculated at various lesions located at different anatomical sites.  </w:t>
      </w:r>
      <w:r>
        <w:t xml:space="preserve">This group </w:t>
      </w:r>
      <w:r w:rsidRPr="001174E7">
        <w:t>found</w:t>
      </w:r>
      <w:r w:rsidR="00B978EC">
        <w:t xml:space="preserve"> that TOF information leads to faster</w:t>
      </w:r>
      <w:r w:rsidR="00E6275E">
        <w:t xml:space="preserve"> convergence </w:t>
      </w:r>
      <w:r w:rsidRPr="001174E7">
        <w:t>of the reconstruction algorithm, better image contrast, and lower image noise.  As expected, the SNR gain due to TOF had the greatest effect in patients with higher BMI compared to non-TOF, because of its larger area of uncertainty in event localization and propagated noise.</w:t>
      </w:r>
    </w:p>
    <w:p w:rsidR="00241D1C" w:rsidRDefault="00241D1C" w:rsidP="00241D1C">
      <w:pPr>
        <w:numPr>
          <w:ilvl w:val="12"/>
          <w:numId w:val="0"/>
        </w:numPr>
        <w:spacing w:line="480" w:lineRule="auto"/>
        <w:ind w:firstLine="720"/>
      </w:pPr>
      <w:r>
        <w:t>The impact of TOF on lesion detectability has also been explored to an extent.  One such study compared TOF improvement in</w:t>
      </w:r>
      <w:r w:rsidR="00BC7B4F">
        <w:t xml:space="preserve"> SKE/BKE</w:t>
      </w:r>
      <w:r>
        <w:t xml:space="preserve"> lesion detection using a uniform phantom and spherical lesions of varying sizes </w:t>
      </w:r>
      <w:r w:rsidR="009B6816">
        <w:fldChar w:fldCharType="begin"/>
      </w:r>
      <w:r w:rsidR="002D7C36">
        <w:instrText xml:space="preserve"> ADDIN EN.CITE &lt;EndNote&gt;&lt;Cite&gt;&lt;Author&gt;Surti&lt;/Author&gt;&lt;Year&gt;2009&lt;/Year&gt;&lt;RecNum&gt;43&lt;/RecNum&gt;&lt;DisplayText&gt;(Surti and Karp 2009)&lt;/DisplayText&gt;&lt;record&gt;&lt;rec-number&gt;43&lt;/rec-number&gt;&lt;foreign-keys&gt;&lt;key app="EN" db-id="srwv9ppvvez5pgefxzi5ddeve5w2fe5x5esr"&gt;43&lt;/key&gt;&lt;/foreign-keys&gt;&lt;ref-type name="Journal Article"&gt;17&lt;/ref-type&gt;&lt;contributors&gt;&lt;authors&gt;&lt;author&gt;Surti, S.&lt;/author&gt;&lt;author&gt;Karp, J. S.&lt;/author&gt;&lt;/authors&gt;&lt;/contributors&gt;&lt;titles&gt;&lt;title&gt;Experimental evaluation of a simple lesion detection task with time-of-flight PET&lt;/title&gt;&lt;secondary-title&gt;Physics in Medicine and Biology&lt;/secondary-title&gt;&lt;/titles&gt;&lt;periodical&gt;&lt;full-title&gt;Physics in medicine and biology&lt;/full-title&gt;&lt;/periodical&gt;&lt;pages&gt;373-384&lt;/pages&gt;&lt;volume&gt;54&lt;/volume&gt;&lt;number&gt;2&lt;/number&gt;&lt;dates&gt;&lt;year&gt;2009&lt;/year&gt;&lt;/dates&gt;&lt;isbn&gt;0031-9155&amp;#xD;1361-6560&lt;/isbn&gt;&lt;urls&gt;&lt;/urls&gt;&lt;electronic-resource-num&gt;10.1088/0031-9155/54/2/013&lt;/electronic-resource-num&gt;&lt;/record&gt;&lt;/Cite&gt;&lt;/EndNote&gt;</w:instrText>
      </w:r>
      <w:r w:rsidR="009B6816">
        <w:fldChar w:fldCharType="separate"/>
      </w:r>
      <w:r>
        <w:rPr>
          <w:noProof/>
        </w:rPr>
        <w:t>(</w:t>
      </w:r>
      <w:hyperlink w:anchor="_ENREF_72" w:tooltip="Surti, 2009 #43" w:history="1">
        <w:r w:rsidR="007704DB">
          <w:rPr>
            <w:noProof/>
          </w:rPr>
          <w:t>Surti and Karp 2009</w:t>
        </w:r>
      </w:hyperlink>
      <w:r>
        <w:rPr>
          <w:noProof/>
        </w:rPr>
        <w:t>)</w:t>
      </w:r>
      <w:r w:rsidR="009B6816">
        <w:fldChar w:fldCharType="end"/>
      </w:r>
      <w:r w:rsidR="0062367E">
        <w:t>.</w:t>
      </w:r>
      <w:r>
        <w:t xml:space="preserve">  </w:t>
      </w:r>
      <w:r w:rsidR="002D41E8">
        <w:t xml:space="preserve">A NPWMF observer was used to quantify the SNR gain in performance.  </w:t>
      </w:r>
      <w:r>
        <w:t xml:space="preserve">It compared </w:t>
      </w:r>
      <w:r>
        <w:lastRenderedPageBreak/>
        <w:t xml:space="preserve">performance, based on a fixed scan time and iteration number.  This group reported faster convergence and thus higher contrast recovery with TOF, leading to improved lesion detection, especially for shorter scan times.  </w:t>
      </w:r>
      <w:r w:rsidRPr="004D6299">
        <w:t>This group noted that TOF</w:t>
      </w:r>
      <w:r>
        <w:t>-</w:t>
      </w:r>
      <w:r w:rsidRPr="004D6299">
        <w:t>PET will have maximum benefit in the detection of small lesions in large patients</w:t>
      </w:r>
      <w:r>
        <w:t>.</w:t>
      </w:r>
    </w:p>
    <w:p w:rsidR="00241D1C" w:rsidRDefault="00241D1C" w:rsidP="00241D1C">
      <w:pPr>
        <w:numPr>
          <w:ilvl w:val="12"/>
          <w:numId w:val="0"/>
        </w:numPr>
        <w:spacing w:line="480" w:lineRule="auto"/>
        <w:ind w:firstLine="720"/>
      </w:pPr>
      <w:r>
        <w:t xml:space="preserve">Another paper from the same year compared four reconstructions, LOR-OSEM with PSF, TOF, and a </w:t>
      </w:r>
      <w:r w:rsidR="00643841">
        <w:t>PSF+TOF</w:t>
      </w:r>
      <w:r>
        <w:t xml:space="preserve"> </w:t>
      </w:r>
      <w:r w:rsidR="009B6816">
        <w:fldChar w:fldCharType="begin"/>
      </w:r>
      <w:r w:rsidR="002D7C36">
        <w:instrText xml:space="preserve"> ADDIN EN.CITE &lt;EndNote&gt;&lt;Cite&gt;&lt;Author&gt;Kadrmas&lt;/Author&gt;&lt;Year&gt;2009&lt;/Year&gt;&lt;RecNum&gt;44&lt;/RecNum&gt;&lt;DisplayText&gt;(Kadrmas, Casey et al. 2009)&lt;/DisplayText&gt;&lt;record&gt;&lt;rec-number&gt;44&lt;/rec-number&gt;&lt;foreign-keys&gt;&lt;key app="EN" db-id="srwv9ppvvez5pgefxzi5ddeve5w2fe5x5esr"&gt;44&lt;/key&gt;&lt;/foreign-keys&gt;&lt;ref-type name="Journal Article"&gt;17&lt;/ref-type&gt;&lt;contributors&gt;&lt;authors&gt;&lt;author&gt;Kadrmas, D. J.&lt;/author&gt;&lt;author&gt;Casey, M. E.&lt;/author&gt;&lt;author&gt;Conti, M.&lt;/author&gt;&lt;author&gt;Jakoby, B. W.&lt;/author&gt;&lt;author&gt;Lois, C.&lt;/author&gt;&lt;author&gt;Townsend, D. W.&lt;/author&gt;&lt;/authors&gt;&lt;/contributors&gt;&lt;titles&gt;&lt;title&gt;Impact of Time-of-Flight on PET Tumor Detection&lt;/title&gt;&lt;secondary-title&gt;Journal of Nuclear Medicine&lt;/secondary-title&gt;&lt;/titles&gt;&lt;periodical&gt;&lt;full-title&gt;Journal of Nuclear Medicine&lt;/full-title&gt;&lt;/periodical&gt;&lt;pages&gt;1315-1323&lt;/pages&gt;&lt;volume&gt;50&lt;/volume&gt;&lt;number&gt;8&lt;/number&gt;&lt;dates&gt;&lt;year&gt;2009&lt;/year&gt;&lt;/dates&gt;&lt;isbn&gt;0161-5505&lt;/isbn&gt;&lt;urls&gt;&lt;/urls&gt;&lt;electronic-resource-num&gt;10.2967/jnumed.109.063016&lt;/electronic-resource-num&gt;&lt;/record&gt;&lt;/Cite&gt;&lt;/EndNote&gt;</w:instrText>
      </w:r>
      <w:r w:rsidR="009B6816">
        <w:fldChar w:fldCharType="separate"/>
      </w:r>
      <w:r>
        <w:rPr>
          <w:noProof/>
        </w:rPr>
        <w:t>(</w:t>
      </w:r>
      <w:hyperlink w:anchor="_ENREF_46" w:tooltip="Kadrmas, 2009 #44" w:history="1">
        <w:r w:rsidR="007704DB">
          <w:rPr>
            <w:noProof/>
          </w:rPr>
          <w:t>Kadrmas, Casey et al. 2009</w:t>
        </w:r>
      </w:hyperlink>
      <w:r>
        <w:rPr>
          <w:noProof/>
        </w:rPr>
        <w:t>)</w:t>
      </w:r>
      <w:r w:rsidR="009B6816">
        <w:fldChar w:fldCharType="end"/>
      </w:r>
      <w:r w:rsidR="0062367E">
        <w:t>.</w:t>
      </w:r>
      <w:r>
        <w:t xml:space="preserve">  Synthetic lesions were</w:t>
      </w:r>
      <w:r w:rsidR="00FD6F87">
        <w:t xml:space="preserve"> physically</w:t>
      </w:r>
      <w:r>
        <w:t xml:space="preserve"> added to an anthropomorphic phantom, and mathematical as well as human observers were used to gauge detection performance.   </w:t>
      </w:r>
      <w:r w:rsidR="00D71A1F">
        <w:t xml:space="preserve">It used LROC analysis, and the numerical observer was a channelized non-prewhitening (CNPW) observer with a 10-channel, dense difference-of-Gaussian (D-DOG), configuration.  </w:t>
      </w:r>
      <w:r>
        <w:t xml:space="preserve">This group </w:t>
      </w:r>
      <w:r w:rsidRPr="00F23D64">
        <w:t>noted that TOF</w:t>
      </w:r>
      <w:r>
        <w:t>-</w:t>
      </w:r>
      <w:r w:rsidRPr="00F23D64">
        <w:t xml:space="preserve"> PET will have maximum benefit in the detection of</w:t>
      </w:r>
      <w:r>
        <w:t xml:space="preserve"> small lesions in large patients.  They </w:t>
      </w:r>
      <w:r w:rsidRPr="007149F4">
        <w:t xml:space="preserve">described the benefit gained from TOF as similar to that of the PSF </w:t>
      </w:r>
      <w:r>
        <w:t>correction,</w:t>
      </w:r>
      <w:r w:rsidRPr="007149F4">
        <w:t xml:space="preserve"> seen in the reconstructed images as the sharpening of small focal lesions, especially at locations far from the center.  However the cumulative benefit of both PSF </w:t>
      </w:r>
      <w:r w:rsidRPr="007149F4">
        <w:rPr>
          <w:i/>
        </w:rPr>
        <w:t>and</w:t>
      </w:r>
      <w:r w:rsidRPr="007149F4">
        <w:t xml:space="preserve"> TOF significantly outperformed either if used alone in lesion detection tasks.  </w:t>
      </w:r>
      <w:r>
        <w:t>We expect similar results in the current work.</w:t>
      </w:r>
    </w:p>
    <w:p w:rsidR="00DD14B0" w:rsidRDefault="00F3710C" w:rsidP="00924402">
      <w:pPr>
        <w:numPr>
          <w:ilvl w:val="12"/>
          <w:numId w:val="0"/>
        </w:numPr>
        <w:spacing w:line="480" w:lineRule="auto"/>
        <w:ind w:firstLine="720"/>
      </w:pPr>
      <w:r>
        <w:t>The</w:t>
      </w:r>
      <w:r w:rsidR="00241D1C">
        <w:t xml:space="preserve"> group at M</w:t>
      </w:r>
      <w:r>
        <w:t>GH led by El Fakhri conducted a recent</w:t>
      </w:r>
      <w:r w:rsidR="00241D1C">
        <w:t xml:space="preserve"> experiment to evaluate improvement from TOF in lesion detection across many different parameters, including scan time, lesion contrast, body mass index (BMI), and anatomical location </w:t>
      </w:r>
      <w:r w:rsidR="009B6816">
        <w:fldChar w:fldCharType="begin"/>
      </w:r>
      <w:r w:rsidR="000F64FB">
        <w:instrText xml:space="preserve"> ADDIN EN.CITE &lt;EndNote&gt;&lt;Cite&gt;&lt;Author&gt;El Fakhri&lt;/Author&gt;&lt;Year&gt;2011&lt;/Year&gt;&lt;RecNum&gt;268&lt;/RecNum&gt;&lt;DisplayText&gt;(El Fakhri, Surti et al. 2011)&lt;/DisplayText&gt;&lt;record&gt;&lt;rec-number&gt;268&lt;/rec-number&gt;&lt;foreign-keys&gt;&lt;key app="EN" db-id="srwv9ppvvez5pgefxzi5ddeve5w2fe5x5esr"&gt;268&lt;/key&gt;&lt;/foreign-keys&gt;&lt;ref-type name="Journal Article"&gt;17&lt;/ref-type&gt;&lt;contributors&gt;&lt;authors&gt;&lt;author&gt;El Fakhri, G.&lt;/author&gt;&lt;author&gt;Surti, S.&lt;/author&gt;&lt;author&gt;Trott, C.M.&lt;/author&gt;&lt;author&gt;Scheuermann, J.&lt;/author&gt;&lt;author&gt;Karp, J.S.&lt;/author&gt;&lt;/authors&gt;&lt;/contributors&gt;&lt;titles&gt;&lt;title&gt;Improvement in lesion detection with whole-body oncologic time-of-flight PET&lt;/title&gt;&lt;secondary-title&gt;Journal of Nuclear Medicine&lt;/secondary-title&gt;&lt;/titles&gt;&lt;periodical&gt;&lt;full-title&gt;Journal of Nuclear Medicine&lt;/full-title&gt;&lt;/periodical&gt;&lt;pages&gt;347-353&lt;/pages&gt;&lt;volume&gt;52&lt;/volume&gt;&lt;number&gt;3&lt;/number&gt;&lt;dates&gt;&lt;year&gt;2011&lt;/year&gt;&lt;/dates&gt;&lt;isbn&gt;0161-5505&lt;/isbn&gt;&lt;urls&gt;&lt;/urls&gt;&lt;/record&gt;&lt;/Cite&gt;&lt;/EndNote&gt;</w:instrText>
      </w:r>
      <w:r w:rsidR="009B6816">
        <w:fldChar w:fldCharType="separate"/>
      </w:r>
      <w:r w:rsidR="00241D1C">
        <w:rPr>
          <w:noProof/>
        </w:rPr>
        <w:t>(</w:t>
      </w:r>
      <w:hyperlink w:anchor="_ENREF_31" w:tooltip="El Fakhri, 2011 #268" w:history="1">
        <w:r w:rsidR="007704DB">
          <w:rPr>
            <w:noProof/>
          </w:rPr>
          <w:t>El Fakhri, Surti et al. 2011</w:t>
        </w:r>
      </w:hyperlink>
      <w:r w:rsidR="00241D1C">
        <w:rPr>
          <w:noProof/>
        </w:rPr>
        <w:t>)</w:t>
      </w:r>
      <w:r w:rsidR="009B6816">
        <w:fldChar w:fldCharType="end"/>
      </w:r>
      <w:r w:rsidR="001B246E">
        <w:t>.</w:t>
      </w:r>
      <w:r>
        <w:t xml:space="preserve">  This group employed the current method of adding simulated</w:t>
      </w:r>
      <w:r w:rsidR="00241D1C">
        <w:t xml:space="preserve"> lesions to actual patient data and CHO-SNR was used to rank performance.  This team reported greatest gains in performance using TOF for shorter scan times, smaller lesions, and </w:t>
      </w:r>
      <w:r w:rsidR="00241D1C">
        <w:lastRenderedPageBreak/>
        <w:t>larger patients.  These results were expected since reconstruction parameters were fixed for both reconstructions.</w:t>
      </w:r>
      <w:r w:rsidR="00241D1C" w:rsidRPr="00D125E3">
        <w:t xml:space="preserve"> </w:t>
      </w:r>
      <w:r>
        <w:t xml:space="preserve"> This study is similar to the current one in that actual patient data were used</w:t>
      </w:r>
      <w:r w:rsidR="00A84351">
        <w:t>,</w:t>
      </w:r>
      <w:r>
        <w:t xml:space="preserve"> and performance is compared between </w:t>
      </w:r>
      <w:r w:rsidR="00A84351">
        <w:t>variations</w:t>
      </w:r>
      <w:r>
        <w:t xml:space="preserve"> </w:t>
      </w:r>
      <w:r w:rsidR="00A84351">
        <w:t>in</w:t>
      </w:r>
      <w:r>
        <w:t xml:space="preserve"> </w:t>
      </w:r>
      <w:r w:rsidR="00A84351">
        <w:t>patient, lesion, and scanning parameters.  The key differences of the current study include the optimization of the individual reconstructions and the use of board certified radiologists to validate the methodology.  Also, performance of the PSF</w:t>
      </w:r>
      <w:r w:rsidR="0005601F">
        <w:t>-model</w:t>
      </w:r>
      <w:r w:rsidR="00A84351">
        <w:t xml:space="preserve"> was not considered in this previous work.</w:t>
      </w:r>
      <w:r w:rsidR="00030C78">
        <w:t xml:space="preserve">  </w:t>
      </w:r>
    </w:p>
    <w:p w:rsidR="007E6412" w:rsidRDefault="009D25FE" w:rsidP="007E6412">
      <w:pPr>
        <w:pStyle w:val="Heading2"/>
      </w:pPr>
      <w:bookmarkStart w:id="82" w:name="_Toc351890022"/>
      <w:r>
        <w:t xml:space="preserve">Materials and </w:t>
      </w:r>
      <w:r w:rsidR="00D125E3">
        <w:t>Methods</w:t>
      </w:r>
      <w:bookmarkEnd w:id="82"/>
    </w:p>
    <w:p w:rsidR="007E6412" w:rsidRDefault="007E6412" w:rsidP="007E6412">
      <w:pPr>
        <w:pStyle w:val="Heading3"/>
      </w:pPr>
      <w:bookmarkStart w:id="83" w:name="_Toc351890023"/>
      <w:r>
        <w:t xml:space="preserve">Patient </w:t>
      </w:r>
      <w:r w:rsidR="00E54CC2">
        <w:t>Population</w:t>
      </w:r>
      <w:bookmarkEnd w:id="83"/>
    </w:p>
    <w:p w:rsidR="007E6412" w:rsidRPr="007D4649" w:rsidRDefault="007E6412" w:rsidP="007E6412"/>
    <w:p w:rsidR="00854EE9" w:rsidRDefault="00854EE9" w:rsidP="00854EE9">
      <w:pPr>
        <w:numPr>
          <w:ilvl w:val="12"/>
          <w:numId w:val="0"/>
        </w:numPr>
        <w:spacing w:line="480" w:lineRule="auto"/>
        <w:ind w:firstLine="720"/>
      </w:pPr>
      <w:r w:rsidRPr="00854EE9">
        <w:t xml:space="preserve">Ninety-six patients underwent routine clinical PET/CT scans at the University of Tennessee Medical Center after 90-min uptake of 370 MBq of </w:t>
      </w:r>
      <w:r w:rsidRPr="00854EE9">
        <w:rPr>
          <w:vertAlign w:val="superscript"/>
        </w:rPr>
        <w:t>18</w:t>
      </w:r>
      <w:r w:rsidRPr="00854EE9">
        <w:t xml:space="preserve">F-FDG according to standard clinical protocol </w:t>
      </w:r>
      <w:r w:rsidR="009B6816" w:rsidRPr="00854EE9">
        <w:fldChar w:fldCharType="begin"/>
      </w:r>
      <w:r w:rsidRPr="00854EE9">
        <w:instrText xml:space="preserve"> ADDIN EN.CITE &lt;EndNote&gt;&lt;Cite&gt;&lt;Author&gt;Lois&lt;/Author&gt;&lt;Year&gt;2010&lt;/Year&gt;&lt;RecNum&gt;65&lt;/RecNum&gt;&lt;DisplayText&gt;(Lois, Jakoby et al. 2010)&lt;/DisplayText&gt;&lt;record&gt;&lt;rec-number&gt;65&lt;/rec-number&gt;&lt;foreign-keys&gt;&lt;key app="EN" db-id="srwv9ppvvez5pgefxzi5ddeve5w2fe5x5esr"&gt;65&lt;/key&gt;&lt;/foreign-keys&gt;&lt;ref-type name="Journal Article"&gt;17&lt;/ref-type&gt;&lt;contributors&gt;&lt;authors&gt;&lt;author&gt;Lois, C.&lt;/author&gt;&lt;author&gt;Jakoby, B. W.&lt;/author&gt;&lt;author&gt;Long, M. J.&lt;/author&gt;&lt;author&gt;Hubner, K. F.&lt;/author&gt;&lt;author&gt;Barker, D. W.&lt;/author&gt;&lt;author&gt;Casey, M. E.&lt;/author&gt;&lt;author&gt;Conti, M.&lt;/author&gt;&lt;author&gt;Panin, V. Y.&lt;/author&gt;&lt;author&gt;Kadrmas, D. J.&lt;/author&gt;&lt;author&gt;Townsend, D. W.&lt;/author&gt;&lt;/authors&gt;&lt;/contributors&gt;&lt;titles&gt;&lt;title&gt;An Assessment of the Impact of Incorporating Time-of-Flight Information into Clinical PET/CT Imaging&lt;/title&gt;&lt;secondary-title&gt;Journal of Nuclear Medicine&lt;/secondary-title&gt;&lt;/titles&gt;&lt;periodical&gt;&lt;full-title&gt;Journal of Nuclear Medicine&lt;/full-title&gt;&lt;/periodical&gt;&lt;pages&gt;237-245&lt;/pages&gt;&lt;volume&gt;51&lt;/volume&gt;&lt;number&gt;2&lt;/number&gt;&lt;dates&gt;&lt;year&gt;2010&lt;/year&gt;&lt;/dates&gt;&lt;isbn&gt;0161-5505&lt;/isbn&gt;&lt;urls&gt;&lt;/urls&gt;&lt;electronic-resource-num&gt;10.2967/jnumed.109.068098&lt;/electronic-resource-num&gt;&lt;/record&gt;&lt;/Cite&gt;&lt;/EndNote&gt;</w:instrText>
      </w:r>
      <w:r w:rsidR="009B6816" w:rsidRPr="00854EE9">
        <w:fldChar w:fldCharType="separate"/>
      </w:r>
      <w:r w:rsidRPr="00854EE9">
        <w:t>(</w:t>
      </w:r>
      <w:hyperlink w:anchor="_ENREF_51" w:tooltip="Lois, 2010 #65" w:history="1">
        <w:r w:rsidR="007704DB" w:rsidRPr="00854EE9">
          <w:t>Lois, Jakoby et al. 2010</w:t>
        </w:r>
      </w:hyperlink>
      <w:r w:rsidRPr="00854EE9">
        <w:t>)</w:t>
      </w:r>
      <w:r w:rsidR="009B6816" w:rsidRPr="00854EE9">
        <w:fldChar w:fldCharType="end"/>
      </w:r>
      <w:r w:rsidRPr="00854EE9">
        <w:t xml:space="preserve">.  </w:t>
      </w:r>
    </w:p>
    <w:p w:rsidR="00E54CC2" w:rsidRDefault="00854EE9" w:rsidP="00854EE9">
      <w:pPr>
        <w:numPr>
          <w:ilvl w:val="12"/>
          <w:numId w:val="0"/>
        </w:numPr>
        <w:spacing w:line="480" w:lineRule="auto"/>
        <w:ind w:firstLine="720"/>
      </w:pPr>
      <w:r>
        <w:t xml:space="preserve">The BMI as defined by the National Institutes of Health publications </w:t>
      </w:r>
      <w:r w:rsidR="009B6816">
        <w:fldChar w:fldCharType="begin"/>
      </w:r>
      <w:r>
        <w:instrText xml:space="preserve"> ADDIN EN.CITE &lt;EndNote&gt;&lt;Cite&gt;&lt;Author&gt;Tarantola&lt;/Author&gt;&lt;Year&gt;2003&lt;/Year&gt;&lt;RecNum&gt;281&lt;/RecNum&gt;&lt;DisplayText&gt;(Tarantola, Zito et al. 2003)&lt;/DisplayText&gt;&lt;record&gt;&lt;rec-number&gt;281&lt;/rec-number&gt;&lt;foreign-keys&gt;&lt;key app="EN" db-id="srwv9ppvvez5pgefxzi5ddeve5w2fe5x5esr"&gt;281&lt;/key&gt;&lt;/foreign-keys&gt;&lt;ref-type name="Journal Article"&gt;17&lt;/ref-type&gt;&lt;contributors&gt;&lt;authors&gt;&lt;author&gt;Tarantola, G.&lt;/author&gt;&lt;author&gt;Zito, F.&lt;/author&gt;&lt;author&gt;Gerundini, P.&lt;/author&gt;&lt;/authors&gt;&lt;/contributors&gt;&lt;titles&gt;&lt;title&gt;PET instrumentation and reconstruction algorithms in whole-body applications&lt;/title&gt;&lt;secondary-title&gt;Journal of Nuclear Medicine&lt;/secondary-title&gt;&lt;/titles&gt;&lt;periodical&gt;&lt;full-title&gt;Journal of Nuclear Medicine&lt;/full-title&gt;&lt;/periodical&gt;&lt;pages&gt;756&lt;/pages&gt;&lt;volume&gt;44&lt;/volume&gt;&lt;number&gt;5&lt;/number&gt;&lt;dates&gt;&lt;year&gt;2003&lt;/year&gt;&lt;/dates&gt;&lt;isbn&gt;0161-5505&lt;/isbn&gt;&lt;urls&gt;&lt;/urls&gt;&lt;/record&gt;&lt;/Cite&gt;&lt;/EndNote&gt;</w:instrText>
      </w:r>
      <w:r w:rsidR="009B6816">
        <w:fldChar w:fldCharType="separate"/>
      </w:r>
      <w:r>
        <w:rPr>
          <w:noProof/>
        </w:rPr>
        <w:t>(</w:t>
      </w:r>
      <w:hyperlink w:anchor="_ENREF_75" w:tooltip="Tarantola, 2003 #281" w:history="1">
        <w:r w:rsidR="007704DB">
          <w:rPr>
            <w:noProof/>
          </w:rPr>
          <w:t>Tarantola, Zito et al. 2003</w:t>
        </w:r>
      </w:hyperlink>
      <w:r>
        <w:rPr>
          <w:noProof/>
        </w:rPr>
        <w:t>)</w:t>
      </w:r>
      <w:r w:rsidR="009B6816">
        <w:fldChar w:fldCharType="end"/>
      </w:r>
      <w:r>
        <w:t xml:space="preserve"> was used to classify the patient population.  In our population, BMI ranged from </w:t>
      </w:r>
      <w:r w:rsidRPr="00D125E3">
        <w:t>16.14 to 55.61</w:t>
      </w:r>
      <w:r>
        <w:t xml:space="preserve"> (mean 28.51).  </w:t>
      </w:r>
      <w:r w:rsidRPr="00854EE9">
        <w:t>Of these</w:t>
      </w:r>
      <w:r w:rsidR="009D3ABF">
        <w:t xml:space="preserve"> patients</w:t>
      </w:r>
      <w:r w:rsidRPr="00854EE9">
        <w:t xml:space="preserve">, </w:t>
      </w:r>
      <w:r w:rsidR="009D3ABF">
        <w:t>40 were selected for analyses by the num</w:t>
      </w:r>
      <w:r w:rsidR="004F5FEB">
        <w:t>erical</w:t>
      </w:r>
      <w:r w:rsidR="009D3ABF">
        <w:t xml:space="preserve"> observers, including the</w:t>
      </w:r>
      <w:r w:rsidRPr="00854EE9">
        <w:t xml:space="preserve"> population of 33 disease-free bed positions from 23 patients (BMI 20.2-46.7, mean 30.9, std. dev. 6.34) selected for the</w:t>
      </w:r>
      <w:r w:rsidR="0054729E">
        <w:t xml:space="preserve"> human observer</w:t>
      </w:r>
      <w:r w:rsidRPr="00854EE9">
        <w:t xml:space="preserve"> study.  </w:t>
      </w:r>
    </w:p>
    <w:p w:rsidR="007E6412" w:rsidRDefault="007E6412" w:rsidP="007E6412">
      <w:pPr>
        <w:pStyle w:val="Heading3"/>
      </w:pPr>
      <w:bookmarkStart w:id="84" w:name="_Toc351890024"/>
      <w:r>
        <w:t>PET Acquisition</w:t>
      </w:r>
      <w:bookmarkEnd w:id="84"/>
    </w:p>
    <w:p w:rsidR="007E6412" w:rsidRPr="007E6412" w:rsidRDefault="007E6412" w:rsidP="007E6412"/>
    <w:p w:rsidR="008B70D3" w:rsidRPr="008B70D3" w:rsidRDefault="008B70D3" w:rsidP="008B70D3">
      <w:pPr>
        <w:numPr>
          <w:ilvl w:val="12"/>
          <w:numId w:val="0"/>
        </w:numPr>
        <w:spacing w:line="480" w:lineRule="auto"/>
        <w:ind w:firstLine="720"/>
      </w:pPr>
      <w:r w:rsidRPr="008B70D3">
        <w:t xml:space="preserve">All patients were scanned on a </w:t>
      </w:r>
      <w:proofErr w:type="spellStart"/>
      <w:r w:rsidRPr="008B70D3">
        <w:t>Biograph</w:t>
      </w:r>
      <w:proofErr w:type="spellEnd"/>
      <w:r w:rsidRPr="008B70D3">
        <w:t xml:space="preserve"> PET/CT, a TOF-capable, fully 3D PET scanner together with a 6-slice Sensation spiral CT (Siemens Molecular Imaging).  The PET system comprised 4 rings of lutetium oxyorthosilicate (LSO) crystal detector</w:t>
      </w:r>
      <w:r w:rsidR="008D32F5">
        <w:t xml:space="preserve">s.  The </w:t>
      </w:r>
      <w:r w:rsidR="008D32F5">
        <w:lastRenderedPageBreak/>
        <w:t>60 cm transverse FOV was defined by a coincident acceptance</w:t>
      </w:r>
      <w:r w:rsidRPr="008B70D3">
        <w:t xml:space="preserve"> window </w:t>
      </w:r>
      <w:r w:rsidR="00606681">
        <w:t>of</w:t>
      </w:r>
      <w:r w:rsidRPr="008B70D3">
        <w:t xml:space="preserve"> 4.1 ns, with an energy threshold of 435-650 keV.  </w:t>
      </w:r>
      <w:r w:rsidR="006A7753">
        <w:t xml:space="preserve">The acceptance window was divided into 312 </w:t>
      </w:r>
      <w:proofErr w:type="spellStart"/>
      <w:r w:rsidR="006A7753">
        <w:t>ps</w:t>
      </w:r>
      <w:proofErr w:type="spellEnd"/>
      <w:r w:rsidR="006A7753">
        <w:t xml:space="preserve"> timing bins for the TOF measurements.  </w:t>
      </w:r>
      <w:r w:rsidRPr="008B70D3">
        <w:t xml:space="preserve">The energy and timing resolution were measured with an </w:t>
      </w:r>
      <w:r w:rsidRPr="008B70D3">
        <w:rPr>
          <w:vertAlign w:val="superscript"/>
        </w:rPr>
        <w:t>18</w:t>
      </w:r>
      <w:r w:rsidRPr="008B70D3">
        <w:t xml:space="preserve">F line source resulting in 11.7% (FWHM) and &lt;550 </w:t>
      </w:r>
      <w:proofErr w:type="spellStart"/>
      <w:r w:rsidRPr="008B70D3">
        <w:t>ps</w:t>
      </w:r>
      <w:proofErr w:type="spellEnd"/>
      <w:r w:rsidRPr="008B70D3">
        <w:t xml:space="preserve"> (FWHM), respectively.  </w:t>
      </w:r>
      <w:r w:rsidR="00682364">
        <w:t>The average spatial resolution (FWHM), measured at 1 cm and 10 cm from the center of the transverse FOV, was 4.4 mm and 5.2 mm  transaxially, and 4.4 mm and 5.8 mm axially</w:t>
      </w:r>
      <w:r w:rsidRPr="008B70D3">
        <w:t xml:space="preserve"> </w:t>
      </w:r>
      <w:r w:rsidR="00682364">
        <w:t xml:space="preserve"> </w:t>
      </w:r>
      <w:r w:rsidR="009B6816" w:rsidRPr="008B70D3">
        <w:fldChar w:fldCharType="begin"/>
      </w:r>
      <w:r w:rsidRPr="008B70D3">
        <w:instrText xml:space="preserve"> ADDIN EN.CITE &lt;EndNote&gt;&lt;Cite&gt;&lt;Author&gt;Jakoby&lt;/Author&gt;&lt;RecNum&gt;113&lt;/RecNum&gt;&lt;DisplayText&gt;(Jakoby, Bercier et al. 2008)&lt;/DisplayText&gt;&lt;record&gt;&lt;rec-number&gt;113&lt;/rec-number&gt;&lt;foreign-keys&gt;&lt;key app="EN" db-id="srwv9ppvvez5pgefxzi5ddeve5w2fe5x5esr"&gt;113&lt;/key&gt;&lt;/foreign-keys&gt;&lt;ref-type name="Journal Article"&gt;17&lt;/ref-type&gt;&lt;contributors&gt;&lt;authors&gt;&lt;author&gt;Jakoby, BW&lt;/author&gt;&lt;author&gt;Bercier, Y&lt;/author&gt;&lt;author&gt;Conti, M&lt;/author&gt;&lt;author&gt;Casey, M&lt;/author&gt;&lt;author&gt;Gremillion, T&lt;/author&gt;&lt;author&gt;Hayden, C&lt;/author&gt;&lt;author&gt;Bendriem, B&lt;/author&gt;&lt;author&gt;Townsend, DW&lt;/author&gt;&lt;/authors&gt;&lt;/contributors&gt;&lt;titles&gt;&lt;title&gt;Performance investigation of a time-of-flight PET/CT scanner&lt;/title&gt;&lt;/titles&gt;&lt;dates&gt;&lt;year&gt;2008&lt;/year&gt;&lt;/dates&gt;&lt;urls&gt;&lt;/urls&gt;&lt;/record&gt;&lt;/Cite&gt;&lt;Cite&gt;&lt;Author&gt;Jakoby&lt;/Author&gt;&lt;Year&gt;2008&lt;/Year&gt;&lt;RecNum&gt;113&lt;/RecNum&gt;&lt;record&gt;&lt;rec-number&gt;113&lt;/rec-number&gt;&lt;foreign-keys&gt;&lt;key app="EN" db-id="srwv9ppvvez5pgefxzi5ddeve5w2fe5x5esr"&gt;113&lt;/key&gt;&lt;/foreign-keys&gt;&lt;ref-type name="Journal Article"&gt;17&lt;/ref-type&gt;&lt;contributors&gt;&lt;authors&gt;&lt;author&gt;Jakoby, BW&lt;/author&gt;&lt;author&gt;Bercier, Y&lt;/author&gt;&lt;author&gt;Conti, M&lt;/author&gt;&lt;author&gt;Casey, M&lt;/author&gt;&lt;author&gt;Gremillion, T&lt;/author&gt;&lt;author&gt;Hayden, C&lt;/author&gt;&lt;author&gt;Bendriem, B&lt;/author&gt;&lt;author&gt;Townsend, DW&lt;/author&gt;&lt;/authors&gt;&lt;/contributors&gt;&lt;titles&gt;&lt;title&gt;Performance investigation of a time-of-flight PET/CT scanner&lt;/title&gt;&lt;/titles&gt;&lt;dates&gt;&lt;year&gt;2008&lt;/year&gt;&lt;/dates&gt;&lt;urls&gt;&lt;/urls&gt;&lt;/record&gt;&lt;/Cite&gt;&lt;/EndNote&gt;</w:instrText>
      </w:r>
      <w:r w:rsidR="009B6816" w:rsidRPr="008B70D3">
        <w:fldChar w:fldCharType="separate"/>
      </w:r>
      <w:r w:rsidRPr="008B70D3">
        <w:t>(</w:t>
      </w:r>
      <w:hyperlink w:anchor="_ENREF_43" w:tooltip="Jakoby, 2008 #113" w:history="1">
        <w:r w:rsidR="007704DB" w:rsidRPr="008B70D3">
          <w:t>Jakoby, Bercier et al. 2008</w:t>
        </w:r>
      </w:hyperlink>
      <w:r w:rsidRPr="008B70D3">
        <w:t>)</w:t>
      </w:r>
      <w:r w:rsidR="009B6816" w:rsidRPr="008B70D3">
        <w:fldChar w:fldCharType="end"/>
      </w:r>
      <w:r w:rsidRPr="008B70D3">
        <w:t>.</w:t>
      </w:r>
    </w:p>
    <w:p w:rsidR="008B70D3" w:rsidRPr="008B70D3" w:rsidRDefault="008B70D3" w:rsidP="008B70D3">
      <w:pPr>
        <w:numPr>
          <w:ilvl w:val="12"/>
          <w:numId w:val="0"/>
        </w:numPr>
        <w:spacing w:line="480" w:lineRule="auto"/>
        <w:ind w:firstLine="720"/>
      </w:pPr>
      <w:r w:rsidRPr="008B70D3">
        <w:t xml:space="preserve">Patients underwent a whole-body (WB) PET/CT consisting of 4 to 7 bed positions, each scanned for 2 to 4 min, and PET data were acquired in </w:t>
      </w:r>
      <w:r w:rsidR="00BC6FFB">
        <w:t>list-mode</w:t>
      </w:r>
      <w:r w:rsidRPr="008B70D3">
        <w:t xml:space="preserve"> and reconstructed.  The volumes were reviewed, and locations of possible lesion sites were recorded.  Forty locations were chosen including different anatomical regions of interest (e.g., lungs, soft tissues, bones).</w:t>
      </w:r>
      <w:r w:rsidR="0019511C">
        <w:t xml:space="preserve">  This process intended to simulate focal uptake consistent with pathology, such as solitary nodules or small metastatic deposits.</w:t>
      </w:r>
    </w:p>
    <w:p w:rsidR="00113C37" w:rsidRDefault="008B70D3" w:rsidP="00113C37">
      <w:pPr>
        <w:numPr>
          <w:ilvl w:val="12"/>
          <w:numId w:val="0"/>
        </w:numPr>
        <w:spacing w:line="480" w:lineRule="auto"/>
        <w:ind w:firstLine="720"/>
      </w:pPr>
      <w:r w:rsidRPr="008B70D3">
        <w:t xml:space="preserve">To model the artificial lesions, a 1-cm inner-diameter </w:t>
      </w:r>
      <w:r w:rsidRPr="008B70D3">
        <w:rPr>
          <w:vertAlign w:val="superscript"/>
        </w:rPr>
        <w:t>18</w:t>
      </w:r>
      <w:r w:rsidRPr="008B70D3">
        <w:t>F-filled sphere was separately scanned in air at each of the 40 predetermined locations.  This was accomplished by mounting the sphere on a grid</w:t>
      </w:r>
      <w:r w:rsidR="00113C37">
        <w:t>, shown below,</w:t>
      </w:r>
      <w:r w:rsidRPr="008B70D3">
        <w:t xml:space="preserve"> with over 600 threaded holes and adjusting the </w:t>
      </w:r>
      <w:r w:rsidR="00113C37">
        <w:t>horizontal</w:t>
      </w:r>
      <w:r w:rsidRPr="008B70D3">
        <w:t xml:space="preserve"> bed position to match the z-coordinate of the location. </w:t>
      </w:r>
    </w:p>
    <w:p w:rsidR="00680EB6" w:rsidRDefault="00680EB6" w:rsidP="00113C37">
      <w:pPr>
        <w:numPr>
          <w:ilvl w:val="12"/>
          <w:numId w:val="0"/>
        </w:numPr>
        <w:spacing w:line="480" w:lineRule="auto"/>
        <w:ind w:firstLine="720"/>
      </w:pPr>
    </w:p>
    <w:p w:rsidR="00113C37" w:rsidRDefault="00113C37" w:rsidP="00113C37">
      <w:pPr>
        <w:numPr>
          <w:ilvl w:val="12"/>
          <w:numId w:val="0"/>
        </w:numPr>
        <w:spacing w:line="480" w:lineRule="auto"/>
        <w:ind w:firstLine="720"/>
      </w:pPr>
      <w:r>
        <w:rPr>
          <w:noProof/>
          <w:sz w:val="22"/>
          <w:szCs w:val="22"/>
        </w:rPr>
        <w:lastRenderedPageBreak/>
        <w:drawing>
          <wp:inline distT="0" distB="0" distL="0" distR="0">
            <wp:extent cx="2612035" cy="2410691"/>
            <wp:effectExtent l="19050" t="0" r="0" b="0"/>
            <wp:docPr id="46" name="Picture 16" descr="C:\Users\Josh\Documents\PETCT\thesis stuff\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sh\Documents\PETCT\thesis stuff\grid.jpg"/>
                    <pic:cNvPicPr>
                      <a:picLocks noChangeAspect="1" noChangeArrowheads="1"/>
                    </pic:cNvPicPr>
                  </pic:nvPicPr>
                  <pic:blipFill>
                    <a:blip r:embed="rId43" cstate="print"/>
                    <a:srcRect/>
                    <a:stretch>
                      <a:fillRect/>
                    </a:stretch>
                  </pic:blipFill>
                  <pic:spPr bwMode="auto">
                    <a:xfrm>
                      <a:off x="0" y="0"/>
                      <a:ext cx="2611581" cy="2410272"/>
                    </a:xfrm>
                    <a:prstGeom prst="rect">
                      <a:avLst/>
                    </a:prstGeom>
                    <a:noFill/>
                    <a:ln w="9525">
                      <a:noFill/>
                      <a:miter lim="800000"/>
                      <a:headEnd/>
                      <a:tailEnd/>
                    </a:ln>
                  </pic:spPr>
                </pic:pic>
              </a:graphicData>
            </a:graphic>
          </wp:inline>
        </w:drawing>
      </w:r>
    </w:p>
    <w:p w:rsidR="00113C37" w:rsidRDefault="00113C37" w:rsidP="00113C37">
      <w:pPr>
        <w:pStyle w:val="Caption"/>
      </w:pPr>
      <w:bookmarkStart w:id="85" w:name="_Toc351890067"/>
      <w:proofErr w:type="gramStart"/>
      <w:r>
        <w:t xml:space="preserve">Figure </w:t>
      </w:r>
      <w:fldSimple w:instr=" SEQ Figure \* ARABIC ">
        <w:r w:rsidR="005B6C27">
          <w:rPr>
            <w:noProof/>
          </w:rPr>
          <w:t>26</w:t>
        </w:r>
      </w:fldSimple>
      <w:r>
        <w:t>.</w:t>
      </w:r>
      <w:proofErr w:type="gramEnd"/>
      <w:r>
        <w:t xml:space="preserve"> </w:t>
      </w:r>
      <w:r w:rsidRPr="00113C37">
        <w:t>Grid used to mount artificial “lesions” in the PET field of view</w:t>
      </w:r>
      <w:bookmarkEnd w:id="85"/>
    </w:p>
    <w:p w:rsidR="005B1C04" w:rsidRDefault="005B1C04" w:rsidP="008B70D3">
      <w:pPr>
        <w:numPr>
          <w:ilvl w:val="12"/>
          <w:numId w:val="0"/>
        </w:numPr>
        <w:spacing w:line="480" w:lineRule="auto"/>
        <w:ind w:firstLine="720"/>
      </w:pPr>
    </w:p>
    <w:p w:rsidR="00226BE2" w:rsidRPr="00E54CC2" w:rsidRDefault="008B70D3" w:rsidP="008B70D3">
      <w:pPr>
        <w:numPr>
          <w:ilvl w:val="12"/>
          <w:numId w:val="0"/>
        </w:numPr>
        <w:spacing w:line="480" w:lineRule="auto"/>
        <w:ind w:firstLine="720"/>
        <w:rPr>
          <w:color w:val="FF0000"/>
        </w:rPr>
      </w:pPr>
      <w:r w:rsidRPr="008B70D3">
        <w:t xml:space="preserve">This allowed exact placement of the lesion at any desired location in the PET scanner.  The positions of the spheres were noted for use by the </w:t>
      </w:r>
      <w:r w:rsidR="00777F68">
        <w:t>numerical</w:t>
      </w:r>
      <w:r w:rsidRPr="008B70D3">
        <w:t xml:space="preserve"> observer.  Both patient and sphere data were acquired in 3D mode.  Randoms were </w:t>
      </w:r>
      <w:r w:rsidR="001B23FB">
        <w:t>estimated</w:t>
      </w:r>
      <w:r w:rsidRPr="008B70D3">
        <w:t xml:space="preserve"> using the delayed-window subtraction method</w:t>
      </w:r>
      <w:r w:rsidR="001B23FB">
        <w:t>, and smoothed prior to subtraction from the total prompts</w:t>
      </w:r>
      <w:r w:rsidRPr="008B70D3">
        <w:t xml:space="preserve">.  We assumed that the scatter associated with the sphere acquired in air was negligible compared to the scatter associated with the patient.  The 40 locations were scanned separately for 3 minutes each, and </w:t>
      </w:r>
      <w:r w:rsidR="00BC6FFB">
        <w:t>list-mode</w:t>
      </w:r>
      <w:r w:rsidRPr="008B70D3">
        <w:t xml:space="preserve"> data stored.  Lesions could have been added to the patient data using simulations, but to ensure realistic situations, we chose to acquire the “lesion” data on the scanner to avoid errors associated with normalization and incomplete modeling of the scanner components. </w:t>
      </w:r>
    </w:p>
    <w:p w:rsidR="000847B2" w:rsidRDefault="00E54CC2" w:rsidP="000847B2">
      <w:pPr>
        <w:pStyle w:val="Heading3"/>
      </w:pPr>
      <w:bookmarkStart w:id="86" w:name="_Toc351890025"/>
      <w:r>
        <w:t>Lesion</w:t>
      </w:r>
      <w:r w:rsidR="000847B2">
        <w:t xml:space="preserve"> Addition</w:t>
      </w:r>
      <w:bookmarkEnd w:id="86"/>
    </w:p>
    <w:p w:rsidR="000847B2" w:rsidRPr="007D4649" w:rsidRDefault="000847B2" w:rsidP="000847B2"/>
    <w:p w:rsidR="00251481" w:rsidRDefault="00251481" w:rsidP="008E50A2">
      <w:pPr>
        <w:numPr>
          <w:ilvl w:val="12"/>
          <w:numId w:val="0"/>
        </w:numPr>
        <w:spacing w:line="480" w:lineRule="auto"/>
        <w:ind w:firstLine="720"/>
      </w:pPr>
      <w:r w:rsidRPr="00251481">
        <w:t xml:space="preserve">Acquisition data were collected in </w:t>
      </w:r>
      <w:r w:rsidR="00BC6FFB">
        <w:t>list-mode</w:t>
      </w:r>
      <w:r w:rsidRPr="00251481">
        <w:t xml:space="preserve"> so both conventional and TOF sinograms could be formed.  The patient and sphere data were binned into 3D sinograms, </w:t>
      </w:r>
      <w:r w:rsidRPr="00251481">
        <w:lastRenderedPageBreak/>
        <w:t xml:space="preserve">with dimensions: 336 radial bins, 336 azimuthal bins and 559 3D planes (109 direct planes and 450 oblique planes grouped in 6 segments).  The prompt and random events were contained within separate sinograms.  The TOF data from the tomograph were subdivided into 15 time bins, each 312 </w:t>
      </w:r>
      <w:proofErr w:type="spellStart"/>
      <w:r w:rsidRPr="00251481">
        <w:t>ps</w:t>
      </w:r>
      <w:proofErr w:type="spellEnd"/>
      <w:r w:rsidRPr="00251481">
        <w:t xml:space="preserve"> wide; the conventional sinograms ignored the TOF measurements, combining all time bins into one.  </w:t>
      </w:r>
    </w:p>
    <w:p w:rsidR="008E50A2" w:rsidRDefault="00251481" w:rsidP="00251481">
      <w:pPr>
        <w:numPr>
          <w:ilvl w:val="12"/>
          <w:numId w:val="0"/>
        </w:numPr>
        <w:spacing w:line="480" w:lineRule="auto"/>
        <w:ind w:firstLine="720"/>
      </w:pPr>
      <w:r w:rsidRPr="00251481">
        <w:t>For each lesion-present image, a “lesion” sinogram from one sphere (neglecting randoms) was forward attenuated</w:t>
      </w:r>
      <w:r w:rsidR="00E676AF">
        <w:t xml:space="preserve"> by dividing it by</w:t>
      </w:r>
      <w:r w:rsidRPr="00251481">
        <w:t xml:space="preserve"> the attenuation map calculated from the patient CT data</w:t>
      </w:r>
      <w:r w:rsidR="00E676AF">
        <w:t xml:space="preserve">.  The attenuated lesion sinogram was </w:t>
      </w:r>
      <w:r w:rsidRPr="00251481">
        <w:t xml:space="preserve">then added to </w:t>
      </w:r>
      <w:r w:rsidR="00E676AF">
        <w:t xml:space="preserve">that of </w:t>
      </w:r>
      <w:r w:rsidRPr="00251481">
        <w:t>the patient</w:t>
      </w:r>
      <w:r>
        <w:t xml:space="preserve">. </w:t>
      </w:r>
      <w:r w:rsidR="004C5A33">
        <w:t xml:space="preserve"> The figure below</w:t>
      </w:r>
      <w:r w:rsidR="00407D9A">
        <w:t xml:space="preserve"> </w:t>
      </w:r>
      <w:r w:rsidR="004C5A33">
        <w:t>shows this basic scheme.</w:t>
      </w:r>
    </w:p>
    <w:p w:rsidR="005B1C04" w:rsidRDefault="005B1C04" w:rsidP="00251481">
      <w:pPr>
        <w:numPr>
          <w:ilvl w:val="12"/>
          <w:numId w:val="0"/>
        </w:numPr>
        <w:spacing w:line="480" w:lineRule="auto"/>
        <w:ind w:firstLine="720"/>
      </w:pPr>
    </w:p>
    <w:p w:rsidR="004C5A33" w:rsidRDefault="004C5A33" w:rsidP="00AC2C87">
      <w:pPr>
        <w:numPr>
          <w:ilvl w:val="12"/>
          <w:numId w:val="0"/>
        </w:numPr>
        <w:spacing w:line="480" w:lineRule="auto"/>
        <w:ind w:firstLine="720"/>
      </w:pPr>
      <w:r>
        <w:rPr>
          <w:noProof/>
        </w:rPr>
        <w:drawing>
          <wp:inline distT="0" distB="0" distL="0" distR="0">
            <wp:extent cx="3734243" cy="2868432"/>
            <wp:effectExtent l="19050" t="0" r="0" b="0"/>
            <wp:docPr id="12" name="Picture 1" descr="C:\Users\Josh\Documents\PETCT\thesis stuff\lesion_add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ocuments\PETCT\thesis stuff\lesion_addition.jpg"/>
                    <pic:cNvPicPr>
                      <a:picLocks noChangeAspect="1" noChangeArrowheads="1"/>
                    </pic:cNvPicPr>
                  </pic:nvPicPr>
                  <pic:blipFill>
                    <a:blip r:embed="rId44" cstate="print"/>
                    <a:srcRect/>
                    <a:stretch>
                      <a:fillRect/>
                    </a:stretch>
                  </pic:blipFill>
                  <pic:spPr bwMode="auto">
                    <a:xfrm>
                      <a:off x="0" y="0"/>
                      <a:ext cx="3735010" cy="2869021"/>
                    </a:xfrm>
                    <a:prstGeom prst="rect">
                      <a:avLst/>
                    </a:prstGeom>
                    <a:noFill/>
                    <a:ln w="9525">
                      <a:noFill/>
                      <a:miter lim="800000"/>
                      <a:headEnd/>
                      <a:tailEnd/>
                    </a:ln>
                  </pic:spPr>
                </pic:pic>
              </a:graphicData>
            </a:graphic>
          </wp:inline>
        </w:drawing>
      </w:r>
    </w:p>
    <w:p w:rsidR="004C5A33" w:rsidRPr="008E50A2" w:rsidRDefault="004C5A33" w:rsidP="0084023C">
      <w:pPr>
        <w:pStyle w:val="Caption"/>
      </w:pPr>
      <w:bookmarkStart w:id="87" w:name="_Toc351890068"/>
      <w:proofErr w:type="gramStart"/>
      <w:r>
        <w:t xml:space="preserve">Figure </w:t>
      </w:r>
      <w:r w:rsidR="009B6816">
        <w:fldChar w:fldCharType="begin"/>
      </w:r>
      <w:r w:rsidR="001B5F26">
        <w:instrText xml:space="preserve"> SEQ Figure \* ARABIC </w:instrText>
      </w:r>
      <w:r w:rsidR="009B6816">
        <w:fldChar w:fldCharType="separate"/>
      </w:r>
      <w:r w:rsidR="005B6C27">
        <w:rPr>
          <w:noProof/>
        </w:rPr>
        <w:t>27</w:t>
      </w:r>
      <w:r w:rsidR="009B6816">
        <w:fldChar w:fldCharType="end"/>
      </w:r>
      <w:r>
        <w:t>.</w:t>
      </w:r>
      <w:proofErr w:type="gramEnd"/>
      <w:r>
        <w:t xml:space="preserve"> </w:t>
      </w:r>
      <w:r w:rsidR="00281C37">
        <w:t>The</w:t>
      </w:r>
      <w:r>
        <w:t xml:space="preserve"> process of simulating realistic lesions in patient scans.</w:t>
      </w:r>
      <w:bookmarkEnd w:id="87"/>
    </w:p>
    <w:p w:rsidR="005B1C04" w:rsidRDefault="005B1C04" w:rsidP="00E81D8F">
      <w:pPr>
        <w:numPr>
          <w:ilvl w:val="12"/>
          <w:numId w:val="0"/>
        </w:numPr>
        <w:spacing w:line="480" w:lineRule="auto"/>
        <w:ind w:firstLine="720"/>
      </w:pPr>
    </w:p>
    <w:p w:rsidR="00E81D8F" w:rsidRDefault="009767E7" w:rsidP="00E81D8F">
      <w:pPr>
        <w:numPr>
          <w:ilvl w:val="12"/>
          <w:numId w:val="0"/>
        </w:numPr>
        <w:spacing w:line="480" w:lineRule="auto"/>
        <w:ind w:firstLine="720"/>
      </w:pPr>
      <w:r>
        <w:lastRenderedPageBreak/>
        <w:t>To highlight</w:t>
      </w:r>
      <w:r w:rsidR="008E50A2" w:rsidRPr="008E50A2">
        <w:t xml:space="preserve"> </w:t>
      </w:r>
      <w:r w:rsidR="00030E8C">
        <w:t xml:space="preserve">the </w:t>
      </w:r>
      <w:r w:rsidR="008E50A2" w:rsidRPr="008E50A2">
        <w:t>performance</w:t>
      </w:r>
      <w:r w:rsidR="00E54CC2" w:rsidRPr="00E54CC2">
        <w:t xml:space="preserve"> </w:t>
      </w:r>
      <w:r w:rsidR="00E54CC2">
        <w:t>differences across the reconstructions, the lesion</w:t>
      </w:r>
      <w:r w:rsidR="00251481">
        <w:t xml:space="preserve"> data were scaled</w:t>
      </w:r>
      <w:r w:rsidR="00E54CC2">
        <w:t xml:space="preserve"> to </w:t>
      </w:r>
      <w:r w:rsidR="00251481">
        <w:t xml:space="preserve">produce </w:t>
      </w:r>
      <w:r w:rsidR="00E54CC2">
        <w:t>contrast values that would yield just marginal detectability in the baseline images</w:t>
      </w:r>
      <w:r w:rsidR="00251481">
        <w:t>.  This way they</w:t>
      </w:r>
      <w:r w:rsidR="00E54CC2">
        <w:t xml:space="preserve"> would be enhanced with TOF and PSF, leading to different observer detectability results. </w:t>
      </w:r>
      <w:r w:rsidR="00663C48">
        <w:t xml:space="preserve"> Previous work has reported higher detectability of liver versus lung lesions, at the same contrast, due to the increased noise in the low-count regions </w:t>
      </w:r>
      <w:r w:rsidR="009B6816">
        <w:fldChar w:fldCharType="begin"/>
      </w:r>
      <w:r w:rsidR="000F64FB">
        <w:instrText xml:space="preserve"> ADDIN EN.CITE &lt;EndNote&gt;&lt;Cite&gt;&lt;Author&gt;El Fakhri&lt;/Author&gt;&lt;Year&gt;2011&lt;/Year&gt;&lt;RecNum&gt;268&lt;/RecNum&gt;&lt;DisplayText&gt;(El Fakhri, Surti et al. 2011)&lt;/DisplayText&gt;&lt;record&gt;&lt;rec-number&gt;268&lt;/rec-number&gt;&lt;foreign-keys&gt;&lt;key app="EN" db-id="srwv9ppvvez5pgefxzi5ddeve5w2fe5x5esr"&gt;268&lt;/key&gt;&lt;/foreign-keys&gt;&lt;ref-type name="Journal Article"&gt;17&lt;/ref-type&gt;&lt;contributors&gt;&lt;authors&gt;&lt;author&gt;El Fakhri, G.&lt;/author&gt;&lt;author&gt;Surti, S.&lt;/author&gt;&lt;author&gt;Trott, C.M.&lt;/author&gt;&lt;author&gt;Scheuermann, J.&lt;/author&gt;&lt;author&gt;Karp, J.S.&lt;/author&gt;&lt;/authors&gt;&lt;/contributors&gt;&lt;titles&gt;&lt;title&gt;Improvement in lesion detection with whole-body oncologic time-of-flight PET&lt;/title&gt;&lt;secondary-title&gt;Journal of Nuclear Medicine&lt;/secondary-title&gt;&lt;/titles&gt;&lt;periodical&gt;&lt;full-title&gt;Journal of Nuclear Medicine&lt;/full-title&gt;&lt;/periodical&gt;&lt;pages&gt;347-353&lt;/pages&gt;&lt;volume&gt;52&lt;/volume&gt;&lt;number&gt;3&lt;/number&gt;&lt;dates&gt;&lt;year&gt;2011&lt;/year&gt;&lt;/dates&gt;&lt;isbn&gt;0161-5505&lt;/isbn&gt;&lt;urls&gt;&lt;/urls&gt;&lt;/record&gt;&lt;/Cite&gt;&lt;/EndNote&gt;</w:instrText>
      </w:r>
      <w:r w:rsidR="009B6816">
        <w:fldChar w:fldCharType="separate"/>
      </w:r>
      <w:r w:rsidR="00663C48">
        <w:rPr>
          <w:noProof/>
        </w:rPr>
        <w:t>(</w:t>
      </w:r>
      <w:hyperlink w:anchor="_ENREF_31" w:tooltip="El Fakhri, 2011 #268" w:history="1">
        <w:r w:rsidR="007704DB">
          <w:rPr>
            <w:noProof/>
          </w:rPr>
          <w:t>El Fakhri, Surti et al. 2011</w:t>
        </w:r>
      </w:hyperlink>
      <w:r w:rsidR="00663C48">
        <w:rPr>
          <w:noProof/>
        </w:rPr>
        <w:t>)</w:t>
      </w:r>
      <w:r w:rsidR="009B6816">
        <w:fldChar w:fldCharType="end"/>
      </w:r>
      <w:r w:rsidR="00663C48">
        <w:t xml:space="preserve">.  We chose to scale the lesions in the lung to higher </w:t>
      </w:r>
      <w:r w:rsidR="00CB7263">
        <w:t xml:space="preserve">relative </w:t>
      </w:r>
      <w:r w:rsidR="00663C48">
        <w:t xml:space="preserve">contrasts to account for </w:t>
      </w:r>
      <w:r w:rsidR="00596979">
        <w:t xml:space="preserve">the </w:t>
      </w:r>
      <w:r w:rsidR="00663C48">
        <w:t>increased noise.</w:t>
      </w:r>
      <w:r w:rsidR="00E81D8F" w:rsidRPr="00E81D8F">
        <w:t xml:space="preserve"> </w:t>
      </w:r>
    </w:p>
    <w:p w:rsidR="00E81D8F" w:rsidRDefault="00E81D8F" w:rsidP="00E81D8F">
      <w:pPr>
        <w:numPr>
          <w:ilvl w:val="12"/>
          <w:numId w:val="0"/>
        </w:numPr>
        <w:spacing w:line="480" w:lineRule="auto"/>
        <w:ind w:firstLine="720"/>
      </w:pPr>
      <w:r>
        <w:t>Lesion contrast,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E81D8F" w:rsidTr="00DD3156">
        <w:tc>
          <w:tcPr>
            <w:tcW w:w="7920" w:type="dxa"/>
            <w:shd w:val="clear" w:color="auto" w:fill="auto"/>
            <w:vAlign w:val="center"/>
          </w:tcPr>
          <w:p w:rsidR="00E81D8F" w:rsidRDefault="00E81D8F" w:rsidP="00DD3156">
            <w:pPr>
              <w:numPr>
                <w:ilvl w:val="12"/>
                <w:numId w:val="0"/>
              </w:numPr>
              <w:spacing w:line="480" w:lineRule="auto"/>
              <w:ind w:firstLine="720"/>
            </w:pPr>
            <m:oMathPara>
              <m:oMath>
                <m:r>
                  <w:rPr>
                    <w:rFonts w:ascii="Cambria Math" w:hAnsi="Cambria Math"/>
                  </w:rPr>
                  <m:t>Contrast=</m:t>
                </m:r>
                <m:f>
                  <m:fPr>
                    <m:ctrlPr>
                      <w:rPr>
                        <w:rFonts w:ascii="Cambria Math" w:hAnsi="Cambria Math"/>
                        <w:i/>
                      </w:rPr>
                    </m:ctrlPr>
                  </m:fPr>
                  <m:num>
                    <m:r>
                      <w:rPr>
                        <w:rFonts w:ascii="Cambria Math" w:hAnsi="Cambria Math"/>
                      </w:rPr>
                      <m:t>(Signal-Background)</m:t>
                    </m:r>
                  </m:num>
                  <m:den>
                    <m:r>
                      <w:rPr>
                        <w:rFonts w:ascii="Cambria Math" w:hAnsi="Cambria Math"/>
                      </w:rPr>
                      <m:t>Background</m:t>
                    </m:r>
                  </m:den>
                </m:f>
              </m:oMath>
            </m:oMathPara>
          </w:p>
        </w:tc>
        <w:tc>
          <w:tcPr>
            <w:tcW w:w="720" w:type="dxa"/>
            <w:shd w:val="clear" w:color="auto" w:fill="auto"/>
            <w:vAlign w:val="center"/>
          </w:tcPr>
          <w:p w:rsidR="00E81D8F" w:rsidRDefault="009B6816" w:rsidP="00DD3156">
            <w:pPr>
              <w:pStyle w:val="EquationNumberStyle"/>
            </w:pPr>
            <w:r>
              <w:fldChar w:fldCharType="begin"/>
            </w:r>
            <w:r w:rsidR="00E81D8F">
              <w:instrText xml:space="preserve"> MACROBUTTON NumberReference \* MERGEFORMAT (</w:instrText>
            </w:r>
            <w:fldSimple w:instr=" SEQ EqnChapter \c \* Arabic \* MERGEFORMAT ">
              <w:r w:rsidR="005B6C27">
                <w:rPr>
                  <w:noProof/>
                </w:rPr>
                <w:instrText>5</w:instrText>
              </w:r>
            </w:fldSimple>
            <w:r w:rsidR="00E81D8F">
              <w:instrText>.</w:instrText>
            </w:r>
            <w:fldSimple w:instr=" SEQ EquationNumber \n \* Arabic \* MERGEFORMAT ">
              <w:r w:rsidR="005B6C27">
                <w:rPr>
                  <w:noProof/>
                </w:rPr>
                <w:instrText>1</w:instrText>
              </w:r>
            </w:fldSimple>
            <w:r w:rsidR="00E81D8F">
              <w:instrText>)</w:instrText>
            </w:r>
            <w:r>
              <w:fldChar w:fldCharType="end"/>
            </w:r>
          </w:p>
        </w:tc>
      </w:tr>
    </w:tbl>
    <w:p w:rsidR="00A215B7" w:rsidRDefault="00E81D8F" w:rsidP="00E81D8F">
      <w:pPr>
        <w:numPr>
          <w:ilvl w:val="12"/>
          <w:numId w:val="0"/>
        </w:numPr>
        <w:spacing w:line="480" w:lineRule="auto"/>
      </w:pPr>
      <w:proofErr w:type="gramStart"/>
      <w:r>
        <w:t>determined</w:t>
      </w:r>
      <w:proofErr w:type="gramEnd"/>
      <w:r>
        <w:t xml:space="preserve"> the activity level of the simulated lesions.  F</w:t>
      </w:r>
      <w:r w:rsidR="00A215B7">
        <w:t xml:space="preserve">or each patient-lesion combination, a spherical region of interest (ROI) was drawn on the lesion-free image at the location where the lesion was to be inserted.  The lesion was then scaled to an appropriate </w:t>
      </w:r>
      <w:r w:rsidR="0093314D">
        <w:t>activity</w:t>
      </w:r>
      <w:r w:rsidR="00A215B7">
        <w:t xml:space="preserve"> level defined by the mean value </w:t>
      </w:r>
      <w:r w:rsidR="000F104C">
        <w:t>of</w:t>
      </w:r>
      <w:r w:rsidR="00A215B7">
        <w:t xml:space="preserve"> this background ROI.  This was done manually for several patients until a correlation was found between background RO</w:t>
      </w:r>
      <w:r w:rsidR="00E440D7">
        <w:t>I statistics and desired lesion</w:t>
      </w:r>
      <w:r w:rsidR="0093314D">
        <w:t xml:space="preserve"> contrast</w:t>
      </w:r>
      <w:r w:rsidR="00E440D7">
        <w:t>.</w:t>
      </w:r>
    </w:p>
    <w:p w:rsidR="005B1C04" w:rsidRDefault="005B1C04" w:rsidP="00E81D8F">
      <w:pPr>
        <w:numPr>
          <w:ilvl w:val="12"/>
          <w:numId w:val="0"/>
        </w:numPr>
        <w:spacing w:line="480" w:lineRule="auto"/>
      </w:pPr>
    </w:p>
    <w:p w:rsidR="00B54F50" w:rsidRDefault="00B54F50">
      <w:pPr>
        <w:rPr>
          <w:bCs/>
          <w:i/>
          <w:szCs w:val="20"/>
        </w:rPr>
      </w:pPr>
      <w:r>
        <w:br w:type="page"/>
      </w:r>
    </w:p>
    <w:p w:rsidR="002F6944" w:rsidRDefault="002F6944" w:rsidP="0084023C">
      <w:pPr>
        <w:pStyle w:val="Caption"/>
      </w:pPr>
      <w:bookmarkStart w:id="88" w:name="_Toc351890041"/>
      <w:proofErr w:type="gramStart"/>
      <w:r>
        <w:lastRenderedPageBreak/>
        <w:t xml:space="preserve">Table </w:t>
      </w:r>
      <w:fldSimple w:instr=" SEQ Table \* ARABIC ">
        <w:r w:rsidR="005B6C27">
          <w:rPr>
            <w:noProof/>
          </w:rPr>
          <w:t>4</w:t>
        </w:r>
      </w:fldSimple>
      <w:r>
        <w:t>.</w:t>
      </w:r>
      <w:proofErr w:type="gramEnd"/>
      <w:r>
        <w:t xml:space="preserve"> Distribution</w:t>
      </w:r>
      <w:r w:rsidR="00D71A1F">
        <w:t>s</w:t>
      </w:r>
      <w:r>
        <w:t xml:space="preserve"> of </w:t>
      </w:r>
      <w:r w:rsidR="00D71A1F">
        <w:t xml:space="preserve">mean </w:t>
      </w:r>
      <w:r w:rsidR="00935243">
        <w:t xml:space="preserve">lesion </w:t>
      </w:r>
      <w:r w:rsidR="0065756D">
        <w:t>contrasts</w:t>
      </w:r>
      <w:r w:rsidR="00935243">
        <w:t xml:space="preserve">, </w:t>
      </w:r>
      <w:r>
        <w:t>grouped by reconstruction method</w:t>
      </w:r>
      <w:bookmarkEnd w:id="88"/>
    </w:p>
    <w:tbl>
      <w:tblPr>
        <w:tblStyle w:val="LightShading2"/>
        <w:tblW w:w="0" w:type="auto"/>
        <w:tblInd w:w="828" w:type="dxa"/>
        <w:tblCellMar>
          <w:left w:w="115" w:type="dxa"/>
          <w:right w:w="115" w:type="dxa"/>
        </w:tblCellMar>
        <w:tblLook w:val="04A0"/>
      </w:tblPr>
      <w:tblGrid>
        <w:gridCol w:w="2443"/>
        <w:gridCol w:w="2244"/>
        <w:gridCol w:w="2217"/>
      </w:tblGrid>
      <w:tr w:rsidR="003F6A44" w:rsidRPr="00CA64D6" w:rsidTr="003F6A44">
        <w:trPr>
          <w:cnfStyle w:val="100000000000"/>
          <w:trHeight w:val="386"/>
        </w:trPr>
        <w:tc>
          <w:tcPr>
            <w:cnfStyle w:val="001000000000"/>
            <w:tcW w:w="2443" w:type="dxa"/>
            <w:tcBorders>
              <w:top w:val="single" w:sz="4" w:space="0" w:color="auto"/>
              <w:bottom w:val="nil"/>
            </w:tcBorders>
            <w:shd w:val="clear" w:color="auto" w:fill="auto"/>
            <w:vAlign w:val="center"/>
          </w:tcPr>
          <w:p w:rsidR="003F6A44" w:rsidRPr="00CA64D6" w:rsidRDefault="003F6A44" w:rsidP="003F6A44">
            <w:pPr>
              <w:numPr>
                <w:ilvl w:val="12"/>
                <w:numId w:val="0"/>
              </w:numPr>
              <w:spacing w:line="480" w:lineRule="auto"/>
              <w:ind w:right="720"/>
              <w:rPr>
                <w:i/>
                <w:sz w:val="24"/>
                <w:szCs w:val="24"/>
              </w:rPr>
            </w:pPr>
            <w:r w:rsidRPr="00CA64D6">
              <w:rPr>
                <w:bCs w:val="0"/>
                <w:i/>
                <w:iCs/>
                <w:sz w:val="24"/>
                <w:szCs w:val="24"/>
              </w:rPr>
              <w:t>Reconstruction</w:t>
            </w:r>
          </w:p>
        </w:tc>
        <w:tc>
          <w:tcPr>
            <w:tcW w:w="2244" w:type="dxa"/>
            <w:tcBorders>
              <w:top w:val="single" w:sz="4" w:space="0" w:color="auto"/>
              <w:bottom w:val="nil"/>
            </w:tcBorders>
            <w:shd w:val="clear" w:color="auto" w:fill="auto"/>
          </w:tcPr>
          <w:p w:rsidR="003F6A44" w:rsidRPr="00CA64D6" w:rsidRDefault="003F6A44" w:rsidP="003F6A44">
            <w:pPr>
              <w:numPr>
                <w:ilvl w:val="12"/>
                <w:numId w:val="0"/>
              </w:numPr>
              <w:spacing w:line="480" w:lineRule="auto"/>
              <w:ind w:right="720"/>
              <w:jc w:val="center"/>
              <w:cnfStyle w:val="100000000000"/>
              <w:rPr>
                <w:i/>
                <w:sz w:val="24"/>
                <w:szCs w:val="24"/>
              </w:rPr>
            </w:pPr>
            <w:r w:rsidRPr="00CA64D6">
              <w:rPr>
                <w:i/>
                <w:sz w:val="24"/>
                <w:szCs w:val="24"/>
              </w:rPr>
              <w:t>Liver</w:t>
            </w:r>
          </w:p>
        </w:tc>
        <w:tc>
          <w:tcPr>
            <w:tcW w:w="2217" w:type="dxa"/>
            <w:tcBorders>
              <w:top w:val="single" w:sz="4" w:space="0" w:color="auto"/>
              <w:bottom w:val="nil"/>
            </w:tcBorders>
            <w:shd w:val="clear" w:color="auto" w:fill="auto"/>
          </w:tcPr>
          <w:p w:rsidR="003F6A44" w:rsidRPr="00CA64D6" w:rsidRDefault="003F6A44" w:rsidP="003F6A44">
            <w:pPr>
              <w:numPr>
                <w:ilvl w:val="12"/>
                <w:numId w:val="0"/>
              </w:numPr>
              <w:spacing w:line="480" w:lineRule="auto"/>
              <w:ind w:right="720"/>
              <w:jc w:val="center"/>
              <w:cnfStyle w:val="100000000000"/>
              <w:rPr>
                <w:i/>
                <w:sz w:val="24"/>
                <w:szCs w:val="24"/>
              </w:rPr>
            </w:pPr>
            <w:r w:rsidRPr="00CA64D6">
              <w:rPr>
                <w:i/>
                <w:sz w:val="24"/>
                <w:szCs w:val="24"/>
              </w:rPr>
              <w:t>Lungs</w:t>
            </w:r>
          </w:p>
        </w:tc>
      </w:tr>
      <w:tr w:rsidR="0065756D" w:rsidRPr="00CA64D6" w:rsidTr="009824D6">
        <w:trPr>
          <w:cnfStyle w:val="000000100000"/>
          <w:trHeight w:val="673"/>
        </w:trPr>
        <w:tc>
          <w:tcPr>
            <w:cnfStyle w:val="001000000000"/>
            <w:tcW w:w="2443" w:type="dxa"/>
            <w:tcBorders>
              <w:top w:val="nil"/>
            </w:tcBorders>
            <w:shd w:val="clear" w:color="auto" w:fill="auto"/>
            <w:vAlign w:val="center"/>
          </w:tcPr>
          <w:p w:rsidR="0065756D" w:rsidRPr="00400F42" w:rsidRDefault="0065756D" w:rsidP="00021411">
            <w:pPr>
              <w:numPr>
                <w:ilvl w:val="12"/>
                <w:numId w:val="0"/>
              </w:numPr>
              <w:spacing w:line="480" w:lineRule="auto"/>
              <w:ind w:right="720"/>
              <w:rPr>
                <w:b w:val="0"/>
              </w:rPr>
            </w:pPr>
            <w:r w:rsidRPr="00400F42">
              <w:rPr>
                <w:b w:val="0"/>
              </w:rPr>
              <w:t>OP</w:t>
            </w:r>
          </w:p>
        </w:tc>
        <w:tc>
          <w:tcPr>
            <w:tcW w:w="2244" w:type="dxa"/>
            <w:tcBorders>
              <w:top w:val="nil"/>
            </w:tcBorders>
            <w:shd w:val="clear" w:color="auto" w:fill="auto"/>
            <w:vAlign w:val="center"/>
          </w:tcPr>
          <w:p w:rsidR="0065756D" w:rsidRPr="00400F42" w:rsidRDefault="0065756D" w:rsidP="0065756D">
            <w:pPr>
              <w:numPr>
                <w:ilvl w:val="12"/>
                <w:numId w:val="0"/>
              </w:numPr>
              <w:spacing w:line="480" w:lineRule="auto"/>
              <w:ind w:right="720"/>
              <w:jc w:val="center"/>
              <w:cnfStyle w:val="000000100000"/>
            </w:pPr>
            <w:r w:rsidRPr="00400F42">
              <w:t>1.27</w:t>
            </w:r>
          </w:p>
        </w:tc>
        <w:tc>
          <w:tcPr>
            <w:tcW w:w="2217" w:type="dxa"/>
            <w:tcBorders>
              <w:top w:val="nil"/>
            </w:tcBorders>
            <w:shd w:val="clear" w:color="auto" w:fill="auto"/>
            <w:vAlign w:val="center"/>
          </w:tcPr>
          <w:p w:rsidR="0065756D" w:rsidRPr="00400F42" w:rsidRDefault="0065756D" w:rsidP="0065756D">
            <w:pPr>
              <w:numPr>
                <w:ilvl w:val="12"/>
                <w:numId w:val="0"/>
              </w:numPr>
              <w:spacing w:line="480" w:lineRule="auto"/>
              <w:ind w:right="720"/>
              <w:jc w:val="center"/>
              <w:cnfStyle w:val="000000100000"/>
            </w:pPr>
            <w:r w:rsidRPr="00400F42">
              <w:t>2.01</w:t>
            </w:r>
          </w:p>
        </w:tc>
      </w:tr>
      <w:tr w:rsidR="0065756D" w:rsidTr="009824D6">
        <w:trPr>
          <w:trHeight w:val="506"/>
        </w:trPr>
        <w:tc>
          <w:tcPr>
            <w:cnfStyle w:val="001000000000"/>
            <w:tcW w:w="2443" w:type="dxa"/>
            <w:shd w:val="clear" w:color="auto" w:fill="auto"/>
            <w:vAlign w:val="center"/>
          </w:tcPr>
          <w:p w:rsidR="0065756D" w:rsidRPr="00400F42" w:rsidRDefault="0065756D" w:rsidP="00021411">
            <w:pPr>
              <w:numPr>
                <w:ilvl w:val="12"/>
                <w:numId w:val="0"/>
              </w:numPr>
              <w:spacing w:line="480" w:lineRule="auto"/>
              <w:ind w:right="720"/>
              <w:rPr>
                <w:b w:val="0"/>
              </w:rPr>
            </w:pPr>
            <w:r w:rsidRPr="00400F42">
              <w:rPr>
                <w:b w:val="0"/>
              </w:rPr>
              <w:t>PSF</w:t>
            </w:r>
          </w:p>
        </w:tc>
        <w:tc>
          <w:tcPr>
            <w:tcW w:w="2244" w:type="dxa"/>
            <w:shd w:val="clear" w:color="auto" w:fill="auto"/>
            <w:vAlign w:val="center"/>
          </w:tcPr>
          <w:p w:rsidR="0065756D" w:rsidRPr="00400F42" w:rsidRDefault="0065756D" w:rsidP="0065756D">
            <w:pPr>
              <w:numPr>
                <w:ilvl w:val="12"/>
                <w:numId w:val="0"/>
              </w:numPr>
              <w:spacing w:line="480" w:lineRule="auto"/>
              <w:ind w:right="720"/>
              <w:jc w:val="center"/>
              <w:cnfStyle w:val="000000000000"/>
            </w:pPr>
            <w:r w:rsidRPr="00400F42">
              <w:t>1.36</w:t>
            </w:r>
          </w:p>
        </w:tc>
        <w:tc>
          <w:tcPr>
            <w:tcW w:w="2217" w:type="dxa"/>
            <w:shd w:val="clear" w:color="auto" w:fill="auto"/>
            <w:vAlign w:val="center"/>
          </w:tcPr>
          <w:p w:rsidR="0065756D" w:rsidRPr="00400F42" w:rsidRDefault="0065756D" w:rsidP="0065756D">
            <w:pPr>
              <w:numPr>
                <w:ilvl w:val="12"/>
                <w:numId w:val="0"/>
              </w:numPr>
              <w:spacing w:line="480" w:lineRule="auto"/>
              <w:ind w:right="720"/>
              <w:jc w:val="center"/>
              <w:cnfStyle w:val="000000000000"/>
            </w:pPr>
            <w:r w:rsidRPr="00400F42">
              <w:t>2.46</w:t>
            </w:r>
          </w:p>
        </w:tc>
      </w:tr>
      <w:tr w:rsidR="0065756D" w:rsidTr="003F6A44">
        <w:trPr>
          <w:cnfStyle w:val="000000100000"/>
          <w:trHeight w:val="506"/>
        </w:trPr>
        <w:tc>
          <w:tcPr>
            <w:cnfStyle w:val="001000000000"/>
            <w:tcW w:w="2443" w:type="dxa"/>
            <w:shd w:val="clear" w:color="auto" w:fill="auto"/>
            <w:vAlign w:val="center"/>
          </w:tcPr>
          <w:p w:rsidR="0065756D" w:rsidRPr="00400F42" w:rsidRDefault="0065756D" w:rsidP="00021411">
            <w:pPr>
              <w:numPr>
                <w:ilvl w:val="12"/>
                <w:numId w:val="0"/>
              </w:numPr>
              <w:spacing w:line="480" w:lineRule="auto"/>
              <w:ind w:right="720"/>
              <w:rPr>
                <w:b w:val="0"/>
              </w:rPr>
            </w:pPr>
            <w:r w:rsidRPr="00400F42">
              <w:rPr>
                <w:b w:val="0"/>
              </w:rPr>
              <w:t>TOF</w:t>
            </w:r>
          </w:p>
        </w:tc>
        <w:tc>
          <w:tcPr>
            <w:tcW w:w="2244" w:type="dxa"/>
            <w:shd w:val="clear" w:color="auto" w:fill="auto"/>
            <w:vAlign w:val="center"/>
          </w:tcPr>
          <w:p w:rsidR="0065756D" w:rsidRPr="00400F42" w:rsidRDefault="0065756D" w:rsidP="0065756D">
            <w:pPr>
              <w:numPr>
                <w:ilvl w:val="12"/>
                <w:numId w:val="0"/>
              </w:numPr>
              <w:spacing w:line="480" w:lineRule="auto"/>
              <w:ind w:right="720"/>
              <w:jc w:val="center"/>
              <w:cnfStyle w:val="000000100000"/>
            </w:pPr>
            <w:r w:rsidRPr="00400F42">
              <w:t>1.32</w:t>
            </w:r>
          </w:p>
        </w:tc>
        <w:tc>
          <w:tcPr>
            <w:tcW w:w="2217" w:type="dxa"/>
            <w:shd w:val="clear" w:color="auto" w:fill="auto"/>
            <w:vAlign w:val="center"/>
          </w:tcPr>
          <w:p w:rsidR="0065756D" w:rsidRPr="00400F42" w:rsidRDefault="0065756D" w:rsidP="0065756D">
            <w:pPr>
              <w:numPr>
                <w:ilvl w:val="12"/>
                <w:numId w:val="0"/>
              </w:numPr>
              <w:spacing w:line="480" w:lineRule="auto"/>
              <w:ind w:right="720"/>
              <w:jc w:val="center"/>
              <w:cnfStyle w:val="000000100000"/>
            </w:pPr>
            <w:r w:rsidRPr="00400F42">
              <w:t>2.24</w:t>
            </w:r>
          </w:p>
        </w:tc>
      </w:tr>
      <w:tr w:rsidR="0065756D" w:rsidTr="003F6A44">
        <w:trPr>
          <w:trHeight w:val="506"/>
        </w:trPr>
        <w:tc>
          <w:tcPr>
            <w:cnfStyle w:val="001000000000"/>
            <w:tcW w:w="2443" w:type="dxa"/>
            <w:shd w:val="clear" w:color="auto" w:fill="auto"/>
            <w:vAlign w:val="center"/>
          </w:tcPr>
          <w:p w:rsidR="0065756D" w:rsidRPr="00400F42" w:rsidRDefault="0065756D" w:rsidP="00021411">
            <w:pPr>
              <w:numPr>
                <w:ilvl w:val="12"/>
                <w:numId w:val="0"/>
              </w:numPr>
              <w:spacing w:line="480" w:lineRule="auto"/>
              <w:ind w:right="720"/>
              <w:rPr>
                <w:b w:val="0"/>
              </w:rPr>
            </w:pPr>
            <w:r w:rsidRPr="00400F42">
              <w:rPr>
                <w:b w:val="0"/>
              </w:rPr>
              <w:t>TOF+PSF</w:t>
            </w:r>
          </w:p>
        </w:tc>
        <w:tc>
          <w:tcPr>
            <w:tcW w:w="2244" w:type="dxa"/>
            <w:shd w:val="clear" w:color="auto" w:fill="auto"/>
            <w:vAlign w:val="center"/>
          </w:tcPr>
          <w:p w:rsidR="0065756D" w:rsidRPr="00400F42" w:rsidRDefault="0065756D" w:rsidP="0065756D">
            <w:pPr>
              <w:numPr>
                <w:ilvl w:val="12"/>
                <w:numId w:val="0"/>
              </w:numPr>
              <w:spacing w:line="480" w:lineRule="auto"/>
              <w:ind w:right="720"/>
              <w:jc w:val="center"/>
              <w:cnfStyle w:val="000000000000"/>
            </w:pPr>
            <w:r w:rsidRPr="00400F42">
              <w:t>1.46</w:t>
            </w:r>
          </w:p>
        </w:tc>
        <w:tc>
          <w:tcPr>
            <w:tcW w:w="2217" w:type="dxa"/>
            <w:shd w:val="clear" w:color="auto" w:fill="auto"/>
            <w:vAlign w:val="center"/>
          </w:tcPr>
          <w:p w:rsidR="0065756D" w:rsidRPr="00400F42" w:rsidRDefault="0065756D" w:rsidP="0065756D">
            <w:pPr>
              <w:numPr>
                <w:ilvl w:val="12"/>
                <w:numId w:val="0"/>
              </w:numPr>
              <w:spacing w:line="480" w:lineRule="auto"/>
              <w:ind w:right="720"/>
              <w:jc w:val="center"/>
              <w:cnfStyle w:val="000000000000"/>
            </w:pPr>
            <w:r w:rsidRPr="00400F42">
              <w:t>2.99</w:t>
            </w:r>
          </w:p>
        </w:tc>
      </w:tr>
    </w:tbl>
    <w:p w:rsidR="002F6944" w:rsidRDefault="002F6944" w:rsidP="00644DA1">
      <w:pPr>
        <w:numPr>
          <w:ilvl w:val="12"/>
          <w:numId w:val="0"/>
        </w:numPr>
        <w:spacing w:line="480" w:lineRule="auto"/>
        <w:ind w:firstLine="720"/>
      </w:pPr>
    </w:p>
    <w:p w:rsidR="005B1C04" w:rsidRDefault="005B1C04" w:rsidP="00644DA1">
      <w:pPr>
        <w:numPr>
          <w:ilvl w:val="12"/>
          <w:numId w:val="0"/>
        </w:numPr>
        <w:spacing w:line="480" w:lineRule="auto"/>
        <w:ind w:firstLine="720"/>
      </w:pPr>
    </w:p>
    <w:p w:rsidR="00644DA1" w:rsidRDefault="00A215B7" w:rsidP="00644DA1">
      <w:pPr>
        <w:numPr>
          <w:ilvl w:val="12"/>
          <w:numId w:val="0"/>
        </w:numPr>
        <w:spacing w:line="480" w:lineRule="auto"/>
        <w:ind w:firstLine="720"/>
      </w:pPr>
      <w:r>
        <w:t xml:space="preserve">To generate a large population of test images, the lesion strength and scaling factor correlation, found in the limited subset, was applied to all patient-lesion combinations.  Each of the lesion-present final images was reconstructed twice, the first pass used the scaling calculated from the background site and the second accounted for scaling adjustments if needed.  </w:t>
      </w:r>
      <w:r w:rsidR="009C65F4" w:rsidRPr="00C26EC8">
        <w:t xml:space="preserve">The </w:t>
      </w:r>
      <w:r w:rsidR="00644DA1" w:rsidRPr="00C26EC8">
        <w:t>distribution</w:t>
      </w:r>
      <w:r w:rsidR="009C65F4" w:rsidRPr="00C26EC8">
        <w:t xml:space="preserve"> of l</w:t>
      </w:r>
      <w:r w:rsidR="00644DA1" w:rsidRPr="00C26EC8">
        <w:t>esion contrasts ranged from 1.0</w:t>
      </w:r>
      <w:r w:rsidR="00CD0B71" w:rsidRPr="00C26EC8">
        <w:t xml:space="preserve">9 </w:t>
      </w:r>
      <w:r w:rsidR="009C65F4" w:rsidRPr="00C26EC8">
        <w:t xml:space="preserve">to </w:t>
      </w:r>
      <w:r w:rsidR="00CD0B71" w:rsidRPr="00C26EC8">
        <w:t>9.21</w:t>
      </w:r>
      <w:r w:rsidR="009C65F4" w:rsidRPr="00C26EC8">
        <w:t xml:space="preserve"> </w:t>
      </w:r>
      <w:r w:rsidR="00794DD7">
        <w:t xml:space="preserve">(mean 1.84, std.dev 0.91) </w:t>
      </w:r>
      <w:r w:rsidR="009C65F4" w:rsidRPr="00C26EC8">
        <w:t xml:space="preserve">across </w:t>
      </w:r>
      <w:r w:rsidR="00F15E5B" w:rsidRPr="00C26EC8">
        <w:t>the</w:t>
      </w:r>
      <w:r w:rsidR="009C65F4" w:rsidRPr="00C26EC8">
        <w:t xml:space="preserve"> four reconstructions.  The plot below shows the</w:t>
      </w:r>
      <w:r w:rsidR="00BB7942" w:rsidRPr="00C26EC8">
        <w:t xml:space="preserve"> distribution</w:t>
      </w:r>
      <w:r w:rsidR="00657569" w:rsidRPr="00C26EC8">
        <w:t xml:space="preserve">, </w:t>
      </w:r>
      <w:r w:rsidR="00CD0B71" w:rsidRPr="00C26EC8">
        <w:t xml:space="preserve">pooled </w:t>
      </w:r>
      <w:r w:rsidR="00CD0B71">
        <w:t>and separated by reconstruction method</w:t>
      </w:r>
    </w:p>
    <w:p w:rsidR="005B1C04" w:rsidRPr="004B6B93" w:rsidRDefault="005B1C04" w:rsidP="00644DA1">
      <w:pPr>
        <w:numPr>
          <w:ilvl w:val="12"/>
          <w:numId w:val="0"/>
        </w:numPr>
        <w:spacing w:line="480" w:lineRule="auto"/>
        <w:ind w:firstLine="720"/>
        <w:rPr>
          <w:vertAlign w:val="subscript"/>
        </w:rPr>
      </w:pPr>
    </w:p>
    <w:p w:rsidR="00B54F50" w:rsidRDefault="00B54F50">
      <w:r>
        <w:br w:type="page"/>
      </w:r>
    </w:p>
    <w:p w:rsidR="0022417E" w:rsidRDefault="00C00BBD" w:rsidP="00CD0B71">
      <w:pPr>
        <w:numPr>
          <w:ilvl w:val="12"/>
          <w:numId w:val="0"/>
        </w:numPr>
        <w:spacing w:line="480" w:lineRule="auto"/>
      </w:pPr>
      <w:r>
        <w:rPr>
          <w:noProof/>
        </w:rPr>
        <w:lastRenderedPageBreak/>
        <w:drawing>
          <wp:anchor distT="0" distB="0" distL="114300" distR="114300" simplePos="0" relativeHeight="251660288" behindDoc="1" locked="0" layoutInCell="1" allowOverlap="1">
            <wp:simplePos x="0" y="0"/>
            <wp:positionH relativeFrom="column">
              <wp:posOffset>3076575</wp:posOffset>
            </wp:positionH>
            <wp:positionV relativeFrom="paragraph">
              <wp:posOffset>6350</wp:posOffset>
            </wp:positionV>
            <wp:extent cx="1990725" cy="1666875"/>
            <wp:effectExtent l="19050" t="0" r="9525" b="0"/>
            <wp:wrapTight wrapText="bothSides">
              <wp:wrapPolygon edited="0">
                <wp:start x="-207" y="0"/>
                <wp:lineTo x="-207" y="21477"/>
                <wp:lineTo x="21703" y="21477"/>
                <wp:lineTo x="21703" y="0"/>
                <wp:lineTo x="-207" y="0"/>
              </wp:wrapPolygon>
            </wp:wrapTight>
            <wp:docPr id="44" name="Picture 5" descr="C:\Users\Josh\Documents\PETCT\thesis stuff\lesion_contrast_individu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h\Documents\PETCT\thesis stuff\lesion_contrast_individual.tif"/>
                    <pic:cNvPicPr>
                      <a:picLocks noChangeAspect="1" noChangeArrowheads="1"/>
                    </pic:cNvPicPr>
                  </pic:nvPicPr>
                  <pic:blipFill>
                    <a:blip r:embed="rId45" cstate="print"/>
                    <a:srcRect/>
                    <a:stretch>
                      <a:fillRect/>
                    </a:stretch>
                  </pic:blipFill>
                  <pic:spPr bwMode="auto">
                    <a:xfrm>
                      <a:off x="0" y="0"/>
                      <a:ext cx="1990725" cy="1666875"/>
                    </a:xfrm>
                    <a:prstGeom prst="rect">
                      <a:avLst/>
                    </a:prstGeom>
                    <a:noFill/>
                    <a:ln w="9525">
                      <a:noFill/>
                      <a:miter lim="800000"/>
                      <a:headEnd/>
                      <a:tailEnd/>
                    </a:ln>
                  </pic:spPr>
                </pic:pic>
              </a:graphicData>
            </a:graphic>
          </wp:anchor>
        </w:drawing>
      </w:r>
      <w:r w:rsidR="004B6B93">
        <w:rPr>
          <w:noProof/>
        </w:rPr>
        <w:drawing>
          <wp:inline distT="0" distB="0" distL="0" distR="0">
            <wp:extent cx="2926281" cy="1892808"/>
            <wp:effectExtent l="19050" t="0" r="7419" b="0"/>
            <wp:docPr id="45" name="Picture 2" descr="C:\Users\Josh\Documents\PETCT\thesis stuff\lesion_contrast_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ocuments\PETCT\thesis stuff\lesion_contrast_all.tif"/>
                    <pic:cNvPicPr>
                      <a:picLocks noChangeAspect="1" noChangeArrowheads="1"/>
                    </pic:cNvPicPr>
                  </pic:nvPicPr>
                  <pic:blipFill>
                    <a:blip r:embed="rId46" cstate="print"/>
                    <a:srcRect/>
                    <a:stretch>
                      <a:fillRect/>
                    </a:stretch>
                  </pic:blipFill>
                  <pic:spPr bwMode="auto">
                    <a:xfrm>
                      <a:off x="0" y="0"/>
                      <a:ext cx="2926281" cy="1892808"/>
                    </a:xfrm>
                    <a:prstGeom prst="rect">
                      <a:avLst/>
                    </a:prstGeom>
                    <a:noFill/>
                    <a:ln w="9525">
                      <a:noFill/>
                      <a:miter lim="800000"/>
                      <a:headEnd/>
                      <a:tailEnd/>
                    </a:ln>
                  </pic:spPr>
                </pic:pic>
              </a:graphicData>
            </a:graphic>
          </wp:inline>
        </w:drawing>
      </w:r>
    </w:p>
    <w:p w:rsidR="007149F4" w:rsidRDefault="00AC038D" w:rsidP="0084023C">
      <w:pPr>
        <w:pStyle w:val="Caption"/>
      </w:pPr>
      <w:bookmarkStart w:id="89" w:name="_Toc351890069"/>
      <w:proofErr w:type="gramStart"/>
      <w:r>
        <w:t xml:space="preserve">Figure </w:t>
      </w:r>
      <w:r w:rsidR="009B6816">
        <w:fldChar w:fldCharType="begin"/>
      </w:r>
      <w:r w:rsidR="00EE0740">
        <w:instrText xml:space="preserve"> SEQ Figure \* ARABIC </w:instrText>
      </w:r>
      <w:r w:rsidR="009B6816">
        <w:fldChar w:fldCharType="separate"/>
      </w:r>
      <w:r w:rsidR="005B6C27">
        <w:rPr>
          <w:noProof/>
        </w:rPr>
        <w:t>28</w:t>
      </w:r>
      <w:r w:rsidR="009B6816">
        <w:fldChar w:fldCharType="end"/>
      </w:r>
      <w:r w:rsidR="0022417E">
        <w:t>.</w:t>
      </w:r>
      <w:proofErr w:type="gramEnd"/>
      <w:r w:rsidR="0022417E">
        <w:t xml:space="preserve"> Distribution</w:t>
      </w:r>
      <w:r w:rsidR="00C707A0">
        <w:t>s</w:t>
      </w:r>
      <w:r w:rsidR="0022417E">
        <w:t xml:space="preserve"> of lesion contrasts used in observer study</w:t>
      </w:r>
      <w:bookmarkEnd w:id="89"/>
    </w:p>
    <w:p w:rsidR="005B1C04" w:rsidRDefault="005B1C04" w:rsidP="00552FC2">
      <w:pPr>
        <w:pStyle w:val="Heading3"/>
      </w:pPr>
    </w:p>
    <w:p w:rsidR="005B1C04" w:rsidRDefault="005B1C04" w:rsidP="00552FC2">
      <w:pPr>
        <w:pStyle w:val="Heading3"/>
      </w:pPr>
    </w:p>
    <w:p w:rsidR="00552FC2" w:rsidRDefault="00DC7B6D" w:rsidP="00552FC2">
      <w:pPr>
        <w:pStyle w:val="Heading3"/>
      </w:pPr>
      <w:bookmarkStart w:id="90" w:name="_Toc351890026"/>
      <w:r>
        <w:t>Mathematical Observer Models</w:t>
      </w:r>
      <w:bookmarkEnd w:id="90"/>
    </w:p>
    <w:p w:rsidR="00552FC2" w:rsidRPr="007D4649" w:rsidRDefault="00552FC2" w:rsidP="00552FC2"/>
    <w:p w:rsidR="007C5563" w:rsidRDefault="00DC7B6D" w:rsidP="00552FC2">
      <w:pPr>
        <w:numPr>
          <w:ilvl w:val="12"/>
          <w:numId w:val="0"/>
        </w:numPr>
        <w:spacing w:line="480" w:lineRule="auto"/>
        <w:ind w:firstLine="720"/>
      </w:pPr>
      <w:r>
        <w:t xml:space="preserve">The channelized Hotelling observer (CHO), with sparse difference-of-Gaussian (S-DOG) channel configuration (three radially symmetric channel profiles), has shown good agreement with human </w:t>
      </w:r>
      <w:proofErr w:type="gramStart"/>
      <w:r>
        <w:t>performance</w:t>
      </w:r>
      <w:r w:rsidR="008D1165">
        <w:t xml:space="preserve">  </w:t>
      </w:r>
      <w:proofErr w:type="gramEnd"/>
      <w:r w:rsidR="009B6816">
        <w:fldChar w:fldCharType="begin">
          <w:fldData xml:space="preserve">PEVuZE5vdGU+PENpdGU+PEF1dGhvcj5CYXJyZXR0PC9BdXRob3I+PFllYXI+MTk5MzwvWWVhcj48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</w:fldData>
        </w:fldChar>
      </w:r>
      <w:r w:rsidR="000F64FB">
        <w:instrText xml:space="preserve"> ADDIN EN.CITE </w:instrText>
      </w:r>
      <w:r w:rsidR="009B6816">
        <w:fldChar w:fldCharType="begin">
          <w:fldData xml:space="preserve">PEVuZE5vdGU+PENpdGU+PEF1dGhvcj5CYXJyZXR0PC9BdXRob3I+PFllYXI+MTk5MzwvWWVhcj48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</w:fldData>
        </w:fldChar>
      </w:r>
      <w:r w:rsidR="000F64FB">
        <w:instrText xml:space="preserve"> ADDIN EN.CITE.DATA </w:instrText>
      </w:r>
      <w:r w:rsidR="009B6816">
        <w:fldChar w:fldCharType="end"/>
      </w:r>
      <w:r w:rsidR="009B6816">
        <w:fldChar w:fldCharType="separate"/>
      </w:r>
      <w:r w:rsidR="008D1165">
        <w:rPr>
          <w:noProof/>
        </w:rPr>
        <w:t>(</w:t>
      </w:r>
      <w:hyperlink w:anchor="_ENREF_89" w:tooltip="Yao, 1992 #201" w:history="1">
        <w:r w:rsidR="007704DB">
          <w:rPr>
            <w:noProof/>
          </w:rPr>
          <w:t>Yao and Barrett 1992</w:t>
        </w:r>
      </w:hyperlink>
      <w:r w:rsidR="008D1165">
        <w:rPr>
          <w:noProof/>
        </w:rPr>
        <w:t xml:space="preserve">; </w:t>
      </w:r>
      <w:hyperlink w:anchor="_ENREF_7" w:tooltip="Barrett, 1993 #92" w:history="1">
        <w:r w:rsidR="007704DB">
          <w:rPr>
            <w:noProof/>
          </w:rPr>
          <w:t>Barrett, Yao et al. 1993</w:t>
        </w:r>
      </w:hyperlink>
      <w:r w:rsidR="008D1165">
        <w:rPr>
          <w:noProof/>
        </w:rPr>
        <w:t xml:space="preserve">; </w:t>
      </w:r>
      <w:hyperlink w:anchor="_ENREF_1" w:tooltip="Abbey, 2001 #176" w:history="1">
        <w:r w:rsidR="007704DB">
          <w:rPr>
            <w:noProof/>
          </w:rPr>
          <w:t>Abbey and Barrett 2001</w:t>
        </w:r>
      </w:hyperlink>
      <w:r w:rsidR="008D1165">
        <w:rPr>
          <w:noProof/>
        </w:rPr>
        <w:t>)</w:t>
      </w:r>
      <w:r w:rsidR="009B6816">
        <w:fldChar w:fldCharType="end"/>
      </w:r>
      <w:r w:rsidR="008D1165">
        <w:t xml:space="preserve">.  A channelized non pre-whitening scheme with a dense difference-of-Gaussian (D-DOG) channel configuration (ten channel profiles) has also been used </w:t>
      </w:r>
      <w:r w:rsidR="009B6816">
        <w:fldChar w:fldCharType="begin">
          <w:fldData xml:space="preserve">PEVuZE5vdGU+PENpdGU+PEF1dGhvcj5LYWRybWFzPC9BdXRob3I+PFllYXI+MjAwOTwvWWVhcj48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</w:fldData>
        </w:fldChar>
      </w:r>
      <w:r w:rsidR="002D7C36">
        <w:instrText xml:space="preserve"> ADDIN EN.CITE </w:instrText>
      </w:r>
      <w:r w:rsidR="009B6816">
        <w:fldChar w:fldCharType="begin">
          <w:fldData xml:space="preserve">PEVuZE5vdGU+PENpdGU+PEF1dGhvcj5LYWRybWFzPC9BdXRob3I+PFllYXI+MjAwOTwvWWVhcj48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</w:fldData>
        </w:fldChar>
      </w:r>
      <w:r w:rsidR="002D7C36">
        <w:instrText xml:space="preserve"> ADDIN EN.CITE.DATA </w:instrText>
      </w:r>
      <w:r w:rsidR="009B6816">
        <w:fldChar w:fldCharType="end"/>
      </w:r>
      <w:r w:rsidR="009B6816">
        <w:fldChar w:fldCharType="separate"/>
      </w:r>
      <w:r w:rsidR="00663C48">
        <w:rPr>
          <w:noProof/>
        </w:rPr>
        <w:t>(</w:t>
      </w:r>
      <w:hyperlink w:anchor="_ENREF_34" w:tooltip="Gifford, 2007 #90" w:history="1">
        <w:r w:rsidR="007704DB">
          <w:rPr>
            <w:noProof/>
          </w:rPr>
          <w:t>Gifford, Kinahan et al. 2007</w:t>
        </w:r>
      </w:hyperlink>
      <w:r w:rsidR="00663C48">
        <w:rPr>
          <w:noProof/>
        </w:rPr>
        <w:t xml:space="preserve">; </w:t>
      </w:r>
      <w:hyperlink w:anchor="_ENREF_45" w:tooltip="Kadrmas, 2009 #284" w:history="1">
        <w:r w:rsidR="007704DB">
          <w:rPr>
            <w:noProof/>
          </w:rPr>
          <w:t>Kadrmas, Casey et al. 2009</w:t>
        </w:r>
      </w:hyperlink>
      <w:r w:rsidR="00663C48">
        <w:rPr>
          <w:noProof/>
        </w:rPr>
        <w:t xml:space="preserve">; </w:t>
      </w:r>
      <w:hyperlink w:anchor="_ENREF_46" w:tooltip="Kadrmas, 2009 #44" w:history="1">
        <w:r w:rsidR="007704DB">
          <w:rPr>
            <w:noProof/>
          </w:rPr>
          <w:t>Kadrmas, Casey et al. 2009</w:t>
        </w:r>
      </w:hyperlink>
      <w:r w:rsidR="00663C48">
        <w:rPr>
          <w:noProof/>
        </w:rPr>
        <w:t>)</w:t>
      </w:r>
      <w:r w:rsidR="009B6816">
        <w:fldChar w:fldCharType="end"/>
      </w:r>
      <w:r w:rsidR="005D02A1">
        <w:t>; this work includes both models.</w:t>
      </w:r>
    </w:p>
    <w:p w:rsidR="007C5563" w:rsidRDefault="007C5563" w:rsidP="007C5563">
      <w:pPr>
        <w:numPr>
          <w:ilvl w:val="12"/>
          <w:numId w:val="0"/>
        </w:numPr>
        <w:spacing w:line="480" w:lineRule="auto"/>
        <w:ind w:firstLine="720"/>
      </w:pPr>
      <w:r>
        <w:t>The DOG channels are defined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7C5563" w:rsidTr="00021411">
        <w:tc>
          <w:tcPr>
            <w:tcW w:w="7920" w:type="dxa"/>
            <w:shd w:val="clear" w:color="auto" w:fill="auto"/>
            <w:vAlign w:val="center"/>
          </w:tcPr>
          <w:p w:rsidR="007C5563" w:rsidRDefault="009B6816" w:rsidP="00021411">
            <w:pPr>
              <w:numPr>
                <w:ilvl w:val="12"/>
                <w:numId w:val="0"/>
              </w:numPr>
              <w:spacing w:line="480" w:lineRule="auto"/>
              <w:ind w:firstLine="720"/>
            </w:pPr>
            <m:oMathPara>
              <m:oMath>
                <m:sSup>
                  <m:sSupPr>
                    <m:ctrlPr>
                      <w:rPr>
                        <w:rFonts w:ascii="Cambria Math" w:hAnsi="Cambria Math"/>
                      </w:rPr>
                    </m:ctrlPr>
                  </m:sSupPr>
                  <m:e>
                    <m:sSub>
                      <m:sSubPr>
                        <m:ctrlPr>
                          <w:rPr>
                            <w:rFonts w:ascii="Cambria Math" w:hAnsi="Cambria Math"/>
                            <w:i/>
                          </w:rPr>
                        </m:ctrlPr>
                      </m:sSubPr>
                      <m:e>
                        <m:r>
                          <w:rPr>
                            <w:rFonts w:ascii="Cambria Math" w:hAnsi="Cambria Math"/>
                          </w:rPr>
                          <m:t>C</m:t>
                        </m:r>
                      </m:e>
                      <m:sub>
                        <m:r>
                          <w:rPr>
                            <w:rFonts w:ascii="Cambria Math" w:hAnsi="Cambria Math"/>
                          </w:rPr>
                          <m:t>n</m:t>
                        </m:r>
                      </m:sub>
                    </m:sSub>
                    <m:d>
                      <m:dPr>
                        <m:ctrlPr>
                          <w:rPr>
                            <w:rFonts w:ascii="Cambria Math" w:hAnsi="Cambria Math"/>
                            <w:i/>
                          </w:rPr>
                        </m:ctrlPr>
                      </m:dPr>
                      <m:e>
                        <m:r>
                          <w:rPr>
                            <w:rFonts w:ascii="Cambria Math" w:hAnsi="Cambria Math"/>
                          </w:rPr>
                          <m:t>ρ</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r>
                                      <w:rPr>
                                        <w:rFonts w:ascii="Cambria Math" w:hAnsi="Cambria Math"/>
                                      </w:rPr>
                                      <m:t>Q</m:t>
                                    </m:r>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r>
                      <w:rPr>
                        <w:rFonts w:ascii="Cambria Math" w:hAnsi="Cambria Math"/>
                      </w:rPr>
                      <m:t>- 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oMath>
            </m:oMathPara>
          </w:p>
        </w:tc>
        <w:bookmarkStart w:id="91" w:name="NumberRef5795186162"/>
        <w:tc>
          <w:tcPr>
            <w:tcW w:w="720" w:type="dxa"/>
            <w:shd w:val="clear" w:color="auto" w:fill="auto"/>
            <w:vAlign w:val="center"/>
          </w:tcPr>
          <w:p w:rsidR="007C5563" w:rsidRDefault="009B6816" w:rsidP="00021411">
            <w:pPr>
              <w:pStyle w:val="EquationNumberStyle"/>
            </w:pPr>
            <w:r>
              <w:fldChar w:fldCharType="begin"/>
            </w:r>
            <w:r w:rsidR="007C5563">
              <w:instrText xml:space="preserve"> MACROBUTTON NumberReference \* MERGEFORMAT (</w:instrText>
            </w:r>
            <w:fldSimple w:instr=" SEQ EqnChapter \c \* Arabic \* MERGEFORMAT ">
              <w:r w:rsidR="005B6C27">
                <w:rPr>
                  <w:noProof/>
                </w:rPr>
                <w:instrText>5</w:instrText>
              </w:r>
            </w:fldSimple>
            <w:r w:rsidR="007C5563">
              <w:instrText>.</w:instrText>
            </w:r>
            <w:fldSimple w:instr=" SEQ EquationNumber \n \* Arabic \* MERGEFORMAT ">
              <w:r w:rsidR="005B6C27">
                <w:rPr>
                  <w:noProof/>
                </w:rPr>
                <w:instrText>2</w:instrText>
              </w:r>
            </w:fldSimple>
            <w:r w:rsidR="007C5563">
              <w:instrText>)</w:instrText>
            </w:r>
            <w:r>
              <w:fldChar w:fldCharType="end"/>
            </w:r>
            <w:bookmarkEnd w:id="91"/>
          </w:p>
        </w:tc>
      </w:tr>
    </w:tbl>
    <w:p w:rsidR="007C5563" w:rsidRDefault="007C5563" w:rsidP="007C5563">
      <w:pPr>
        <w:numPr>
          <w:ilvl w:val="12"/>
          <w:numId w:val="0"/>
        </w:numPr>
        <w:spacing w:line="480" w:lineRule="auto"/>
      </w:pPr>
      <w:r>
        <w:t>The</w:t>
      </w:r>
      <w:r w:rsidRPr="006A1C02">
        <w:t xml:space="preserve"> set of </w:t>
      </w:r>
      <m:oMath>
        <m:sSub>
          <m:sSubPr>
            <m:ctrlPr>
              <w:rPr>
                <w:rFonts w:ascii="Cambria Math" w:hAnsi="Cambria Math"/>
                <w:i/>
              </w:rPr>
            </m:ctrlPr>
          </m:sSubPr>
          <m:e>
            <m:r>
              <w:rPr>
                <w:rFonts w:ascii="Cambria Math" w:hAnsi="Cambria Math"/>
              </w:rPr>
              <m:t>σ</m:t>
            </m:r>
          </m:e>
          <m:sub>
            <m:r>
              <w:rPr>
                <w:rFonts w:ascii="Cambria Math" w:hAnsi="Cambria Math"/>
              </w:rPr>
              <m:t>n</m:t>
            </m:r>
          </m:sub>
        </m:sSub>
      </m:oMath>
      <w:r w:rsidRPr="006A1C02">
        <w:t xml:space="preserve"> </w:t>
      </w:r>
      <w:r>
        <w:t xml:space="preserve">is </w:t>
      </w:r>
      <w:r w:rsidRPr="006A1C02">
        <w:t xml:space="preserve">defined according to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7C5563" w:rsidTr="00021411">
        <w:tc>
          <w:tcPr>
            <w:tcW w:w="7920" w:type="dxa"/>
            <w:shd w:val="clear" w:color="auto" w:fill="auto"/>
            <w:vAlign w:val="center"/>
          </w:tcPr>
          <w:p w:rsidR="007C5563" w:rsidRDefault="009B6816" w:rsidP="00F11966">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σ</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0</m:t>
                    </m:r>
                  </m:sub>
                </m:sSub>
                <m:sSup>
                  <m:sSupPr>
                    <m:ctrlPr>
                      <w:rPr>
                        <w:rFonts w:ascii="Cambria Math" w:hAnsi="Cambria Math"/>
                        <w:i/>
                      </w:rPr>
                    </m:ctrlPr>
                  </m:sSupPr>
                  <m:e>
                    <m:r>
                      <w:rPr>
                        <w:rFonts w:ascii="Cambria Math" w:hAnsi="Cambria Math"/>
                      </w:rPr>
                      <m:t>α</m:t>
                    </m:r>
                  </m:e>
                  <m:sup>
                    <m:r>
                      <w:rPr>
                        <w:rFonts w:ascii="Cambria Math" w:hAnsi="Cambria Math"/>
                      </w:rPr>
                      <m:t>n</m:t>
                    </m:r>
                  </m:sup>
                </m:sSup>
              </m:oMath>
            </m:oMathPara>
          </w:p>
        </w:tc>
        <w:bookmarkStart w:id="92" w:name="NumberRef2895624638"/>
        <w:tc>
          <w:tcPr>
            <w:tcW w:w="720" w:type="dxa"/>
            <w:shd w:val="clear" w:color="auto" w:fill="auto"/>
            <w:vAlign w:val="center"/>
          </w:tcPr>
          <w:p w:rsidR="007C5563" w:rsidRDefault="009B6816" w:rsidP="00021411">
            <w:pPr>
              <w:pStyle w:val="EquationNumberStyle"/>
            </w:pPr>
            <w:r>
              <w:fldChar w:fldCharType="begin"/>
            </w:r>
            <w:r w:rsidR="007C5563">
              <w:instrText xml:space="preserve"> MACROBUTTON NumberReference \* MERGEFORMAT (</w:instrText>
            </w:r>
            <w:fldSimple w:instr=" SEQ EqnChapter \c \* Arabic \* MERGEFORMAT ">
              <w:r w:rsidR="005B6C27">
                <w:rPr>
                  <w:noProof/>
                </w:rPr>
                <w:instrText>5</w:instrText>
              </w:r>
            </w:fldSimple>
            <w:r w:rsidR="007C5563">
              <w:instrText>.</w:instrText>
            </w:r>
            <w:fldSimple w:instr=" SEQ EquationNumber \n \* Arabic \* MERGEFORMAT ">
              <w:r w:rsidR="005B6C27">
                <w:rPr>
                  <w:noProof/>
                </w:rPr>
                <w:instrText>3</w:instrText>
              </w:r>
            </w:fldSimple>
            <w:r w:rsidR="007C5563">
              <w:instrText>)</w:instrText>
            </w:r>
            <w:r>
              <w:fldChar w:fldCharType="end"/>
            </w:r>
            <w:bookmarkEnd w:id="92"/>
          </w:p>
        </w:tc>
      </w:tr>
    </w:tbl>
    <w:p w:rsidR="007C5563" w:rsidRDefault="007C5563" w:rsidP="007C5563">
      <w:pPr>
        <w:numPr>
          <w:ilvl w:val="12"/>
          <w:numId w:val="0"/>
        </w:numPr>
        <w:spacing w:line="480" w:lineRule="auto"/>
        <w:ind w:firstLine="720"/>
      </w:pPr>
      <w:r w:rsidRPr="005B1C04">
        <w:lastRenderedPageBreak/>
        <w:t>As in previous works</w:t>
      </w:r>
      <w:r w:rsidR="00633E52">
        <w:t xml:space="preserve"> </w:t>
      </w:r>
      <w:r w:rsidR="009B6816" w:rsidRPr="005B1C04">
        <w:fldChar w:fldCharType="begin">
          <w:fldData xml:space="preserve">PEVuZE5vdGU+PENpdGU+PEF1dGhvcj5BYmJleTwvQXV0aG9yPjxZZWFyPjIwMDE8L1llYXI+PFJl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==
</w:fldData>
        </w:fldChar>
      </w:r>
      <w:r w:rsidR="000F64FB">
        <w:instrText xml:space="preserve"> ADDIN EN.CITE </w:instrText>
      </w:r>
      <w:r w:rsidR="009B6816">
        <w:fldChar w:fldCharType="begin">
          <w:fldData xml:space="preserve">PEVuZE5vdGU+PENpdGU+PEF1dGhvcj5BYmJleTwvQXV0aG9yPjxZZWFyPjIwMDE8L1llYXI+PFJl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==
</w:fldData>
        </w:fldChar>
      </w:r>
      <w:r w:rsidR="000F64FB">
        <w:instrText xml:space="preserve"> ADDIN EN.CITE.DATA </w:instrText>
      </w:r>
      <w:r w:rsidR="009B6816">
        <w:fldChar w:fldCharType="end"/>
      </w:r>
      <w:r w:rsidR="009B6816" w:rsidRPr="005B1C04">
        <w:fldChar w:fldCharType="separate"/>
      </w:r>
      <w:r w:rsidRPr="005B1C04">
        <w:rPr>
          <w:noProof/>
        </w:rPr>
        <w:t>(</w:t>
      </w:r>
      <w:hyperlink w:anchor="_ENREF_35" w:tooltip="Gifford, 2000 #86" w:history="1">
        <w:r w:rsidR="007704DB" w:rsidRPr="005B1C04">
          <w:rPr>
            <w:noProof/>
          </w:rPr>
          <w:t>Gifford, King et al. 2000</w:t>
        </w:r>
      </w:hyperlink>
      <w:r w:rsidRPr="005B1C04">
        <w:rPr>
          <w:noProof/>
        </w:rPr>
        <w:t xml:space="preserve">; </w:t>
      </w:r>
      <w:hyperlink w:anchor="_ENREF_1" w:tooltip="Abbey, 2001 #176" w:history="1">
        <w:r w:rsidR="007704DB" w:rsidRPr="005B1C04">
          <w:rPr>
            <w:noProof/>
          </w:rPr>
          <w:t>Abbey and Barrett 2001</w:t>
        </w:r>
      </w:hyperlink>
      <w:r w:rsidRPr="005B1C04">
        <w:rPr>
          <w:noProof/>
        </w:rPr>
        <w:t xml:space="preserve">; </w:t>
      </w:r>
      <w:hyperlink w:anchor="_ENREF_34" w:tooltip="Gifford, 2007 #90" w:history="1">
        <w:r w:rsidR="007704DB" w:rsidRPr="005B1C04">
          <w:rPr>
            <w:noProof/>
          </w:rPr>
          <w:t>Gifford, Kinahan et al. 2007</w:t>
        </w:r>
      </w:hyperlink>
      <w:r w:rsidRPr="005B1C04">
        <w:rPr>
          <w:noProof/>
        </w:rPr>
        <w:t>)</w:t>
      </w:r>
      <w:r w:rsidR="009B6816" w:rsidRPr="005B1C04">
        <w:fldChar w:fldCharType="end"/>
      </w:r>
      <w:r w:rsidR="00633E52">
        <w:t xml:space="preserve">, </w:t>
      </w:r>
      <w:r w:rsidRPr="005B1C04">
        <w:t xml:space="preserve">the values of </w:t>
      </w:r>
      <m:oMath>
        <m:r>
          <w:rPr>
            <w:rFonts w:ascii="Cambria Math" w:hAnsi="Cambria Math"/>
          </w:rPr>
          <m:t>Q</m:t>
        </m:r>
      </m:oMath>
      <w:r w:rsidRPr="005B1C04">
        <w:t xml:space="preserve"> and </w:t>
      </w:r>
      <m:oMath>
        <m:r>
          <w:rPr>
            <w:rFonts w:ascii="Cambria Math" w:hAnsi="Cambria Math"/>
          </w:rPr>
          <m:t>α</m:t>
        </m:r>
      </m:oMath>
      <w:r w:rsidRPr="005B1C04">
        <w:t xml:space="preserve"> are both set to 2.  The</w:t>
      </w:r>
      <w:r>
        <w:t xml:space="preserve"> </w:t>
      </w:r>
      <m:oMath>
        <m:sSub>
          <m:sSubPr>
            <m:ctrlPr>
              <w:rPr>
                <w:rFonts w:ascii="Cambria Math" w:hAnsi="Cambria Math"/>
                <w:i/>
              </w:rPr>
            </m:ctrlPr>
          </m:sSubPr>
          <m:e>
            <m:r>
              <w:rPr>
                <w:rFonts w:ascii="Cambria Math" w:hAnsi="Cambria Math"/>
              </w:rPr>
              <m:t>σ</m:t>
            </m:r>
          </m:e>
          <m:sub>
            <m:r>
              <w:rPr>
                <w:rFonts w:ascii="Cambria Math" w:hAnsi="Cambria Math"/>
              </w:rPr>
              <m:t>n</m:t>
            </m:r>
          </m:sub>
        </m:sSub>
      </m:oMath>
      <w:r>
        <w:t xml:space="preserve"> </w:t>
      </w:r>
      <w:r w:rsidR="00630894">
        <w:t>sets</w:t>
      </w:r>
      <w:r w:rsidR="000E3AAE">
        <w:t xml:space="preserve"> the variance of the two Gau</w:t>
      </w:r>
      <w:r>
        <w:t xml:space="preserve">ssian curves in frequency domain.  Setting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t xml:space="preserve"> to 0.015  </w:t>
      </w:r>
      <w:r w:rsidR="009B6816">
        <w:fldChar w:fldCharType="begin"/>
      </w:r>
      <w:r w:rsidR="002D7C36">
        <w:instrText xml:space="preserve"> ADDIN EN.CITE &lt;EndNote&gt;&lt;Cite&gt;&lt;Author&gt;Abbey&lt;/Author&gt;&lt;Year&gt;2001&lt;/Year&gt;&lt;RecNum&gt;176&lt;/RecNum&gt;&lt;DisplayText&gt;(Abbey and Barrett 2001)&lt;/DisplayText&gt;&lt;record&gt;&lt;rec-number&gt;176&lt;/rec-number&gt;&lt;foreign-keys&gt;&lt;key app="EN" db-id="srwv9ppvvez5pgefxzi5ddeve5w2fe5x5esr"&gt;176&lt;/key&gt;&lt;/foreign-keys&gt;&lt;ref-type name="Journal Article"&gt;17&lt;/ref-type&gt;&lt;contributors&gt;&lt;authors&gt;&lt;author&gt;Abbey, CK&lt;/author&gt;&lt;author&gt;Barrett, HH&lt;/author&gt;&lt;/authors&gt;&lt;/contributors&gt;&lt;titles&gt;&lt;title&gt;Human-and model-observer performance in ramp-spectrum noise: effects of regularization and object variability&lt;/title&gt;&lt;secondary-title&gt;JOSA A&lt;/secondary-title&gt;&lt;/titles&gt;&lt;pages&gt;473-488&lt;/pages&gt;&lt;volume&gt;18&lt;/volume&gt;&lt;number&gt;3&lt;/number&gt;&lt;dates&gt;&lt;year&gt;2001&lt;/year&gt;&lt;/dates&gt;&lt;isbn&gt;1520-8532&lt;/isbn&gt;&lt;urls&gt;&lt;/urls&gt;&lt;/record&gt;&lt;/Cite&gt;&lt;/EndNote&gt;</w:instrText>
      </w:r>
      <w:r w:rsidR="009B6816">
        <w:fldChar w:fldCharType="separate"/>
      </w:r>
      <w:r>
        <w:rPr>
          <w:noProof/>
        </w:rPr>
        <w:t>(</w:t>
      </w:r>
      <w:hyperlink w:anchor="_ENREF_1" w:tooltip="Abbey, 2001 #176" w:history="1">
        <w:r w:rsidR="007704DB">
          <w:rPr>
            <w:noProof/>
          </w:rPr>
          <w:t>Abbey and Barrett 2001</w:t>
        </w:r>
      </w:hyperlink>
      <w:r>
        <w:rPr>
          <w:noProof/>
        </w:rPr>
        <w:t>)</w:t>
      </w:r>
      <w:r w:rsidR="009B6816">
        <w:fldChar w:fldCharType="end"/>
      </w:r>
      <w:r>
        <w:t>, the channel profiles are seen below.</w:t>
      </w:r>
      <w:r w:rsidRPr="00262C17">
        <w:t xml:space="preserve"> </w:t>
      </w:r>
    </w:p>
    <w:p w:rsidR="005B1C04" w:rsidRDefault="005B1C04" w:rsidP="007C5563">
      <w:pPr>
        <w:numPr>
          <w:ilvl w:val="12"/>
          <w:numId w:val="0"/>
        </w:numPr>
        <w:spacing w:line="480" w:lineRule="auto"/>
        <w:ind w:firstLine="720"/>
      </w:pPr>
    </w:p>
    <w:p w:rsidR="007C5563" w:rsidRDefault="007C5563" w:rsidP="009A3832">
      <w:pPr>
        <w:numPr>
          <w:ilvl w:val="12"/>
          <w:numId w:val="0"/>
        </w:numPr>
        <w:spacing w:line="480" w:lineRule="auto"/>
        <w:ind w:firstLine="720"/>
      </w:pPr>
      <w:r w:rsidRPr="00B05CC7">
        <w:rPr>
          <w:noProof/>
        </w:rPr>
        <w:drawing>
          <wp:inline distT="0" distB="0" distL="0" distR="0">
            <wp:extent cx="2229782" cy="2057400"/>
            <wp:effectExtent l="19050" t="0" r="0" b="0"/>
            <wp:docPr id="28" name="Picture 3" descr="C:\Users\Josh\Desktop\temp\channe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temp\channels.tif"/>
                    <pic:cNvPicPr>
                      <a:picLocks noChangeAspect="1" noChangeArrowheads="1"/>
                    </pic:cNvPicPr>
                  </pic:nvPicPr>
                  <pic:blipFill>
                    <a:blip r:embed="rId47" cstate="print"/>
                    <a:srcRect/>
                    <a:stretch>
                      <a:fillRect/>
                    </a:stretch>
                  </pic:blipFill>
                  <pic:spPr bwMode="auto">
                    <a:xfrm>
                      <a:off x="0" y="0"/>
                      <a:ext cx="2229782" cy="2057400"/>
                    </a:xfrm>
                    <a:prstGeom prst="rect">
                      <a:avLst/>
                    </a:prstGeom>
                    <a:noFill/>
                    <a:ln w="9525">
                      <a:noFill/>
                      <a:miter lim="800000"/>
                      <a:headEnd/>
                      <a:tailEnd/>
                    </a:ln>
                  </pic:spPr>
                </pic:pic>
              </a:graphicData>
            </a:graphic>
          </wp:inline>
        </w:drawing>
      </w:r>
    </w:p>
    <w:p w:rsidR="007C5563" w:rsidRDefault="007C5563" w:rsidP="0084023C">
      <w:pPr>
        <w:pStyle w:val="Caption"/>
      </w:pPr>
      <w:bookmarkStart w:id="93" w:name="_Toc351890070"/>
      <w:proofErr w:type="gramStart"/>
      <w:r>
        <w:t xml:space="preserve">Figure </w:t>
      </w:r>
      <w:r w:rsidR="009B6816">
        <w:fldChar w:fldCharType="begin"/>
      </w:r>
      <w:r>
        <w:instrText xml:space="preserve"> SEQ Figure \* ARABIC </w:instrText>
      </w:r>
      <w:r w:rsidR="009B6816">
        <w:fldChar w:fldCharType="separate"/>
      </w:r>
      <w:r w:rsidR="005B6C27">
        <w:rPr>
          <w:noProof/>
        </w:rPr>
        <w:t>29</w:t>
      </w:r>
      <w:r w:rsidR="009B6816">
        <w:fldChar w:fldCharType="end"/>
      </w:r>
      <w:r>
        <w:t>.</w:t>
      </w:r>
      <w:proofErr w:type="gramEnd"/>
      <w:r>
        <w:t xml:space="preserve"> Channel profiles for the S-DOG configuration</w:t>
      </w:r>
      <w:bookmarkEnd w:id="93"/>
    </w:p>
    <w:p w:rsidR="00EB1E8F" w:rsidRDefault="00EB1E8F" w:rsidP="006D6C11">
      <w:pPr>
        <w:numPr>
          <w:ilvl w:val="12"/>
          <w:numId w:val="0"/>
        </w:numPr>
        <w:spacing w:line="480" w:lineRule="auto"/>
        <w:ind w:firstLine="720"/>
      </w:pPr>
    </w:p>
    <w:p w:rsidR="00FF1FC0" w:rsidRDefault="00EC72D4" w:rsidP="006D6C11">
      <w:pPr>
        <w:numPr>
          <w:ilvl w:val="12"/>
          <w:numId w:val="0"/>
        </w:numPr>
        <w:spacing w:line="480" w:lineRule="auto"/>
        <w:ind w:firstLine="720"/>
      </w:pPr>
      <w:r>
        <w:t>T</w:t>
      </w:r>
      <w:r w:rsidR="00FF1FC0">
        <w:t>he</w:t>
      </w:r>
      <w:r>
        <w:t xml:space="preserve"> corresponding spatial channels are obtained through </w:t>
      </w:r>
      <w:r w:rsidR="008B3FB6">
        <w:t>a</w:t>
      </w:r>
      <w:r w:rsidR="00630894">
        <w:t>n</w:t>
      </w:r>
      <w:r>
        <w:t xml:space="preserve"> inverse Fourier transform.  The linearity of the transform allows us to handle each part in </w:t>
      </w:r>
      <w:r w:rsidR="00F45AAF">
        <w:t>Equation (5.2) separately.</w:t>
      </w:r>
      <w:r w:rsidR="009821D3">
        <w:t xml:space="preserve">  For a</w:t>
      </w:r>
      <w:r w:rsidR="00EC5E95">
        <w:t xml:space="preserve"> general</w:t>
      </w:r>
      <w:r w:rsidR="009821D3">
        <w:t xml:space="preserve"> Gaussian function, the inverse Fourier transform is</w:t>
      </w: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9"/>
        <w:gridCol w:w="721"/>
      </w:tblGrid>
      <w:tr w:rsidR="00303FF6" w:rsidTr="006C342D">
        <w:trPr>
          <w:trHeight w:val="589"/>
        </w:trPr>
        <w:tc>
          <w:tcPr>
            <w:tcW w:w="7929" w:type="dxa"/>
            <w:shd w:val="clear" w:color="auto" w:fill="auto"/>
            <w:vAlign w:val="center"/>
          </w:tcPr>
          <w:p w:rsidR="006C342D" w:rsidRDefault="009B6816" w:rsidP="006C342D">
            <w:pPr>
              <w:numPr>
                <w:ilvl w:val="12"/>
                <w:numId w:val="0"/>
              </w:numPr>
              <w:spacing w:line="480" w:lineRule="auto"/>
              <w:ind w:firstLine="720"/>
            </w:pPr>
            <m:oMathPara>
              <m:oMath>
                <m:func>
                  <m:funcPr>
                    <m:ctrlPr>
                      <w:rPr>
                        <w:rFonts w:ascii="Cambria Math" w:hAnsi="Kunstler Script"/>
                        <w:i/>
                      </w:rPr>
                    </m:ctrlPr>
                  </m:funcPr>
                  <m:fName>
                    <m:sSubSup>
                      <m:sSubSupPr>
                        <m:ctrlPr>
                          <w:rPr>
                            <w:rFonts w:ascii="Cambria Math" w:hAnsi="Cambria Math"/>
                            <w:i/>
                          </w:rPr>
                        </m:ctrlPr>
                      </m:sSubSupPr>
                      <m:e>
                        <m:r>
                          <m:rPr>
                            <m:scr m:val="script"/>
                          </m:rPr>
                          <w:rPr>
                            <w:rFonts w:ascii="Cambria Math" w:hAnsi="Cambria Math"/>
                          </w:rPr>
                          <m:t>F</m:t>
                        </m:r>
                      </m:e>
                      <m:sub>
                        <m:r>
                          <w:rPr>
                            <w:rFonts w:ascii="Cambria Math" w:hAnsi="Cambria Math"/>
                          </w:rPr>
                          <m:t>ρ</m:t>
                        </m:r>
                      </m:sub>
                      <m:sup>
                        <m:r>
                          <w:rPr>
                            <w:rFonts w:ascii="Cambria Math" w:hAnsi="Cambria Math"/>
                          </w:rPr>
                          <m:t>-1</m:t>
                        </m:r>
                      </m:sup>
                    </m:sSubSup>
                  </m:fName>
                  <m:e>
                    <m:d>
                      <m:dPr>
                        <m:begChr m:val="["/>
                        <m:endChr m:val="]"/>
                        <m:ctrlPr>
                          <w:rPr>
                            <w:rFonts w:ascii="Cambria Math" w:hAnsi="Kunstler Script"/>
                            <w:i/>
                          </w:rPr>
                        </m:ctrlPr>
                      </m:dPr>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e>
                    </m:d>
                  </m:e>
                </m:func>
                <m:d>
                  <m:dPr>
                    <m:ctrlPr>
                      <w:rPr>
                        <w:rFonts w:ascii="Cambria Math" w:hAnsi="Kunstler Script"/>
                        <w:i/>
                      </w:rPr>
                    </m:ctrlPr>
                  </m:dPr>
                  <m:e>
                    <m:r>
                      <w:rPr>
                        <w:rFonts w:ascii="Cambria Math" w:hAnsi="Kunstler Script"/>
                      </w:rPr>
                      <m:t>r</m:t>
                    </m:r>
                  </m:e>
                </m:d>
                <m:r>
                  <w:rPr>
                    <w:rFonts w:ascii="Cambria Math" w:hAnsi="Kunstler Script"/>
                  </w:rPr>
                  <m:t>=</m:t>
                </m:r>
                <m:nary>
                  <m:naryPr>
                    <m:limLoc m:val="subSup"/>
                    <m:ctrlPr>
                      <w:rPr>
                        <w:rFonts w:ascii="Cambria Math" w:hAnsi="Kunstler Script"/>
                        <w:i/>
                      </w:rPr>
                    </m:ctrlPr>
                  </m:naryPr>
                  <m:sub>
                    <m:r>
                      <w:rPr>
                        <w:rFonts w:ascii="Cambria Math" w:hAnsi="Kunstler Script"/>
                      </w:rPr>
                      <m:t>-</m:t>
                    </m:r>
                    <m:r>
                      <w:rPr>
                        <w:rFonts w:ascii="Cambria Math" w:hAnsi="Cambria Math"/>
                      </w:rPr>
                      <m:t>∞</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sSup>
                      <m:sSupPr>
                        <m:ctrlPr>
                          <w:rPr>
                            <w:rFonts w:ascii="Cambria Math" w:hAnsi="Kunstler Script"/>
                            <w:i/>
                          </w:rPr>
                        </m:ctrlPr>
                      </m:sSupPr>
                      <m:e>
                        <m:r>
                          <w:rPr>
                            <w:rFonts w:ascii="Cambria Math" w:hAnsi="Kunstler Script"/>
                          </w:rPr>
                          <m:t>e</m:t>
                        </m:r>
                      </m:e>
                      <m:sup>
                        <m:r>
                          <w:rPr>
                            <w:rFonts w:ascii="Cambria Math" w:hAnsi="Cambria Math"/>
                          </w:rPr>
                          <m:t>2πiρr</m:t>
                        </m:r>
                      </m:sup>
                    </m:sSup>
                    <m:box>
                      <m:boxPr>
                        <m:diff m:val="on"/>
                        <m:ctrlPr>
                          <w:rPr>
                            <w:rFonts w:ascii="Cambria Math" w:hAnsi="Kunstler Script"/>
                            <w:i/>
                          </w:rPr>
                        </m:ctrlPr>
                      </m:boxPr>
                      <m:e>
                        <m:r>
                          <w:rPr>
                            <w:rFonts w:ascii="Cambria Math" w:hAnsi="Kunstler Script"/>
                          </w:rPr>
                          <m:t>d</m:t>
                        </m:r>
                        <m:r>
                          <w:rPr>
                            <w:rFonts w:ascii="Cambria Math" w:hAnsi="Cambria Math"/>
                          </w:rPr>
                          <m:t>ρ</m:t>
                        </m:r>
                      </m:e>
                    </m:box>
                  </m:e>
                </m:nary>
              </m:oMath>
            </m:oMathPara>
          </w:p>
        </w:tc>
        <w:tc>
          <w:tcPr>
            <w:tcW w:w="721" w:type="dxa"/>
            <w:shd w:val="clear" w:color="auto" w:fill="auto"/>
            <w:vAlign w:val="center"/>
          </w:tcPr>
          <w:p w:rsidR="00303FF6" w:rsidRDefault="009B6816" w:rsidP="00A77158">
            <w:pPr>
              <w:pStyle w:val="EquationNumberStyle"/>
            </w:pPr>
            <w:r>
              <w:fldChar w:fldCharType="begin"/>
            </w:r>
            <w:r w:rsidR="00303FF6">
              <w:instrText xml:space="preserve"> MACROBUTTON NumberReference \* MERGEFORMAT (</w:instrText>
            </w:r>
            <w:fldSimple w:instr=" SEQ EqnChapter \c \* Arabic \* MERGEFORMAT ">
              <w:r w:rsidR="005B6C27">
                <w:rPr>
                  <w:noProof/>
                </w:rPr>
                <w:instrText>5</w:instrText>
              </w:r>
            </w:fldSimple>
            <w:r w:rsidR="00303FF6">
              <w:instrText>.</w:instrText>
            </w:r>
            <w:fldSimple w:instr=" SEQ EquationNumber \n \* Arabic \* MERGEFORMAT ">
              <w:r w:rsidR="005B6C27">
                <w:rPr>
                  <w:noProof/>
                </w:rPr>
                <w:instrText>4</w:instrText>
              </w:r>
            </w:fldSimple>
            <w:r w:rsidR="00303FF6">
              <w:instrText>)</w:instrText>
            </w:r>
            <w:r>
              <w:fldChar w:fldCharType="end"/>
            </w:r>
          </w:p>
        </w:tc>
      </w:tr>
    </w:tbl>
    <w:p w:rsidR="006C342D" w:rsidRDefault="006C342D" w:rsidP="006C7A59">
      <w:pPr>
        <w:numPr>
          <w:ilvl w:val="12"/>
          <w:numId w:val="0"/>
        </w:numPr>
        <w:spacing w:line="480" w:lineRule="auto"/>
      </w:pPr>
      <w:r>
        <w:t>Following Euler’s relationship, the complex exponential can be expanded.</w:t>
      </w:r>
      <w:r w:rsidRPr="006C342D">
        <w:t xml:space="preserve"> </w:t>
      </w:r>
    </w:p>
    <w:tbl>
      <w:tblPr>
        <w:tblStyle w:val="TableGrid"/>
        <w:tblW w:w="50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8056"/>
        <w:gridCol w:w="733"/>
      </w:tblGrid>
      <w:tr w:rsidR="00BB0A21" w:rsidTr="00321B9E">
        <w:trPr>
          <w:trHeight w:val="592"/>
        </w:trPr>
        <w:tc>
          <w:tcPr>
            <w:tcW w:w="8056" w:type="dxa"/>
            <w:shd w:val="clear" w:color="auto" w:fill="auto"/>
            <w:vAlign w:val="center"/>
          </w:tcPr>
          <w:p w:rsidR="00BB0A21" w:rsidRDefault="00BB0A21" w:rsidP="00751B57">
            <w:pPr>
              <w:numPr>
                <w:ilvl w:val="12"/>
                <w:numId w:val="0"/>
              </w:numPr>
              <w:spacing w:line="480" w:lineRule="auto"/>
              <w:ind w:firstLine="720"/>
            </w:pPr>
          </w:p>
        </w:tc>
        <w:tc>
          <w:tcPr>
            <w:tcW w:w="733" w:type="dxa"/>
            <w:shd w:val="clear" w:color="auto" w:fill="auto"/>
            <w:vAlign w:val="center"/>
          </w:tcPr>
          <w:p w:rsidR="00BB0A21" w:rsidRDefault="00BB0A21" w:rsidP="000F64FB">
            <w:pPr>
              <w:pStyle w:val="EquationNumberStyle"/>
            </w:pPr>
          </w:p>
        </w:tc>
      </w:tr>
    </w:tbl>
    <w:p w:rsidR="00751B57" w:rsidRDefault="00751B57" w:rsidP="006D6C11">
      <w:pPr>
        <w:numPr>
          <w:ilvl w:val="12"/>
          <w:numId w:val="0"/>
        </w:numPr>
        <w:spacing w:line="480" w:lineRule="auto"/>
        <w:ind w:firstLine="720"/>
      </w:pP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9"/>
        <w:gridCol w:w="721"/>
      </w:tblGrid>
      <w:tr w:rsidR="00751B57" w:rsidTr="000F4295">
        <w:trPr>
          <w:trHeight w:val="589"/>
        </w:trPr>
        <w:tc>
          <w:tcPr>
            <w:tcW w:w="7929" w:type="dxa"/>
            <w:shd w:val="clear" w:color="auto" w:fill="auto"/>
            <w:vAlign w:val="center"/>
          </w:tcPr>
          <w:p w:rsidR="00751B57" w:rsidRDefault="009B6816" w:rsidP="00306CAE">
            <w:pPr>
              <w:numPr>
                <w:ilvl w:val="12"/>
                <w:numId w:val="0"/>
              </w:numPr>
              <w:spacing w:line="480" w:lineRule="auto"/>
              <w:ind w:firstLine="720"/>
            </w:pPr>
            <m:oMathPara>
              <m:oMathParaPr>
                <m:jc m:val="centerGroup"/>
              </m:oMathParaPr>
              <m:oMath>
                <m:nary>
                  <m:naryPr>
                    <m:limLoc m:val="subSup"/>
                    <m:ctrlPr>
                      <w:rPr>
                        <w:rFonts w:ascii="Cambria Math" w:hAnsi="Kunstler Script"/>
                        <w:i/>
                      </w:rPr>
                    </m:ctrlPr>
                  </m:naryPr>
                  <m:sub>
                    <m:r>
                      <w:rPr>
                        <w:rFonts w:ascii="Cambria Math" w:hAnsi="Kunstler Script"/>
                      </w:rPr>
                      <m:t>-</m:t>
                    </m:r>
                    <m:r>
                      <w:rPr>
                        <w:rFonts w:ascii="Cambria Math" w:hAnsi="Cambria Math"/>
                      </w:rPr>
                      <m:t>∞</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sSup>
                      <m:sSupPr>
                        <m:ctrlPr>
                          <w:rPr>
                            <w:rFonts w:ascii="Cambria Math" w:hAnsi="Kunstler Script"/>
                            <w:i/>
                          </w:rPr>
                        </m:ctrlPr>
                      </m:sSupPr>
                      <m:e>
                        <m:r>
                          <w:rPr>
                            <w:rFonts w:ascii="Cambria Math" w:hAnsi="Kunstler Script"/>
                          </w:rPr>
                          <m:t>e</m:t>
                        </m:r>
                      </m:e>
                      <m:sup>
                        <m:r>
                          <w:rPr>
                            <w:rFonts w:ascii="Cambria Math" w:hAnsi="Cambria Math"/>
                          </w:rPr>
                          <m:t>2πiρr</m:t>
                        </m:r>
                      </m:sup>
                    </m:sSup>
                    <m:box>
                      <m:boxPr>
                        <m:diff m:val="on"/>
                        <m:ctrlPr>
                          <w:rPr>
                            <w:rFonts w:ascii="Cambria Math" w:hAnsi="Kunstler Script"/>
                            <w:i/>
                          </w:rPr>
                        </m:ctrlPr>
                      </m:boxPr>
                      <m:e>
                        <m:r>
                          <w:rPr>
                            <w:rFonts w:ascii="Cambria Math" w:hAnsi="Kunstler Script"/>
                          </w:rPr>
                          <m:t>d</m:t>
                        </m:r>
                        <m:r>
                          <w:rPr>
                            <w:rFonts w:ascii="Cambria Math" w:hAnsi="Cambria Math"/>
                          </w:rPr>
                          <m:t xml:space="preserve">ρ </m:t>
                        </m:r>
                      </m:e>
                    </m:box>
                  </m:e>
                </m:nary>
                <m:r>
                  <w:rPr>
                    <w:rFonts w:ascii="Cambria Math" w:hAnsi="Kunstler Script"/>
                  </w:rPr>
                  <m:t>=</m:t>
                </m:r>
                <m:nary>
                  <m:naryPr>
                    <m:limLoc m:val="subSup"/>
                    <m:ctrlPr>
                      <w:rPr>
                        <w:rFonts w:ascii="Cambria Math" w:hAnsi="Kunstler Script"/>
                        <w:i/>
                      </w:rPr>
                    </m:ctrlPr>
                  </m:naryPr>
                  <m:sub>
                    <m:r>
                      <w:rPr>
                        <w:rFonts w:ascii="Cambria Math" w:hAnsi="Kunstler Script"/>
                      </w:rPr>
                      <m:t>-</m:t>
                    </m:r>
                    <m:r>
                      <w:rPr>
                        <w:rFonts w:ascii="Cambria Math" w:hAnsi="Cambria Math"/>
                      </w:rPr>
                      <m:t>∞</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r>
                      <m:rPr>
                        <m:sty m:val="p"/>
                      </m:rPr>
                      <w:rPr>
                        <w:rFonts w:ascii="Cambria Math" w:hAnsi="Kunstler Script"/>
                      </w:rPr>
                      <m:t>cos</m:t>
                    </m:r>
                    <m:d>
                      <m:dPr>
                        <m:ctrlPr>
                          <w:rPr>
                            <w:rFonts w:ascii="Cambria Math" w:hAnsi="Kunstler Script"/>
                          </w:rPr>
                        </m:ctrlPr>
                      </m:dPr>
                      <m:e>
                        <m:r>
                          <w:rPr>
                            <w:rFonts w:ascii="Cambria Math" w:hAnsi="Cambria Math"/>
                          </w:rPr>
                          <m:t>2πρr</m:t>
                        </m:r>
                      </m:e>
                    </m:d>
                    <m:r>
                      <w:rPr>
                        <w:rFonts w:ascii="Cambria Math" w:hAnsi="Kunstler Script"/>
                      </w:rPr>
                      <m:t>d</m:t>
                    </m:r>
                    <m:r>
                      <w:rPr>
                        <w:rFonts w:ascii="Cambria Math" w:hAnsi="Cambria Math"/>
                      </w:rPr>
                      <m:t>ρ</m:t>
                    </m:r>
                    <m:r>
                      <m:rPr>
                        <m:sty m:val="p"/>
                      </m:rPr>
                      <w:rPr>
                        <w:rFonts w:ascii="Cambria Math" w:hAnsi="Kunstler Script"/>
                      </w:rPr>
                      <m:t>+</m:t>
                    </m:r>
                  </m:e>
                </m:nary>
                <m:r>
                  <w:rPr>
                    <w:rFonts w:ascii="Cambria Math" w:hAnsi="Cambria Math"/>
                  </w:rPr>
                  <m:t>i</m:t>
                </m:r>
                <m:nary>
                  <m:naryPr>
                    <m:limLoc m:val="subSup"/>
                    <m:ctrlPr>
                      <w:rPr>
                        <w:rFonts w:ascii="Cambria Math" w:hAnsi="Kunstler Script"/>
                        <w:i/>
                      </w:rPr>
                    </m:ctrlPr>
                  </m:naryPr>
                  <m:sub>
                    <m:r>
                      <w:rPr>
                        <w:rFonts w:ascii="Cambria Math" w:hAnsi="Kunstler Script"/>
                      </w:rPr>
                      <m:t>-</m:t>
                    </m:r>
                    <m:r>
                      <w:rPr>
                        <w:rFonts w:ascii="Cambria Math" w:hAnsi="Cambria Math"/>
                      </w:rPr>
                      <m:t>∞</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e>
                </m:nary>
                <m:d>
                  <m:dPr>
                    <m:ctrlPr>
                      <w:rPr>
                        <w:rFonts w:ascii="Cambria Math" w:hAnsi="Kunstler Script"/>
                      </w:rPr>
                    </m:ctrlPr>
                  </m:dPr>
                  <m:e>
                    <m:r>
                      <w:rPr>
                        <w:rFonts w:ascii="Cambria Math" w:hAnsi="Cambria Math"/>
                      </w:rPr>
                      <m:t>2πρr</m:t>
                    </m:r>
                  </m:e>
                </m:d>
                <m:r>
                  <w:rPr>
                    <w:rFonts w:ascii="Cambria Math" w:hAnsi="Kunstler Script"/>
                  </w:rPr>
                  <m:t>d</m:t>
                </m:r>
                <m:r>
                  <w:rPr>
                    <w:rFonts w:ascii="Cambria Math" w:hAnsi="Cambria Math"/>
                  </w:rPr>
                  <m:t>ρ</m:t>
                </m:r>
              </m:oMath>
            </m:oMathPara>
          </w:p>
        </w:tc>
        <w:tc>
          <w:tcPr>
            <w:tcW w:w="721" w:type="dxa"/>
            <w:shd w:val="clear" w:color="auto" w:fill="auto"/>
            <w:vAlign w:val="center"/>
          </w:tcPr>
          <w:p w:rsidR="00751B57" w:rsidRDefault="009B6816" w:rsidP="000F4295">
            <w:pPr>
              <w:pStyle w:val="EquationNumberStyle"/>
            </w:pPr>
            <w:r>
              <w:fldChar w:fldCharType="begin"/>
            </w:r>
            <w:r w:rsidR="00751B57">
              <w:instrText xml:space="preserve"> MACROBUTTON NumberReference \* MERGEFORMAT (</w:instrText>
            </w:r>
            <w:fldSimple w:instr=" SEQ EqnChapter \c \* Arabic \* MERGEFORMAT ">
              <w:r w:rsidR="005B6C27">
                <w:rPr>
                  <w:noProof/>
                </w:rPr>
                <w:instrText>5</w:instrText>
              </w:r>
            </w:fldSimple>
            <w:r w:rsidR="00751B57">
              <w:instrText>.</w:instrText>
            </w:r>
            <w:fldSimple w:instr=" SEQ EquationNumber \n \* Arabic \* MERGEFORMAT ">
              <w:r w:rsidR="005B6C27">
                <w:rPr>
                  <w:noProof/>
                </w:rPr>
                <w:instrText>5</w:instrText>
              </w:r>
            </w:fldSimple>
            <w:r w:rsidR="00751B57">
              <w:instrText>)</w:instrText>
            </w:r>
            <w:r>
              <w:fldChar w:fldCharType="end"/>
            </w:r>
          </w:p>
        </w:tc>
      </w:tr>
    </w:tbl>
    <w:p w:rsidR="00751B57" w:rsidRDefault="00751B57" w:rsidP="006D6C11">
      <w:pPr>
        <w:numPr>
          <w:ilvl w:val="12"/>
          <w:numId w:val="0"/>
        </w:numPr>
        <w:spacing w:line="480" w:lineRule="auto"/>
        <w:ind w:firstLine="720"/>
      </w:pPr>
    </w:p>
    <w:p w:rsidR="00BB0A21" w:rsidRDefault="00BB0A21" w:rsidP="006D6C11">
      <w:pPr>
        <w:numPr>
          <w:ilvl w:val="12"/>
          <w:numId w:val="0"/>
        </w:numPr>
        <w:spacing w:line="480" w:lineRule="auto"/>
        <w:ind w:firstLine="720"/>
      </w:pPr>
      <w:r>
        <w:t xml:space="preserve">The second integrand contains the product of the sin function and </w:t>
      </w:r>
      <w:r w:rsidR="00630894">
        <w:t xml:space="preserve">a </w:t>
      </w:r>
      <w:r>
        <w:t xml:space="preserve">zero-mean Gaussian.  We can </w:t>
      </w:r>
      <w:r w:rsidR="00923BB9">
        <w:t>therefore</w:t>
      </w:r>
      <w:r>
        <w:t xml:space="preserve"> eliminate the complex portion of the formula, since integrating </w:t>
      </w:r>
      <w:r w:rsidR="00A6708E">
        <w:t xml:space="preserve">an odd </w:t>
      </w:r>
      <w:r w:rsidR="00013B5F">
        <w:t xml:space="preserve">function </w:t>
      </w:r>
      <w:r>
        <w:t>over a symmetric range yields zero</w:t>
      </w:r>
      <w:r w:rsidR="009200D2">
        <w:t>.</w:t>
      </w:r>
      <w:r w:rsidR="000F64FB">
        <w:t xml:space="preserve">  The value of the first integral </w:t>
      </w:r>
      <w:r w:rsidR="00F004B0">
        <w:t xml:space="preserve">is </w:t>
      </w:r>
      <w:r w:rsidR="000F64FB">
        <w:t xml:space="preserve">found through the identity </w:t>
      </w:r>
      <w:r w:rsidR="009B6816">
        <w:fldChar w:fldCharType="begin"/>
      </w:r>
      <w:r w:rsidR="000F64FB">
        <w:instrText xml:space="preserve"> ADDIN EN.CITE &lt;EndNote&gt;&lt;Cite&gt;&lt;Author&gt;Abramowitz&lt;/Author&gt;&lt;Year&gt;1972&lt;/Year&gt;&lt;RecNum&gt;341&lt;/RecNum&gt;&lt;DisplayText&gt;(Abramowitz and Stegun 1972)&lt;/DisplayText&gt;&lt;record&gt;&lt;rec-number&gt;341&lt;/rec-number&gt;&lt;foreign-keys&gt;&lt;key app="EN" db-id="srwv9ppvvez5pgefxzi5ddeve5w2fe5x5esr"&gt;341&lt;/key&gt;&lt;/foreign-keys&gt;&lt;ref-type name="Generic"&gt;13&lt;/ref-type&gt;&lt;contributors&gt;&lt;authors&gt;&lt;author&gt;Abramowitz, M&lt;/author&gt;&lt;author&gt;Stegun, IA&lt;/author&gt;&lt;/authors&gt;&lt;/contributors&gt;&lt;titles&gt;&lt;title&gt;Bernoulli and Eulear Polynomials and the Euler-Maclaurin Formula, $23.1 in Handbook of Mathematical Functions with Formulas, Graphs, and Mathematical Tables, 9th printing&lt;/title&gt;&lt;/titles&gt;&lt;dates&gt;&lt;year&gt;1972&lt;/year&gt;&lt;/dates&gt;&lt;publisher&gt;New York: Dover&lt;/publisher&gt;&lt;urls&gt;&lt;/urls&gt;&lt;/record&gt;&lt;/Cite&gt;&lt;/EndNote&gt;</w:instrText>
      </w:r>
      <w:r w:rsidR="009B6816">
        <w:fldChar w:fldCharType="separate"/>
      </w:r>
      <w:r w:rsidR="000F64FB">
        <w:rPr>
          <w:noProof/>
        </w:rPr>
        <w:t>(</w:t>
      </w:r>
      <w:hyperlink w:anchor="_ENREF_2" w:tooltip="Abramowitz, 1972 #341" w:history="1">
        <w:r w:rsidR="007704DB">
          <w:rPr>
            <w:noProof/>
          </w:rPr>
          <w:t>Abramowitz and Stegun 1972</w:t>
        </w:r>
      </w:hyperlink>
      <w:r w:rsidR="000F64FB">
        <w:rPr>
          <w:noProof/>
        </w:rPr>
        <w:t>)</w:t>
      </w:r>
      <w:r w:rsidR="009B6816">
        <w:fldChar w:fldCharType="end"/>
      </w:r>
      <w:r w:rsidR="000F64FB">
        <w:t xml:space="preserve"> </w:t>
      </w: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9"/>
        <w:gridCol w:w="721"/>
      </w:tblGrid>
      <w:tr w:rsidR="000F64FB" w:rsidTr="000F64FB">
        <w:trPr>
          <w:trHeight w:val="589"/>
        </w:trPr>
        <w:tc>
          <w:tcPr>
            <w:tcW w:w="7929" w:type="dxa"/>
            <w:shd w:val="clear" w:color="auto" w:fill="auto"/>
            <w:vAlign w:val="center"/>
          </w:tcPr>
          <w:p w:rsidR="000F64FB" w:rsidRDefault="009B6816" w:rsidP="0053532F">
            <w:pPr>
              <w:numPr>
                <w:ilvl w:val="12"/>
                <w:numId w:val="0"/>
              </w:numPr>
              <w:spacing w:line="480" w:lineRule="auto"/>
              <w:ind w:firstLine="720"/>
            </w:pPr>
            <m:oMathPara>
              <m:oMath>
                <m:nary>
                  <m:naryPr>
                    <m:limLoc m:val="subSup"/>
                    <m:ctrlPr>
                      <w:rPr>
                        <w:rFonts w:ascii="Cambria Math" w:hAnsi="Kunstler Script"/>
                        <w:i/>
                      </w:rPr>
                    </m:ctrlPr>
                  </m:naryPr>
                  <m:sub>
                    <m:r>
                      <w:rPr>
                        <w:rFonts w:ascii="Cambria Math" w:hAnsi="Kunstler Script"/>
                      </w:rPr>
                      <m:t>0</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-α</m:t>
                        </m:r>
                        <m:sSup>
                          <m:sSupPr>
                            <m:ctrlPr>
                              <w:rPr>
                                <w:rFonts w:ascii="Cambria Math" w:hAnsi="Cambria Math"/>
                                <w:i/>
                              </w:rPr>
                            </m:ctrlPr>
                          </m:sSupPr>
                          <m:e>
                            <m:r>
                              <w:rPr>
                                <w:rFonts w:ascii="Cambria Math" w:hAnsi="Cambria Math"/>
                              </w:rPr>
                              <m:t>t</m:t>
                            </m:r>
                          </m:e>
                          <m:sup>
                            <m:r>
                              <w:rPr>
                                <w:rFonts w:ascii="Cambria Math" w:hAnsi="Cambria Math"/>
                              </w:rPr>
                              <m:t>2</m:t>
                            </m:r>
                          </m:sup>
                        </m:sSup>
                      </m:sup>
                    </m:sSup>
                    <m:r>
                      <m:rPr>
                        <m:sty m:val="p"/>
                      </m:rPr>
                      <w:rPr>
                        <w:rFonts w:ascii="Cambria Math" w:hAnsi="Kunstler Script"/>
                      </w:rPr>
                      <m:t>cos</m:t>
                    </m:r>
                    <m:d>
                      <m:dPr>
                        <m:ctrlPr>
                          <w:rPr>
                            <w:rFonts w:ascii="Cambria Math" w:hAnsi="Kunstler Script"/>
                          </w:rPr>
                        </m:ctrlPr>
                      </m:dPr>
                      <m:e>
                        <m:r>
                          <w:rPr>
                            <w:rFonts w:ascii="Cambria Math" w:hAnsi="Cambria Math"/>
                          </w:rPr>
                          <m:t>2xt</m:t>
                        </m:r>
                      </m:e>
                    </m:d>
                    <m:r>
                      <w:rPr>
                        <w:rFonts w:ascii="Cambria Math" w:hAnsi="Kunstler Script"/>
                      </w:rPr>
                      <m:t>d</m:t>
                    </m:r>
                    <m:r>
                      <w:rPr>
                        <w:rFonts w:ascii="Cambria Math" w:hAnsi="Cambria Math"/>
                      </w:rPr>
                      <m:t>t</m:t>
                    </m:r>
                  </m:e>
                </m:nary>
                <m:r>
                  <w:rPr>
                    <w:rFonts w:ascii="Cambria Math" w:hAnsi="Kunstler Script"/>
                  </w:rPr>
                  <m:t>=</m:t>
                </m:r>
                <m:f>
                  <m:fPr>
                    <m:ctrlPr>
                      <w:rPr>
                        <w:rFonts w:ascii="Cambria Math" w:hAnsi="Kunstler Script"/>
                        <w:i/>
                      </w:rPr>
                    </m:ctrlPr>
                  </m:fPr>
                  <m:num>
                    <m:r>
                      <w:rPr>
                        <w:rFonts w:ascii="Cambria Math" w:hAnsi="Kunstler Script"/>
                      </w:rPr>
                      <m:t>1</m:t>
                    </m:r>
                  </m:num>
                  <m:den>
                    <m:r>
                      <w:rPr>
                        <w:rFonts w:ascii="Cambria Math" w:hAnsi="Kunstler Script"/>
                      </w:rPr>
                      <m:t>2</m:t>
                    </m:r>
                  </m:den>
                </m:f>
                <m:rad>
                  <m:radPr>
                    <m:degHide m:val="on"/>
                    <m:ctrlPr>
                      <w:rPr>
                        <w:rFonts w:ascii="Cambria Math" w:hAnsi="Kunstler Script"/>
                        <w:i/>
                      </w:rPr>
                    </m:ctrlPr>
                  </m:radPr>
                  <m:deg/>
                  <m:e>
                    <m:f>
                      <m:fPr>
                        <m:ctrlPr>
                          <w:rPr>
                            <w:rFonts w:ascii="Cambria Math" w:hAnsi="Kunstler Script"/>
                            <w:i/>
                          </w:rPr>
                        </m:ctrlPr>
                      </m:fPr>
                      <m:num>
                        <m:r>
                          <w:rPr>
                            <w:rFonts w:ascii="Cambria Math" w:hAnsi="Cambria Math"/>
                          </w:rPr>
                          <m:t>π</m:t>
                        </m:r>
                      </m:num>
                      <m:den>
                        <m:r>
                          <w:rPr>
                            <w:rFonts w:ascii="Cambria Math" w:hAnsi="Cambria Math"/>
                          </w:rPr>
                          <m:t>α</m:t>
                        </m:r>
                      </m:den>
                    </m:f>
                  </m:e>
                </m:rad>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α</m:t>
                        </m:r>
                      </m:den>
                    </m:f>
                  </m:sup>
                </m:sSup>
              </m:oMath>
            </m:oMathPara>
          </w:p>
        </w:tc>
        <w:tc>
          <w:tcPr>
            <w:tcW w:w="721" w:type="dxa"/>
            <w:shd w:val="clear" w:color="auto" w:fill="auto"/>
            <w:vAlign w:val="center"/>
          </w:tcPr>
          <w:p w:rsidR="000F64FB" w:rsidRDefault="009B6816" w:rsidP="000F64FB">
            <w:pPr>
              <w:pStyle w:val="EquationNumberStyle"/>
            </w:pPr>
            <w:r>
              <w:fldChar w:fldCharType="begin"/>
            </w:r>
            <w:r w:rsidR="000F64FB">
              <w:instrText xml:space="preserve"> MACROBUTTON NumberReference \* MERGEFORMAT (</w:instrText>
            </w:r>
            <w:fldSimple w:instr=" SEQ EqnChapter \c \* Arabic \* MERGEFORMAT ">
              <w:r w:rsidR="005B6C27">
                <w:rPr>
                  <w:noProof/>
                </w:rPr>
                <w:instrText>5</w:instrText>
              </w:r>
            </w:fldSimple>
            <w:r w:rsidR="000F64FB">
              <w:instrText>.</w:instrText>
            </w:r>
            <w:fldSimple w:instr=" SEQ EquationNumber \n \* Arabic \* MERGEFORMAT ">
              <w:r w:rsidR="005B6C27">
                <w:rPr>
                  <w:noProof/>
                </w:rPr>
                <w:instrText>6</w:instrText>
              </w:r>
            </w:fldSimple>
            <w:r w:rsidR="000F64FB">
              <w:instrText>)</w:instrText>
            </w:r>
            <w:r>
              <w:fldChar w:fldCharType="end"/>
            </w:r>
          </w:p>
        </w:tc>
      </w:tr>
    </w:tbl>
    <w:p w:rsidR="00BB0A21" w:rsidRDefault="00C02361" w:rsidP="00181214">
      <w:pPr>
        <w:numPr>
          <w:ilvl w:val="12"/>
          <w:numId w:val="0"/>
        </w:numPr>
        <w:spacing w:line="480" w:lineRule="auto"/>
      </w:pPr>
      <w:r>
        <w:t>So,</w:t>
      </w: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9"/>
        <w:gridCol w:w="721"/>
      </w:tblGrid>
      <w:tr w:rsidR="00013B5F" w:rsidTr="008A2CF6">
        <w:trPr>
          <w:trHeight w:val="589"/>
        </w:trPr>
        <w:tc>
          <w:tcPr>
            <w:tcW w:w="7929" w:type="dxa"/>
            <w:shd w:val="clear" w:color="auto" w:fill="auto"/>
            <w:vAlign w:val="center"/>
          </w:tcPr>
          <w:p w:rsidR="00013B5F" w:rsidRDefault="009B6816" w:rsidP="00C02361">
            <w:pPr>
              <w:numPr>
                <w:ilvl w:val="12"/>
                <w:numId w:val="0"/>
              </w:numPr>
              <w:spacing w:line="480" w:lineRule="auto"/>
              <w:ind w:firstLine="720"/>
            </w:pPr>
            <m:oMathPara>
              <m:oMath>
                <m:nary>
                  <m:naryPr>
                    <m:limLoc m:val="subSup"/>
                    <m:ctrlPr>
                      <w:rPr>
                        <w:rFonts w:ascii="Cambria Math" w:hAnsi="Kunstler Script"/>
                        <w:i/>
                      </w:rPr>
                    </m:ctrlPr>
                  </m:naryPr>
                  <m:sub>
                    <m:r>
                      <w:rPr>
                        <w:rFonts w:ascii="Cambria Math" w:hAnsi="Kunstler Script"/>
                      </w:rPr>
                      <m:t>-</m:t>
                    </m:r>
                    <m:r>
                      <w:rPr>
                        <w:rFonts w:ascii="Cambria Math" w:hAnsi="Cambria Math"/>
                      </w:rPr>
                      <m:t>∞</m:t>
                    </m:r>
                  </m:sub>
                  <m:sup>
                    <m:r>
                      <w:rPr>
                        <w:rFonts w:ascii="Cambria Math" w:hAnsi="Cambria Math"/>
                      </w:rPr>
                      <m:t>∞</m:t>
                    </m:r>
                  </m:sup>
                  <m:e>
                    <m:sSup>
                      <m:sSupPr>
                        <m:ctrlPr>
                          <w:rPr>
                            <w:rFonts w:ascii="Cambria Math" w:hAnsi="Kunstler Script"/>
                            <w:i/>
                          </w:rPr>
                        </m:ctrlPr>
                      </m:sSupPr>
                      <m:e>
                        <m:r>
                          <w:rPr>
                            <w:rFonts w:ascii="Cambria Math" w:hAnsi="Kunstler Script"/>
                          </w:rPr>
                          <m:t>e</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σ</m:t>
                                        </m:r>
                                      </m:e>
                                      <m:sub>
                                        <m:r>
                                          <w:rPr>
                                            <w:rFonts w:ascii="Cambria Math" w:hAnsi="Cambria Math"/>
                                          </w:rPr>
                                          <m:t>n</m:t>
                                        </m:r>
                                      </m:sub>
                                    </m:sSub>
                                  </m:den>
                                </m:f>
                              </m:e>
                            </m:d>
                          </m:e>
                          <m:sup>
                            <m:r>
                              <m:rPr>
                                <m:sty m:val="p"/>
                              </m:rPr>
                              <w:rPr>
                                <w:rFonts w:ascii="Cambria Math" w:hAnsi="Cambria Math"/>
                              </w:rPr>
                              <m:t>2</m:t>
                            </m:r>
                          </m:sup>
                        </m:sSup>
                      </m:sup>
                    </m:sSup>
                    <m:r>
                      <m:rPr>
                        <m:sty m:val="p"/>
                      </m:rPr>
                      <w:rPr>
                        <w:rFonts w:ascii="Cambria Math" w:hAnsi="Kunstler Script"/>
                      </w:rPr>
                      <m:t>cos</m:t>
                    </m:r>
                    <m:d>
                      <m:dPr>
                        <m:ctrlPr>
                          <w:rPr>
                            <w:rFonts w:ascii="Cambria Math" w:hAnsi="Kunstler Script"/>
                          </w:rPr>
                        </m:ctrlPr>
                      </m:dPr>
                      <m:e>
                        <m:r>
                          <w:rPr>
                            <w:rFonts w:ascii="Cambria Math" w:hAnsi="Cambria Math"/>
                          </w:rPr>
                          <m:t>2πρr</m:t>
                        </m:r>
                      </m:e>
                    </m:d>
                    <m:r>
                      <w:rPr>
                        <w:rFonts w:ascii="Cambria Math" w:hAnsi="Kunstler Script"/>
                      </w:rPr>
                      <m:t>d</m:t>
                    </m:r>
                    <m:r>
                      <w:rPr>
                        <w:rFonts w:ascii="Cambria Math" w:hAnsi="Cambria Math"/>
                      </w:rPr>
                      <m:t>ρ</m:t>
                    </m:r>
                    <m:r>
                      <m:rPr>
                        <m:sty m:val="p"/>
                      </m:rPr>
                      <w:rPr>
                        <w:rFonts w:ascii="Cambria Math" w:hAnsi="Kunstler Script"/>
                      </w:rPr>
                      <m:t>=</m:t>
                    </m:r>
                  </m:e>
                </m:nary>
                <m:sSub>
                  <m:sSubPr>
                    <m:ctrlPr>
                      <w:rPr>
                        <w:rFonts w:ascii="Cambria Math" w:hAnsi="Cambria Math"/>
                        <w:i/>
                      </w:rPr>
                    </m:ctrlPr>
                  </m:sSubPr>
                  <m:e>
                    <m:rad>
                      <m:radPr>
                        <m:degHide m:val="on"/>
                        <m:ctrlPr>
                          <w:rPr>
                            <w:rFonts w:ascii="Cambria Math" w:hAnsi="Kunstler Script"/>
                            <w:i/>
                          </w:rPr>
                        </m:ctrlPr>
                      </m:radPr>
                      <m:deg/>
                      <m:e>
                        <m:r>
                          <w:rPr>
                            <w:rFonts w:ascii="Cambria Math" w:hAnsi="Kunstler Script"/>
                          </w:rPr>
                          <m:t>2</m:t>
                        </m:r>
                        <m:r>
                          <w:rPr>
                            <w:rFonts w:ascii="Cambria Math" w:hAnsi="Cambria Math"/>
                          </w:rPr>
                          <m:t>π</m:t>
                        </m:r>
                      </m:e>
                    </m:rad>
                    <m:r>
                      <w:rPr>
                        <w:rFonts w:ascii="Cambria Math" w:hAnsi="Cambria Math"/>
                      </w:rPr>
                      <m:t>σ</m:t>
                    </m:r>
                  </m:e>
                  <m:sub>
                    <m:r>
                      <w:rPr>
                        <w:rFonts w:ascii="Cambria Math" w:hAnsi="Cambria Math"/>
                      </w:rPr>
                      <m:t>n</m:t>
                    </m:r>
                  </m:sub>
                </m:sSub>
                <m:sSup>
                  <m:sSupPr>
                    <m:ctrlPr>
                      <w:rPr>
                        <w:rFonts w:ascii="Cambria Math" w:hAnsi="Kunstler Script"/>
                        <w:i/>
                      </w:rPr>
                    </m:ctrlPr>
                  </m:sSupPr>
                  <m:e>
                    <m:r>
                      <w:rPr>
                        <w:rFonts w:ascii="Cambria Math" w:hAnsi="Kunstler Script"/>
                      </w:rPr>
                      <m:t>e</m:t>
                    </m:r>
                  </m:e>
                  <m:sup>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π</m:t>
                            </m:r>
                            <m:sSub>
                              <m:sSubPr>
                                <m:ctrlPr>
                                  <w:rPr>
                                    <w:rFonts w:ascii="Cambria Math" w:hAnsi="Cambria Math"/>
                                    <w:i/>
                                  </w:rPr>
                                </m:ctrlPr>
                              </m:sSubPr>
                              <m:e>
                                <m:r>
                                  <w:rPr>
                                    <w:rFonts w:ascii="Cambria Math" w:hAnsi="Cambria Math"/>
                                  </w:rPr>
                                  <m:t>σ</m:t>
                                </m:r>
                              </m:e>
                              <m:sub>
                                <m:r>
                                  <w:rPr>
                                    <w:rFonts w:ascii="Cambria Math" w:hAnsi="Cambria Math"/>
                                  </w:rPr>
                                  <m:t>n</m:t>
                                </m:r>
                              </m:sub>
                            </m:sSub>
                            <m:r>
                              <w:rPr>
                                <w:rFonts w:ascii="Cambria Math" w:hAnsi="Cambria Math"/>
                              </w:rPr>
                              <m:t>r</m:t>
                            </m:r>
                          </m:e>
                        </m:d>
                      </m:e>
                      <m:sup>
                        <m:r>
                          <w:rPr>
                            <w:rFonts w:ascii="Cambria Math" w:hAnsi="Cambria Math"/>
                          </w:rPr>
                          <m:t>2</m:t>
                        </m:r>
                      </m:sup>
                    </m:sSup>
                  </m:sup>
                </m:sSup>
              </m:oMath>
            </m:oMathPara>
          </w:p>
        </w:tc>
        <w:tc>
          <w:tcPr>
            <w:tcW w:w="721" w:type="dxa"/>
            <w:shd w:val="clear" w:color="auto" w:fill="auto"/>
            <w:vAlign w:val="center"/>
          </w:tcPr>
          <w:p w:rsidR="00013B5F" w:rsidRDefault="009B6816" w:rsidP="008A2CF6">
            <w:pPr>
              <w:pStyle w:val="EquationNumberStyle"/>
            </w:pPr>
            <w:r>
              <w:fldChar w:fldCharType="begin"/>
            </w:r>
            <w:r w:rsidR="00013B5F">
              <w:instrText xml:space="preserve"> MACROBUTTON NumberReference \* MERGEFORMAT (</w:instrText>
            </w:r>
            <w:fldSimple w:instr=" SEQ EqnChapter \c \* Arabic \* MERGEFORMAT ">
              <w:r w:rsidR="005B6C27">
                <w:rPr>
                  <w:noProof/>
                </w:rPr>
                <w:instrText>5</w:instrText>
              </w:r>
            </w:fldSimple>
            <w:r w:rsidR="00013B5F">
              <w:instrText>.</w:instrText>
            </w:r>
            <w:fldSimple w:instr=" SEQ EquationNumber \n \* Arabic \* MERGEFORMAT ">
              <w:r w:rsidR="005B6C27">
                <w:rPr>
                  <w:noProof/>
                </w:rPr>
                <w:instrText>7</w:instrText>
              </w:r>
            </w:fldSimple>
            <w:r w:rsidR="00013B5F">
              <w:instrText>)</w:instrText>
            </w:r>
            <w:r>
              <w:fldChar w:fldCharType="end"/>
            </w:r>
          </w:p>
        </w:tc>
      </w:tr>
    </w:tbl>
    <w:p w:rsidR="00BB0A21" w:rsidRDefault="00C02361" w:rsidP="00C02361">
      <w:pPr>
        <w:numPr>
          <w:ilvl w:val="12"/>
          <w:numId w:val="0"/>
        </w:numPr>
        <w:spacing w:line="480" w:lineRule="auto"/>
      </w:pPr>
      <w:r>
        <w:t xml:space="preserve">Thus, the </w:t>
      </w:r>
      <w:r w:rsidR="00426833">
        <w:t>spatial channels</w:t>
      </w:r>
      <w:r>
        <w:t xml:space="preserve"> as defined by Equation (5.2) are</w:t>
      </w: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9"/>
        <w:gridCol w:w="721"/>
      </w:tblGrid>
      <w:tr w:rsidR="00C02361" w:rsidTr="0098505A">
        <w:trPr>
          <w:trHeight w:val="589"/>
        </w:trPr>
        <w:tc>
          <w:tcPr>
            <w:tcW w:w="7929" w:type="dxa"/>
            <w:shd w:val="clear" w:color="auto" w:fill="auto"/>
            <w:vAlign w:val="center"/>
          </w:tcPr>
          <w:p w:rsidR="00C02361" w:rsidRDefault="009B6816" w:rsidP="00553ECA">
            <w:pPr>
              <w:numPr>
                <w:ilvl w:val="12"/>
                <w:numId w:val="0"/>
              </w:numPr>
              <w:spacing w:line="480" w:lineRule="auto"/>
              <w:ind w:firstLine="720"/>
            </w:pPr>
            <m:oMathPara>
              <m:oMath>
                <m:sSub>
                  <m:sSubPr>
                    <m:ctrlPr>
                      <w:rPr>
                        <w:rFonts w:ascii="Cambria Math" w:hAnsi="Cambria Math"/>
                        <w:i/>
                      </w:rPr>
                    </m:ctrlPr>
                  </m:sSubPr>
                  <m:e>
                    <m:r>
                      <w:rPr>
                        <w:rFonts w:ascii="Cambria Math" w:hAnsi="Cambria Math"/>
                      </w:rPr>
                      <m:t>C</m:t>
                    </m:r>
                  </m:e>
                  <m:sub>
                    <m:r>
                      <w:rPr>
                        <w:rFonts w:ascii="Cambria Math" w:hAnsi="Cambria Math"/>
                      </w:rPr>
                      <m:t>n</m:t>
                    </m:r>
                  </m:sub>
                </m:sSub>
                <m:d>
                  <m:dPr>
                    <m:ctrlPr>
                      <w:rPr>
                        <w:rFonts w:ascii="Cambria Math" w:hAnsi="Cambria Math"/>
                        <w:i/>
                      </w:rPr>
                    </m:ctrlPr>
                  </m:dPr>
                  <m:e>
                    <m:r>
                      <w:rPr>
                        <w:rFonts w:ascii="Cambria Math" w:hAnsi="Cambria Math"/>
                      </w:rPr>
                      <m:t>r</m:t>
                    </m:r>
                  </m:e>
                </m:d>
                <m:r>
                  <m:rPr>
                    <m:sty m:val="p"/>
                  </m:rPr>
                  <w:rPr>
                    <w:rFonts w:ascii="Cambria Math" w:hAnsi="Cambria Math"/>
                  </w:rPr>
                  <m:t>=</m:t>
                </m:r>
                <m:sSub>
                  <m:sSubPr>
                    <m:ctrlPr>
                      <w:rPr>
                        <w:rFonts w:ascii="Cambria Math" w:hAnsi="Cambria Math"/>
                        <w:i/>
                      </w:rPr>
                    </m:ctrlPr>
                  </m:sSubPr>
                  <m:e>
                    <m:r>
                      <w:rPr>
                        <w:rFonts w:ascii="Cambria Math" w:hAnsi="Cambria Math"/>
                      </w:rPr>
                      <m:t>Qσ</m:t>
                    </m:r>
                  </m:e>
                  <m:sub>
                    <m:r>
                      <w:rPr>
                        <w:rFonts w:ascii="Cambria Math" w:hAnsi="Cambria Math"/>
                      </w:rPr>
                      <m:t>n</m:t>
                    </m:r>
                  </m:sub>
                </m:sSub>
                <m:sSup>
                  <m:sSupPr>
                    <m:ctrlPr>
                      <w:rPr>
                        <w:rFonts w:ascii="Cambria Math" w:hAnsi="Kunstler Script"/>
                        <w:i/>
                      </w:rPr>
                    </m:ctrlPr>
                  </m:sSupPr>
                  <m:e>
                    <m:r>
                      <w:rPr>
                        <w:rFonts w:ascii="Cambria Math" w:hAnsi="Kunstler Script"/>
                      </w:rPr>
                      <m:t>e</m:t>
                    </m:r>
                  </m:e>
                  <m:sup>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π</m:t>
                            </m:r>
                            <m:sSub>
                              <m:sSubPr>
                                <m:ctrlPr>
                                  <w:rPr>
                                    <w:rFonts w:ascii="Cambria Math" w:hAnsi="Cambria Math"/>
                                    <w:i/>
                                  </w:rPr>
                                </m:ctrlPr>
                              </m:sSubPr>
                              <m:e>
                                <m:r>
                                  <w:rPr>
                                    <w:rFonts w:ascii="Cambria Math" w:hAnsi="Cambria Math"/>
                                  </w:rPr>
                                  <m:t>Qσ</m:t>
                                </m:r>
                              </m:e>
                              <m:sub>
                                <m:r>
                                  <w:rPr>
                                    <w:rFonts w:ascii="Cambria Math" w:hAnsi="Cambria Math"/>
                                  </w:rPr>
                                  <m:t>n</m:t>
                                </m:r>
                              </m:sub>
                            </m:sSub>
                            <m:r>
                              <w:rPr>
                                <w:rFonts w:ascii="Cambria Math" w:hAnsi="Cambria Math"/>
                              </w:rPr>
                              <m:t>r</m:t>
                            </m:r>
                          </m:e>
                        </m:d>
                      </m:e>
                      <m:sup>
                        <m:r>
                          <w:rPr>
                            <w:rFonts w:ascii="Cambria Math" w:hAnsi="Cambria Math"/>
                          </w:rPr>
                          <m:t>2</m:t>
                        </m:r>
                      </m:sup>
                    </m:sSup>
                  </m:sup>
                </m:sSup>
                <m:r>
                  <w:rPr>
                    <w:rFonts w:ascii="Cambria Math" w:hAnsi="Kunstler Script"/>
                  </w:rPr>
                  <m:t>-</m:t>
                </m:r>
                <m:sSub>
                  <m:sSubPr>
                    <m:ctrlPr>
                      <w:rPr>
                        <w:rFonts w:ascii="Cambria Math" w:hAnsi="Cambria Math"/>
                        <w:i/>
                      </w:rPr>
                    </m:ctrlPr>
                  </m:sSubPr>
                  <m:e>
                    <m:r>
                      <w:rPr>
                        <w:rFonts w:ascii="Cambria Math" w:hAnsi="Cambria Math"/>
                      </w:rPr>
                      <m:t>σ</m:t>
                    </m:r>
                  </m:e>
                  <m:sub>
                    <m:r>
                      <w:rPr>
                        <w:rFonts w:ascii="Cambria Math" w:hAnsi="Cambria Math"/>
                      </w:rPr>
                      <m:t>n</m:t>
                    </m:r>
                  </m:sub>
                </m:sSub>
                <m:sSup>
                  <m:sSupPr>
                    <m:ctrlPr>
                      <w:rPr>
                        <w:rFonts w:ascii="Cambria Math" w:hAnsi="Kunstler Script"/>
                        <w:i/>
                      </w:rPr>
                    </m:ctrlPr>
                  </m:sSupPr>
                  <m:e>
                    <m:r>
                      <w:rPr>
                        <w:rFonts w:ascii="Cambria Math" w:hAnsi="Kunstler Script"/>
                      </w:rPr>
                      <m:t>e</m:t>
                    </m:r>
                  </m:e>
                  <m:sup>
                    <m:r>
                      <w:rPr>
                        <w:rFonts w:ascii="Cambria Math" w:hAnsi="Cambria Math"/>
                      </w:rPr>
                      <m:t>-2</m:t>
                    </m:r>
                    <m:sSup>
                      <m:sSupPr>
                        <m:ctrlPr>
                          <w:rPr>
                            <w:rFonts w:ascii="Cambria Math" w:hAnsi="Cambria Math"/>
                            <w:i/>
                          </w:rPr>
                        </m:ctrlPr>
                      </m:sSupPr>
                      <m:e>
                        <m:d>
                          <m:dPr>
                            <m:ctrlPr>
                              <w:rPr>
                                <w:rFonts w:ascii="Cambria Math" w:hAnsi="Cambria Math"/>
                                <w:i/>
                              </w:rPr>
                            </m:ctrlPr>
                          </m:dPr>
                          <m:e>
                            <m:r>
                              <w:rPr>
                                <w:rFonts w:ascii="Cambria Math" w:hAnsi="Cambria Math"/>
                              </w:rPr>
                              <m:t>π</m:t>
                            </m:r>
                            <m:sSub>
                              <m:sSubPr>
                                <m:ctrlPr>
                                  <w:rPr>
                                    <w:rFonts w:ascii="Cambria Math" w:hAnsi="Cambria Math"/>
                                    <w:i/>
                                  </w:rPr>
                                </m:ctrlPr>
                              </m:sSubPr>
                              <m:e>
                                <m:r>
                                  <w:rPr>
                                    <w:rFonts w:ascii="Cambria Math" w:hAnsi="Cambria Math"/>
                                  </w:rPr>
                                  <m:t>σ</m:t>
                                </m:r>
                              </m:e>
                              <m:sub>
                                <m:r>
                                  <w:rPr>
                                    <w:rFonts w:ascii="Cambria Math" w:hAnsi="Cambria Math"/>
                                  </w:rPr>
                                  <m:t>n</m:t>
                                </m:r>
                              </m:sub>
                            </m:sSub>
                            <m:r>
                              <w:rPr>
                                <w:rFonts w:ascii="Cambria Math" w:hAnsi="Cambria Math"/>
                              </w:rPr>
                              <m:t>r</m:t>
                            </m:r>
                          </m:e>
                        </m:d>
                      </m:e>
                      <m:sup>
                        <m:r>
                          <w:rPr>
                            <w:rFonts w:ascii="Cambria Math" w:hAnsi="Cambria Math"/>
                          </w:rPr>
                          <m:t>2</m:t>
                        </m:r>
                      </m:sup>
                    </m:sSup>
                  </m:sup>
                </m:sSup>
              </m:oMath>
            </m:oMathPara>
          </w:p>
        </w:tc>
        <w:tc>
          <w:tcPr>
            <w:tcW w:w="721" w:type="dxa"/>
            <w:shd w:val="clear" w:color="auto" w:fill="auto"/>
            <w:vAlign w:val="center"/>
          </w:tcPr>
          <w:p w:rsidR="00C02361" w:rsidRDefault="009B6816" w:rsidP="0098505A">
            <w:pPr>
              <w:pStyle w:val="EquationNumberStyle"/>
            </w:pPr>
            <w:r>
              <w:fldChar w:fldCharType="begin"/>
            </w:r>
            <w:r w:rsidR="00C02361">
              <w:instrText xml:space="preserve"> MACROBUTTON NumberReference \* MERGEFORMAT (</w:instrText>
            </w:r>
            <w:fldSimple w:instr=" SEQ EqnChapter \c \* Arabic \* MERGEFORMAT ">
              <w:r w:rsidR="005B6C27">
                <w:rPr>
                  <w:noProof/>
                </w:rPr>
                <w:instrText>5</w:instrText>
              </w:r>
            </w:fldSimple>
            <w:r w:rsidR="00C02361">
              <w:instrText>.</w:instrText>
            </w:r>
            <w:fldSimple w:instr=" SEQ EquationNumber \n \* Arabic \* MERGEFORMAT ">
              <w:r w:rsidR="005B6C27">
                <w:rPr>
                  <w:noProof/>
                </w:rPr>
                <w:instrText>8</w:instrText>
              </w:r>
            </w:fldSimple>
            <w:r w:rsidR="00C02361">
              <w:instrText>)</w:instrText>
            </w:r>
            <w:r>
              <w:fldChar w:fldCharType="end"/>
            </w:r>
          </w:p>
        </w:tc>
      </w:tr>
    </w:tbl>
    <w:p w:rsidR="00BB0A21" w:rsidRDefault="00160BE5" w:rsidP="00553ECA">
      <w:pPr>
        <w:numPr>
          <w:ilvl w:val="12"/>
          <w:numId w:val="0"/>
        </w:numPr>
        <w:spacing w:line="480" w:lineRule="auto"/>
      </w:pPr>
      <w:r>
        <w:t>T</w:t>
      </w:r>
      <w:r w:rsidR="00553ECA">
        <w:t xml:space="preserve">he factor of </w:t>
      </w:r>
      <m:oMath>
        <m:rad>
          <m:radPr>
            <m:degHide m:val="on"/>
            <m:ctrlPr>
              <w:rPr>
                <w:rFonts w:ascii="Cambria Math" w:hAnsi="Kunstler Script"/>
                <w:i/>
              </w:rPr>
            </m:ctrlPr>
          </m:radPr>
          <m:deg/>
          <m:e>
            <m:r>
              <w:rPr>
                <w:rFonts w:ascii="Cambria Math" w:hAnsi="Kunstler Script"/>
              </w:rPr>
              <m:t>2</m:t>
            </m:r>
            <m:r>
              <w:rPr>
                <w:rFonts w:ascii="Cambria Math" w:hAnsi="Cambria Math"/>
              </w:rPr>
              <m:t>π</m:t>
            </m:r>
          </m:e>
        </m:rad>
      </m:oMath>
      <w:r>
        <w:t xml:space="preserve"> has been omitted</w:t>
      </w:r>
      <w:r w:rsidR="00923BB9">
        <w:t xml:space="preserve"> </w:t>
      </w:r>
      <w:r w:rsidR="00553ECA">
        <w:t xml:space="preserve">since the </w:t>
      </w:r>
      <w:r w:rsidR="00057169">
        <w:t xml:space="preserve">mathematical </w:t>
      </w:r>
      <w:r w:rsidR="00553ECA">
        <w:t>observer is invariant to scale transformations.</w:t>
      </w:r>
      <w:r w:rsidR="005F3B1F">
        <w:t xml:space="preserve">  </w:t>
      </w:r>
      <w:r w:rsidR="0079587D">
        <w:t>The Fourier transform is represented below</w:t>
      </w:r>
      <w:r w:rsidR="00284989">
        <w:t xml:space="preserve"> in 1 dimension, </w:t>
      </w:r>
      <w:r w:rsidR="00D358CA">
        <w:t xml:space="preserve">and </w:t>
      </w:r>
      <w:r w:rsidR="00284989">
        <w:t xml:space="preserve">the spatial profiles are </w:t>
      </w:r>
      <w:r w:rsidR="00D358CA">
        <w:t xml:space="preserve">then </w:t>
      </w:r>
      <w:r w:rsidR="00284989">
        <w:t>shown in 2d</w:t>
      </w:r>
      <w:r w:rsidR="0079587D">
        <w:t>.</w:t>
      </w:r>
    </w:p>
    <w:p w:rsidR="0079587D" w:rsidRDefault="0079587D" w:rsidP="009A3832">
      <w:pPr>
        <w:numPr>
          <w:ilvl w:val="12"/>
          <w:numId w:val="0"/>
        </w:numPr>
        <w:spacing w:line="480" w:lineRule="auto"/>
        <w:ind w:firstLine="720"/>
      </w:pPr>
      <w:r>
        <w:rPr>
          <w:noProof/>
        </w:rPr>
        <w:lastRenderedPageBreak/>
        <w:drawing>
          <wp:inline distT="0" distB="0" distL="0" distR="0">
            <wp:extent cx="3277602" cy="2861897"/>
            <wp:effectExtent l="19050" t="0" r="0" b="0"/>
            <wp:docPr id="43" name="Picture 8" descr="C:\Users\Josh\Documents\PETCT\thesis stuff\fourierDO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Documents\PETCT\thesis stuff\fourierDOG.png"/>
                    <pic:cNvPicPr>
                      <a:picLocks noChangeAspect="1" noChangeArrowheads="1"/>
                    </pic:cNvPicPr>
                  </pic:nvPicPr>
                  <pic:blipFill>
                    <a:blip r:embed="rId48" cstate="print"/>
                    <a:srcRect/>
                    <a:stretch>
                      <a:fillRect/>
                    </a:stretch>
                  </pic:blipFill>
                  <pic:spPr bwMode="auto">
                    <a:xfrm>
                      <a:off x="0" y="0"/>
                      <a:ext cx="3277195" cy="2861541"/>
                    </a:xfrm>
                    <a:prstGeom prst="rect">
                      <a:avLst/>
                    </a:prstGeom>
                    <a:noFill/>
                    <a:ln w="9525">
                      <a:noFill/>
                      <a:miter lim="800000"/>
                      <a:headEnd/>
                      <a:tailEnd/>
                    </a:ln>
                  </pic:spPr>
                </pic:pic>
              </a:graphicData>
            </a:graphic>
          </wp:inline>
        </w:drawing>
      </w:r>
      <w:r w:rsidRPr="0079587D">
        <w:t xml:space="preserve"> </w:t>
      </w:r>
    </w:p>
    <w:p w:rsidR="0079587D" w:rsidRDefault="0079587D" w:rsidP="0079587D">
      <w:pPr>
        <w:pStyle w:val="Caption"/>
      </w:pPr>
      <w:bookmarkStart w:id="94" w:name="_Toc351890071"/>
      <w:proofErr w:type="gramStart"/>
      <w:r>
        <w:t xml:space="preserve">Figure </w:t>
      </w:r>
      <w:fldSimple w:instr=" SEQ Figure \* ARABIC ">
        <w:r w:rsidR="005B6C27">
          <w:rPr>
            <w:noProof/>
          </w:rPr>
          <w:t>30</w:t>
        </w:r>
      </w:fldSimple>
      <w:r>
        <w:t>.</w:t>
      </w:r>
      <w:proofErr w:type="gramEnd"/>
      <w:r>
        <w:t xml:space="preserve"> </w:t>
      </w:r>
      <w:r w:rsidR="00500173">
        <w:t>S-</w:t>
      </w:r>
      <w:r>
        <w:t>DOG channel profiles, transformed from frequency to spatial domain</w:t>
      </w:r>
      <w:bookmarkEnd w:id="94"/>
    </w:p>
    <w:p w:rsidR="003576DC" w:rsidRDefault="003576DC" w:rsidP="00284989">
      <w:pPr>
        <w:numPr>
          <w:ilvl w:val="12"/>
          <w:numId w:val="0"/>
        </w:numPr>
        <w:spacing w:line="480" w:lineRule="auto"/>
      </w:pPr>
    </w:p>
    <w:p w:rsidR="00284989" w:rsidRDefault="003576DC" w:rsidP="009A3832">
      <w:pPr>
        <w:numPr>
          <w:ilvl w:val="12"/>
          <w:numId w:val="0"/>
        </w:numPr>
        <w:spacing w:line="480" w:lineRule="auto"/>
      </w:pPr>
      <w:r>
        <w:rPr>
          <w:noProof/>
        </w:rPr>
        <w:drawing>
          <wp:inline distT="0" distB="0" distL="0" distR="0">
            <wp:extent cx="4763135" cy="1711960"/>
            <wp:effectExtent l="19050" t="0" r="0" b="0"/>
            <wp:docPr id="60" name="Picture 10" descr="C:\Users\Josh\Documents\PETCT\thesis stuff\2dChann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sh\Documents\PETCT\thesis stuff\2dChannels.png"/>
                    <pic:cNvPicPr>
                      <a:picLocks noChangeAspect="1" noChangeArrowheads="1"/>
                    </pic:cNvPicPr>
                  </pic:nvPicPr>
                  <pic:blipFill>
                    <a:blip r:embed="rId49" cstate="print"/>
                    <a:srcRect/>
                    <a:stretch>
                      <a:fillRect/>
                    </a:stretch>
                  </pic:blipFill>
                  <pic:spPr bwMode="auto">
                    <a:xfrm>
                      <a:off x="0" y="0"/>
                      <a:ext cx="4763135" cy="1711960"/>
                    </a:xfrm>
                    <a:prstGeom prst="rect">
                      <a:avLst/>
                    </a:prstGeom>
                    <a:noFill/>
                    <a:ln w="9525">
                      <a:noFill/>
                      <a:miter lim="800000"/>
                      <a:headEnd/>
                      <a:tailEnd/>
                    </a:ln>
                  </pic:spPr>
                </pic:pic>
              </a:graphicData>
            </a:graphic>
          </wp:inline>
        </w:drawing>
      </w:r>
      <w:r w:rsidR="00284989" w:rsidRPr="00284989">
        <w:t xml:space="preserve"> </w:t>
      </w:r>
    </w:p>
    <w:p w:rsidR="00284989" w:rsidRDefault="00284989" w:rsidP="00284989">
      <w:pPr>
        <w:pStyle w:val="Caption"/>
      </w:pPr>
      <w:bookmarkStart w:id="95" w:name="_Toc351890072"/>
      <w:proofErr w:type="gramStart"/>
      <w:r>
        <w:t xml:space="preserve">Figure </w:t>
      </w:r>
      <w:fldSimple w:instr=" SEQ Figure \* ARABIC ">
        <w:r w:rsidR="005B6C27">
          <w:rPr>
            <w:noProof/>
          </w:rPr>
          <w:t>31</w:t>
        </w:r>
      </w:fldSimple>
      <w:r>
        <w:t>.</w:t>
      </w:r>
      <w:proofErr w:type="gramEnd"/>
      <w:r>
        <w:t xml:space="preserve"> S</w:t>
      </w:r>
      <w:r w:rsidR="00500173">
        <w:t>-DOG s</w:t>
      </w:r>
      <w:r>
        <w:t>patial channel profiles shown in 2 dimensions</w:t>
      </w:r>
      <w:bookmarkEnd w:id="95"/>
    </w:p>
    <w:p w:rsidR="00284989" w:rsidRDefault="00284989" w:rsidP="00284989">
      <w:pPr>
        <w:numPr>
          <w:ilvl w:val="12"/>
          <w:numId w:val="0"/>
        </w:numPr>
        <w:spacing w:line="480" w:lineRule="auto"/>
      </w:pPr>
    </w:p>
    <w:p w:rsidR="004E73F3" w:rsidRDefault="006C342D" w:rsidP="006D6C11">
      <w:pPr>
        <w:numPr>
          <w:ilvl w:val="12"/>
          <w:numId w:val="0"/>
        </w:numPr>
        <w:spacing w:line="480" w:lineRule="auto"/>
        <w:ind w:firstLine="720"/>
      </w:pPr>
      <w:r>
        <w:t>T</w:t>
      </w:r>
      <w:r w:rsidR="004E73F3" w:rsidRPr="004E73F3">
        <w:t xml:space="preserve">he projection of the (sub) image onto </w:t>
      </w:r>
      <w:r w:rsidR="00EA692E">
        <w:t>the set of spatial channels given by Equation (5.8)</w:t>
      </w:r>
      <w:r w:rsidR="004E73F3" w:rsidRPr="004E73F3">
        <w:t xml:space="preserve"> produces a scalar response, effectively reducing the dimensionality of the problem.  We can model the discrimination task of the three-channel observer using </w:t>
      </w:r>
      <w:r w:rsidR="004E73F3" w:rsidRPr="004E73F3">
        <w:lastRenderedPageBreak/>
        <w:t>spatial coordinates.  Processing a sample set of images through the channelized model yields a three dimensional vector for each.  The sample images are plotted below.</w:t>
      </w:r>
    </w:p>
    <w:p w:rsidR="00EB1E8F" w:rsidRPr="004E73F3" w:rsidRDefault="00EB1E8F" w:rsidP="006D6C11">
      <w:pPr>
        <w:numPr>
          <w:ilvl w:val="12"/>
          <w:numId w:val="0"/>
        </w:numPr>
        <w:spacing w:line="480" w:lineRule="auto"/>
        <w:ind w:firstLine="720"/>
      </w:pPr>
    </w:p>
    <w:p w:rsidR="008D34DC" w:rsidRDefault="004E73F3" w:rsidP="008D34DC">
      <w:pPr>
        <w:numPr>
          <w:ilvl w:val="12"/>
          <w:numId w:val="0"/>
        </w:numPr>
        <w:spacing w:line="480" w:lineRule="auto"/>
      </w:pPr>
      <w:r w:rsidRPr="004E73F3">
        <w:rPr>
          <w:noProof/>
        </w:rPr>
        <w:drawing>
          <wp:inline distT="0" distB="0" distL="0" distR="0">
            <wp:extent cx="2450292" cy="1828800"/>
            <wp:effectExtent l="19050" t="0" r="7158" b="0"/>
            <wp:docPr id="54"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ChangeAspect="1" noChangeArrowheads="1"/>
                    </pic:cNvPicPr>
                  </pic:nvPicPr>
                  <pic:blipFill>
                    <a:blip r:embed="rId50" cstate="print"/>
                    <a:srcRect/>
                    <a:stretch>
                      <a:fillRect/>
                    </a:stretch>
                  </pic:blipFill>
                  <pic:spPr bwMode="auto">
                    <a:xfrm>
                      <a:off x="0" y="0"/>
                      <a:ext cx="2450292" cy="1828800"/>
                    </a:xfrm>
                    <a:prstGeom prst="rect">
                      <a:avLst/>
                    </a:prstGeom>
                    <a:noFill/>
                    <a:ln w="9525">
                      <a:noFill/>
                      <a:miter lim="800000"/>
                      <a:headEnd/>
                      <a:tailEnd/>
                    </a:ln>
                  </pic:spPr>
                </pic:pic>
              </a:graphicData>
            </a:graphic>
          </wp:inline>
        </w:drawing>
      </w:r>
      <w:r w:rsidR="008D34DC" w:rsidRPr="008D34DC">
        <w:t xml:space="preserve"> </w:t>
      </w:r>
      <w:r w:rsidR="00834652">
        <w:t xml:space="preserve">       </w:t>
      </w:r>
      <w:r w:rsidR="00834652" w:rsidRPr="00834652">
        <w:rPr>
          <w:noProof/>
        </w:rPr>
        <w:drawing>
          <wp:inline distT="0" distB="0" distL="0" distR="0">
            <wp:extent cx="2455452" cy="1828800"/>
            <wp:effectExtent l="19050" t="0" r="1998" b="0"/>
            <wp:docPr id="52" name="Picture 7" descr="images_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_alt"/>
                    <pic:cNvPicPr>
                      <a:picLocks noChangeAspect="1" noChangeArrowheads="1"/>
                    </pic:cNvPicPr>
                  </pic:nvPicPr>
                  <pic:blipFill>
                    <a:blip r:embed="rId51" cstate="print"/>
                    <a:srcRect/>
                    <a:stretch>
                      <a:fillRect/>
                    </a:stretch>
                  </pic:blipFill>
                  <pic:spPr bwMode="auto">
                    <a:xfrm>
                      <a:off x="0" y="0"/>
                      <a:ext cx="2455452" cy="1828800"/>
                    </a:xfrm>
                    <a:prstGeom prst="rect">
                      <a:avLst/>
                    </a:prstGeom>
                    <a:noFill/>
                    <a:ln w="9525">
                      <a:noFill/>
                      <a:miter lim="800000"/>
                      <a:headEnd/>
                      <a:tailEnd/>
                    </a:ln>
                  </pic:spPr>
                </pic:pic>
              </a:graphicData>
            </a:graphic>
          </wp:inline>
        </w:drawing>
      </w:r>
    </w:p>
    <w:p w:rsidR="004E73F3" w:rsidRPr="004E73F3" w:rsidRDefault="00DB3E5A" w:rsidP="00DB3E5A">
      <w:pPr>
        <w:pStyle w:val="Caption"/>
      </w:pPr>
      <w:bookmarkStart w:id="96" w:name="_Toc351890073"/>
      <w:proofErr w:type="gramStart"/>
      <w:r>
        <w:t xml:space="preserve">Figure </w:t>
      </w:r>
      <w:fldSimple w:instr=" SEQ Figure \* ARABIC ">
        <w:r w:rsidR="005B6C27">
          <w:rPr>
            <w:noProof/>
          </w:rPr>
          <w:t>32</w:t>
        </w:r>
      </w:fldSimple>
      <w:r w:rsidR="008D34DC">
        <w:t>.</w:t>
      </w:r>
      <w:proofErr w:type="gramEnd"/>
      <w:r w:rsidR="008D34DC">
        <w:t xml:space="preserve"> T</w:t>
      </w:r>
      <w:r w:rsidR="007339F7">
        <w:t>he sample images represented as filtered data</w:t>
      </w:r>
      <w:r w:rsidR="00834652">
        <w:t>.  The</w:t>
      </w:r>
      <w:r w:rsidR="001A4616">
        <w:t xml:space="preserve"> responses to the channels</w:t>
      </w:r>
      <w:r w:rsidR="00834652">
        <w:t xml:space="preserve"> are correlated.</w:t>
      </w:r>
      <w:bookmarkEnd w:id="96"/>
    </w:p>
    <w:p w:rsidR="00EB1E8F" w:rsidRDefault="00EB1E8F" w:rsidP="006D6C11">
      <w:pPr>
        <w:numPr>
          <w:ilvl w:val="12"/>
          <w:numId w:val="0"/>
        </w:numPr>
        <w:spacing w:line="480" w:lineRule="auto"/>
        <w:ind w:firstLine="720"/>
      </w:pPr>
    </w:p>
    <w:p w:rsidR="004E73F3" w:rsidRDefault="004E73F3" w:rsidP="006D6C11">
      <w:pPr>
        <w:numPr>
          <w:ilvl w:val="12"/>
          <w:numId w:val="0"/>
        </w:numPr>
        <w:spacing w:line="480" w:lineRule="auto"/>
        <w:ind w:firstLine="720"/>
      </w:pPr>
      <w:r w:rsidRPr="004E73F3">
        <w:t>The above figure shows 76 images taken from the liver, represented by their (scaled) three-dimensional channelized responses.  The sample consists of 38 lesion-present images (red) and 38 lesion-absent images (blue).  A view from another angle shows the correlation introduced by the filtering, especially obvious between the lower frequency channels.</w:t>
      </w:r>
    </w:p>
    <w:p w:rsidR="00C95B41" w:rsidRDefault="004E73F3" w:rsidP="00C95B41">
      <w:pPr>
        <w:numPr>
          <w:ilvl w:val="12"/>
          <w:numId w:val="0"/>
        </w:numPr>
        <w:spacing w:line="480" w:lineRule="auto"/>
        <w:ind w:firstLine="720"/>
      </w:pPr>
      <w:r w:rsidRPr="004E73F3">
        <w:t xml:space="preserve">The channelized non pre-whitening (CNPW) observer </w:t>
      </w:r>
      <w:r w:rsidR="00C35935">
        <w:t xml:space="preserve">uses a </w:t>
      </w:r>
      <w:r w:rsidRPr="004E73F3">
        <w:t>discriminant function defined by the difference in class means.</w:t>
      </w:r>
    </w:p>
    <w:p w:rsidR="00F22581" w:rsidRDefault="004E73F3" w:rsidP="00DF4B20">
      <w:pPr>
        <w:numPr>
          <w:ilvl w:val="12"/>
          <w:numId w:val="0"/>
        </w:numPr>
        <w:spacing w:line="480" w:lineRule="auto"/>
        <w:ind w:firstLine="720"/>
      </w:pPr>
      <w:r w:rsidRPr="004E73F3">
        <w:rPr>
          <w:noProof/>
        </w:rPr>
        <w:lastRenderedPageBreak/>
        <w:drawing>
          <wp:inline distT="0" distB="0" distL="0" distR="0">
            <wp:extent cx="2455452" cy="1828800"/>
            <wp:effectExtent l="19050" t="0" r="1998" b="0"/>
            <wp:docPr id="56" name="Picture 2" descr="C:\Users\Josh\Documents\PETCT\thesis stuff\images_discriminant3(NP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ocuments\PETCT\thesis stuff\images_discriminant3(NPW).tif"/>
                    <pic:cNvPicPr>
                      <a:picLocks noChangeAspect="1" noChangeArrowheads="1"/>
                    </pic:cNvPicPr>
                  </pic:nvPicPr>
                  <pic:blipFill>
                    <a:blip r:embed="rId52" cstate="print"/>
                    <a:srcRect/>
                    <a:stretch>
                      <a:fillRect/>
                    </a:stretch>
                  </pic:blipFill>
                  <pic:spPr bwMode="auto">
                    <a:xfrm>
                      <a:off x="0" y="0"/>
                      <a:ext cx="2455452" cy="1828800"/>
                    </a:xfrm>
                    <a:prstGeom prst="rect">
                      <a:avLst/>
                    </a:prstGeom>
                    <a:noFill/>
                    <a:ln w="9525">
                      <a:noFill/>
                      <a:miter lim="800000"/>
                      <a:headEnd/>
                      <a:tailEnd/>
                    </a:ln>
                  </pic:spPr>
                </pic:pic>
              </a:graphicData>
            </a:graphic>
          </wp:inline>
        </w:drawing>
      </w:r>
      <w:r w:rsidR="00F22581" w:rsidRPr="00F22581">
        <w:t xml:space="preserve"> </w:t>
      </w:r>
    </w:p>
    <w:p w:rsidR="004E73F3" w:rsidRPr="004E73F3" w:rsidRDefault="00F22581" w:rsidP="0084023C">
      <w:pPr>
        <w:pStyle w:val="Caption"/>
      </w:pPr>
      <w:bookmarkStart w:id="97" w:name="_Toc351890074"/>
      <w:proofErr w:type="gramStart"/>
      <w:r>
        <w:t xml:space="preserve">Figure </w:t>
      </w:r>
      <w:r w:rsidR="009B6816">
        <w:fldChar w:fldCharType="begin"/>
      </w:r>
      <w:r>
        <w:instrText xml:space="preserve"> SEQ Figure \* ARABIC </w:instrText>
      </w:r>
      <w:r w:rsidR="009B6816">
        <w:fldChar w:fldCharType="separate"/>
      </w:r>
      <w:r w:rsidR="005B6C27">
        <w:rPr>
          <w:noProof/>
        </w:rPr>
        <w:t>33</w:t>
      </w:r>
      <w:r w:rsidR="009B6816">
        <w:fldChar w:fldCharType="end"/>
      </w:r>
      <w:r>
        <w:t>.</w:t>
      </w:r>
      <w:proofErr w:type="gramEnd"/>
      <w:r>
        <w:t xml:space="preserve"> In the CNPW model, the class means define the discriminant function.</w:t>
      </w:r>
      <w:bookmarkEnd w:id="97"/>
    </w:p>
    <w:p w:rsidR="00EB1E8F" w:rsidRDefault="00EB1E8F" w:rsidP="006D6C11">
      <w:pPr>
        <w:numPr>
          <w:ilvl w:val="12"/>
          <w:numId w:val="0"/>
        </w:numPr>
        <w:spacing w:line="480" w:lineRule="auto"/>
        <w:ind w:firstLine="720"/>
      </w:pPr>
    </w:p>
    <w:p w:rsidR="00EB1E8F" w:rsidRDefault="004E73F3" w:rsidP="006D6C11">
      <w:pPr>
        <w:numPr>
          <w:ilvl w:val="12"/>
          <w:numId w:val="0"/>
        </w:numPr>
        <w:spacing w:line="480" w:lineRule="auto"/>
        <w:ind w:firstLine="720"/>
      </w:pPr>
      <w:r w:rsidRPr="004E73F3">
        <w:t>In the CHO model, the intraclass scatter matrices are used</w:t>
      </w:r>
      <w:r w:rsidR="00C95B41">
        <w:t xml:space="preserve"> with the mean difference</w:t>
      </w:r>
      <w:r w:rsidRPr="004E73F3">
        <w:t xml:space="preserve"> to calculate the linear discriminant.  This function is the ideal projection for the binary classification task, under the assumption that each class shar</w:t>
      </w:r>
      <w:r w:rsidR="006D6C11">
        <w:t xml:space="preserve">es the same normal distribution.  </w:t>
      </w:r>
      <w:r w:rsidR="006D6C11" w:rsidRPr="006D6C11">
        <w:t xml:space="preserve">This scheme is similar to Fisher linear discriminant analysis, except that the full ensemble statistics are not known, but rather approximated from the sample distributions.  </w:t>
      </w:r>
    </w:p>
    <w:p w:rsidR="00834652" w:rsidRDefault="00834652" w:rsidP="006D6C11">
      <w:pPr>
        <w:numPr>
          <w:ilvl w:val="12"/>
          <w:numId w:val="0"/>
        </w:numPr>
        <w:spacing w:line="480" w:lineRule="auto"/>
        <w:ind w:firstLine="720"/>
      </w:pPr>
    </w:p>
    <w:p w:rsidR="004E73F3" w:rsidRPr="004E73F3" w:rsidRDefault="004E73F3" w:rsidP="006D6C11">
      <w:pPr>
        <w:numPr>
          <w:ilvl w:val="12"/>
          <w:numId w:val="0"/>
        </w:numPr>
        <w:spacing w:line="480" w:lineRule="auto"/>
        <w:ind w:firstLine="720"/>
      </w:pPr>
    </w:p>
    <w:p w:rsidR="00A172FF" w:rsidRDefault="00A172FF">
      <w:r>
        <w:br w:type="page"/>
      </w:r>
    </w:p>
    <w:p w:rsidR="004E73F3" w:rsidRPr="004E73F3" w:rsidRDefault="004E73F3" w:rsidP="00DF4B20">
      <w:pPr>
        <w:numPr>
          <w:ilvl w:val="12"/>
          <w:numId w:val="0"/>
        </w:numPr>
        <w:spacing w:line="480" w:lineRule="auto"/>
        <w:ind w:firstLine="720"/>
      </w:pPr>
      <w:r w:rsidRPr="004E73F3">
        <w:rPr>
          <w:noProof/>
        </w:rPr>
        <w:lastRenderedPageBreak/>
        <w:drawing>
          <wp:inline distT="0" distB="0" distL="0" distR="0">
            <wp:extent cx="2455452" cy="1828800"/>
            <wp:effectExtent l="19050" t="0" r="1998" b="0"/>
            <wp:docPr id="57" name="Picture 4" descr="images_discri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_discriminant"/>
                    <pic:cNvPicPr>
                      <a:picLocks noChangeAspect="1" noChangeArrowheads="1"/>
                    </pic:cNvPicPr>
                  </pic:nvPicPr>
                  <pic:blipFill>
                    <a:blip r:embed="rId53" cstate="print"/>
                    <a:srcRect/>
                    <a:stretch>
                      <a:fillRect/>
                    </a:stretch>
                  </pic:blipFill>
                  <pic:spPr bwMode="auto">
                    <a:xfrm>
                      <a:off x="0" y="0"/>
                      <a:ext cx="2455452" cy="1828800"/>
                    </a:xfrm>
                    <a:prstGeom prst="rect">
                      <a:avLst/>
                    </a:prstGeom>
                    <a:noFill/>
                    <a:ln w="9525">
                      <a:noFill/>
                      <a:miter lim="800000"/>
                      <a:headEnd/>
                      <a:tailEnd/>
                    </a:ln>
                  </pic:spPr>
                </pic:pic>
              </a:graphicData>
            </a:graphic>
          </wp:inline>
        </w:drawing>
      </w:r>
    </w:p>
    <w:p w:rsidR="004E73F3" w:rsidRPr="004E73F3" w:rsidRDefault="00F22581" w:rsidP="0084023C">
      <w:pPr>
        <w:pStyle w:val="Caption"/>
      </w:pPr>
      <w:bookmarkStart w:id="98" w:name="_Toc351890075"/>
      <w:proofErr w:type="gramStart"/>
      <w:r>
        <w:t xml:space="preserve">Figure </w:t>
      </w:r>
      <w:r w:rsidR="009B6816">
        <w:fldChar w:fldCharType="begin"/>
      </w:r>
      <w:r w:rsidR="007E3F1D">
        <w:instrText xml:space="preserve"> SEQ Figure \* ARABIC </w:instrText>
      </w:r>
      <w:r w:rsidR="009B6816">
        <w:fldChar w:fldCharType="separate"/>
      </w:r>
      <w:r w:rsidR="005B6C27">
        <w:rPr>
          <w:noProof/>
        </w:rPr>
        <w:t>34</w:t>
      </w:r>
      <w:r w:rsidR="009B6816">
        <w:fldChar w:fldCharType="end"/>
      </w:r>
      <w:r>
        <w:t>.</w:t>
      </w:r>
      <w:proofErr w:type="gramEnd"/>
      <w:r>
        <w:t xml:space="preserve"> </w:t>
      </w:r>
      <w:r w:rsidR="004E73F3" w:rsidRPr="004E73F3">
        <w:t xml:space="preserve">In the CHO model, the class means and intraclass scatter matrices define the </w:t>
      </w:r>
      <w:r w:rsidR="009D3303" w:rsidRPr="004E73F3">
        <w:t>discriminant</w:t>
      </w:r>
      <w:r w:rsidR="004E73F3" w:rsidRPr="004E73F3">
        <w:t xml:space="preserve"> function</w:t>
      </w:r>
      <w:bookmarkEnd w:id="98"/>
    </w:p>
    <w:p w:rsidR="00EB1E8F" w:rsidRDefault="00EB1E8F" w:rsidP="006D6C11">
      <w:pPr>
        <w:numPr>
          <w:ilvl w:val="12"/>
          <w:numId w:val="0"/>
        </w:numPr>
        <w:spacing w:line="480" w:lineRule="auto"/>
        <w:ind w:firstLine="720"/>
      </w:pPr>
    </w:p>
    <w:p w:rsidR="00EB1E8F" w:rsidRDefault="004E73F3" w:rsidP="00834652">
      <w:pPr>
        <w:numPr>
          <w:ilvl w:val="12"/>
          <w:numId w:val="0"/>
        </w:numPr>
        <w:spacing w:line="480" w:lineRule="auto"/>
        <w:ind w:firstLine="720"/>
      </w:pPr>
      <w:r w:rsidRPr="004E73F3">
        <w:t xml:space="preserve">The CHO maximizes the separation of classes, while minimizing the spread within each class.  The performance of this ideal model often disagrees with that of a human, due in part to internal noise within the human observer.  This noise is presumed to be similar to the variance within each frequency channel, and its effect on the classification task is </w:t>
      </w:r>
      <w:r w:rsidR="00771618">
        <w:t>accounted for</w:t>
      </w:r>
      <w:r w:rsidRPr="004E73F3">
        <w:t xml:space="preserve"> by doubling the </w:t>
      </w:r>
      <w:r w:rsidR="00771618">
        <w:t xml:space="preserve">magnitudes of the </w:t>
      </w:r>
      <w:r w:rsidRPr="004E73F3">
        <w:t>diagonal elements of the (channelized) prewhitening matrix</w:t>
      </w:r>
      <w:r w:rsidR="005129CC">
        <w:t xml:space="preserve"> </w:t>
      </w:r>
      <w:r w:rsidR="009B6816">
        <w:fldChar w:fldCharType="begin"/>
      </w:r>
      <w:r w:rsidR="000F64FB">
        <w:instrText xml:space="preserve"> ADDIN EN.CITE &lt;EndNote&gt;&lt;Cite&gt;&lt;Author&gt;Abbey&lt;/Author&gt;&lt;Year&gt;2001&lt;/Year&gt;&lt;RecNum&gt;176&lt;/RecNum&gt;&lt;DisplayText&gt;(Abbey and Barrett 2001; Gifford, King et al. 2005)&lt;/DisplayText&gt;&lt;record&gt;&lt;rec-number&gt;176&lt;/rec-number&gt;&lt;foreign-keys&gt;&lt;key app="EN" db-id="srwv9ppvvez5pgefxzi5ddeve5w2fe5x5esr"&gt;176&lt;/key&gt;&lt;/foreign-keys&gt;&lt;ref-type name="Journal Article"&gt;17&lt;/ref-type&gt;&lt;contributors&gt;&lt;authors&gt;&lt;author&gt;Abbey, CK&lt;/author&gt;&lt;author&gt;Barrett, HH&lt;/author&gt;&lt;/authors&gt;&lt;/contributors&gt;&lt;titles&gt;&lt;title&gt;Human-and model-observer performance in ramp-spectrum noise: effects of regularization and object variability&lt;/title&gt;&lt;secondary-title&gt;JOSA A&lt;/secondary-title&gt;&lt;/titles&gt;&lt;pages&gt;473-488&lt;/pages&gt;&lt;volume&gt;18&lt;/volume&gt;&lt;number&gt;3&lt;/number&gt;&lt;dates&gt;&lt;year&gt;2001&lt;/year&gt;&lt;/dates&gt;&lt;isbn&gt;1520-8532&lt;/isbn&gt;&lt;urls&gt;&lt;/urls&gt;&lt;/record&gt;&lt;/Cite&gt;&lt;Cite&gt;&lt;Author&gt;Gifford&lt;/Author&gt;&lt;Year&gt;2005&lt;/Year&gt;&lt;RecNum&gt;89&lt;/RecNum&gt;&lt;record&gt;&lt;rec-number&gt;89&lt;/rec-number&gt;&lt;foreign-keys&gt;&lt;key app="EN" db-id="srwv9ppvvez5pgefxzi5ddeve5w2fe5x5esr"&gt;89&lt;/key&gt;&lt;/foreign-keys&gt;&lt;ref-type name="Journal Article"&gt;17&lt;/ref-type&gt;&lt;contributors&gt;&lt;authors&gt;&lt;author&gt;Gifford, HC&lt;/author&gt;&lt;author&gt;King, MA&lt;/author&gt;&lt;author&gt;Pretorius, PH&lt;/author&gt;&lt;author&gt;Wells, RG&lt;/author&gt;&lt;/authors&gt;&lt;/contributors&gt;&lt;titles&gt;&lt;title&gt;A comparison of human and model observers in multislice LROC studies&lt;/title&gt;&lt;secondary-title&gt;IEEE transactions on medical imaging&lt;/secondary-title&gt;&lt;/titles&gt;&lt;pages&gt;160-169&lt;/pages&gt;&lt;volume&gt;24&lt;/volume&gt;&lt;number&gt;2&lt;/number&gt;&lt;dates&gt;&lt;year&gt;2005&lt;/year&gt;&lt;/dates&gt;&lt;urls&gt;&lt;/urls&gt;&lt;/record&gt;&lt;/Cite&gt;&lt;/EndNote&gt;</w:instrText>
      </w:r>
      <w:r w:rsidR="009B6816">
        <w:fldChar w:fldCharType="separate"/>
      </w:r>
      <w:r w:rsidR="005129CC">
        <w:rPr>
          <w:noProof/>
        </w:rPr>
        <w:t>(</w:t>
      </w:r>
      <w:hyperlink w:anchor="_ENREF_1" w:tooltip="Abbey, 2001 #176" w:history="1">
        <w:r w:rsidR="007704DB">
          <w:rPr>
            <w:noProof/>
          </w:rPr>
          <w:t>Abbey and Barrett 2001</w:t>
        </w:r>
      </w:hyperlink>
      <w:r w:rsidR="005129CC">
        <w:rPr>
          <w:noProof/>
        </w:rPr>
        <w:t xml:space="preserve">; </w:t>
      </w:r>
      <w:hyperlink w:anchor="_ENREF_36" w:tooltip="Gifford, 2005 #89" w:history="1">
        <w:r w:rsidR="007704DB">
          <w:rPr>
            <w:noProof/>
          </w:rPr>
          <w:t>Gifford, King et al. 2005</w:t>
        </w:r>
      </w:hyperlink>
      <w:r w:rsidR="005129CC">
        <w:rPr>
          <w:noProof/>
        </w:rPr>
        <w:t>)</w:t>
      </w:r>
      <w:r w:rsidR="009B6816">
        <w:fldChar w:fldCharType="end"/>
      </w:r>
      <w:r w:rsidRPr="004E73F3">
        <w:t>.  In the current example, the new discriminant function looks like</w:t>
      </w:r>
    </w:p>
    <w:p w:rsidR="00834652" w:rsidRDefault="00834652" w:rsidP="00834652">
      <w:pPr>
        <w:numPr>
          <w:ilvl w:val="12"/>
          <w:numId w:val="0"/>
        </w:numPr>
        <w:spacing w:line="480" w:lineRule="auto"/>
        <w:ind w:firstLine="720"/>
      </w:pPr>
    </w:p>
    <w:p w:rsidR="00EB1E8F" w:rsidRDefault="00EB1E8F" w:rsidP="004E73F3">
      <w:pPr>
        <w:numPr>
          <w:ilvl w:val="12"/>
          <w:numId w:val="0"/>
        </w:numPr>
        <w:spacing w:line="480" w:lineRule="auto"/>
        <w:ind w:firstLine="720"/>
        <w:jc w:val="both"/>
      </w:pPr>
    </w:p>
    <w:p w:rsidR="004E73F3" w:rsidRPr="004E73F3" w:rsidRDefault="004E73F3" w:rsidP="004E73F3">
      <w:pPr>
        <w:numPr>
          <w:ilvl w:val="12"/>
          <w:numId w:val="0"/>
        </w:numPr>
        <w:spacing w:line="480" w:lineRule="auto"/>
        <w:ind w:firstLine="720"/>
        <w:jc w:val="both"/>
      </w:pPr>
      <w:r w:rsidRPr="004E73F3">
        <w:rPr>
          <w:noProof/>
        </w:rPr>
        <w:lastRenderedPageBreak/>
        <w:drawing>
          <wp:inline distT="0" distB="0" distL="0" distR="0">
            <wp:extent cx="2455452" cy="1828800"/>
            <wp:effectExtent l="19050" t="0" r="1998" b="0"/>
            <wp:docPr id="58" name="Picture 8" descr="images_discrimina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s_discriminant2"/>
                    <pic:cNvPicPr>
                      <a:picLocks noChangeAspect="1" noChangeArrowheads="1"/>
                    </pic:cNvPicPr>
                  </pic:nvPicPr>
                  <pic:blipFill>
                    <a:blip r:embed="rId54" cstate="print"/>
                    <a:srcRect/>
                    <a:stretch>
                      <a:fillRect/>
                    </a:stretch>
                  </pic:blipFill>
                  <pic:spPr bwMode="auto">
                    <a:xfrm>
                      <a:off x="0" y="0"/>
                      <a:ext cx="2455452" cy="1828800"/>
                    </a:xfrm>
                    <a:prstGeom prst="rect">
                      <a:avLst/>
                    </a:prstGeom>
                    <a:noFill/>
                    <a:ln w="9525">
                      <a:noFill/>
                      <a:miter lim="800000"/>
                      <a:headEnd/>
                      <a:tailEnd/>
                    </a:ln>
                  </pic:spPr>
                </pic:pic>
              </a:graphicData>
            </a:graphic>
          </wp:inline>
        </w:drawing>
      </w:r>
    </w:p>
    <w:p w:rsidR="004E73F3" w:rsidRPr="004E73F3" w:rsidRDefault="004E73F3" w:rsidP="0084023C">
      <w:pPr>
        <w:pStyle w:val="Caption"/>
      </w:pPr>
      <w:bookmarkStart w:id="99" w:name="_Toc351890076"/>
      <w:proofErr w:type="gramStart"/>
      <w:r>
        <w:t xml:space="preserve">Figure </w:t>
      </w:r>
      <w:r w:rsidR="009B6816">
        <w:fldChar w:fldCharType="begin"/>
      </w:r>
      <w:r>
        <w:instrText xml:space="preserve"> SEQ Figure \* ARABIC </w:instrText>
      </w:r>
      <w:r w:rsidR="009B6816">
        <w:fldChar w:fldCharType="separate"/>
      </w:r>
      <w:r w:rsidR="005B6C27">
        <w:rPr>
          <w:noProof/>
        </w:rPr>
        <w:t>35</w:t>
      </w:r>
      <w:r w:rsidR="009B6816">
        <w:fldChar w:fldCharType="end"/>
      </w:r>
      <w:r>
        <w:t>.</w:t>
      </w:r>
      <w:proofErr w:type="gramEnd"/>
      <w:r>
        <w:t xml:space="preserve"> </w:t>
      </w:r>
      <w:r w:rsidRPr="004E73F3">
        <w:t>The new CHO discriminant function resulting from observer noise added to the intraclass scatter matrix.</w:t>
      </w:r>
      <w:bookmarkEnd w:id="99"/>
    </w:p>
    <w:p w:rsidR="00EB1E8F" w:rsidRDefault="00EB1E8F" w:rsidP="00081E6E">
      <w:pPr>
        <w:numPr>
          <w:ilvl w:val="12"/>
          <w:numId w:val="0"/>
        </w:numPr>
        <w:spacing w:line="480" w:lineRule="auto"/>
        <w:ind w:firstLine="720"/>
      </w:pPr>
    </w:p>
    <w:p w:rsidR="00081E6E" w:rsidRDefault="004E73F3" w:rsidP="00081E6E">
      <w:pPr>
        <w:numPr>
          <w:ilvl w:val="12"/>
          <w:numId w:val="0"/>
        </w:numPr>
        <w:spacing w:line="480" w:lineRule="auto"/>
        <w:ind w:firstLine="720"/>
      </w:pPr>
      <w:r w:rsidRPr="004E73F3">
        <w:t xml:space="preserve">This “handicapped ideal” discriminant function necessarily yields a lower value of </w:t>
      </w:r>
      <m:oMath>
        <m:r>
          <w:rPr>
            <w:rFonts w:ascii="Cambria Math" w:hAnsi="Cambria Math"/>
          </w:rPr>
          <m:t>J</m:t>
        </m:r>
      </m:oMath>
      <w:r w:rsidRPr="004E73F3">
        <w:t xml:space="preserve"> (class separation) and has shown better agreement with human performance.</w:t>
      </w:r>
      <w:r>
        <w:t xml:space="preserve">  </w:t>
      </w:r>
      <w:r w:rsidR="001824D2">
        <w:t>It is noted that</w:t>
      </w:r>
      <w:r w:rsidR="00D33601">
        <w:t>,</w:t>
      </w:r>
      <w:r w:rsidR="00D75CAE">
        <w:t xml:space="preserve"> after the covariance matrix has been adjusted,</w:t>
      </w:r>
      <w:r w:rsidR="00D85F7C">
        <w:t xml:space="preserve"> </w:t>
      </w:r>
      <w:r w:rsidR="00DF21AC">
        <w:t xml:space="preserve">Equation </w:t>
      </w:r>
      <w:r w:rsidR="00D85F7C">
        <w:t>(</w:t>
      </w:r>
      <w:r w:rsidR="00D75CAE">
        <w:t>4.17</w:t>
      </w:r>
      <w:r w:rsidR="00D85F7C">
        <w:t>)</w:t>
      </w:r>
      <w:r w:rsidR="00D75CAE">
        <w:t xml:space="preserve"> is no longer valid</w:t>
      </w:r>
      <w:r w:rsidR="00081E6E">
        <w:t xml:space="preserve"> and SNR must be calculated using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600"/>
      </w:tblPr>
      <w:tblGrid>
        <w:gridCol w:w="7920"/>
        <w:gridCol w:w="720"/>
      </w:tblGrid>
      <w:tr w:rsidR="00081E6E" w:rsidTr="0034534F">
        <w:tc>
          <w:tcPr>
            <w:tcW w:w="7920" w:type="dxa"/>
            <w:shd w:val="clear" w:color="auto" w:fill="auto"/>
            <w:vAlign w:val="center"/>
          </w:tcPr>
          <w:p w:rsidR="00081E6E" w:rsidRDefault="00081E6E" w:rsidP="0034534F">
            <w:pPr>
              <w:numPr>
                <w:ilvl w:val="12"/>
                <w:numId w:val="0"/>
              </w:numPr>
              <w:spacing w:line="480" w:lineRule="auto"/>
              <w:ind w:firstLine="720"/>
            </w:pPr>
            <m:oMathPara>
              <m:oMath>
                <m:r>
                  <w:rPr>
                    <w:rFonts w:ascii="Cambria Math" w:hAnsi="Cambria Math"/>
                  </w:rPr>
                  <m:t>SNR=</m:t>
                </m:r>
                <m:rad>
                  <m:radPr>
                    <m:degHide m:val="on"/>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μ</m:t>
                                        </m:r>
                                      </m:e>
                                      <m:sub>
                                        <m:r>
                                          <w:rPr>
                                            <w:rFonts w:ascii="Cambria Math" w:hAnsi="Cambria Math"/>
                                          </w:rPr>
                                          <m:t>1</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μ</m:t>
                                        </m:r>
                                      </m:e>
                                      <m:sub>
                                        <m:r>
                                          <w:rPr>
                                            <w:rFonts w:ascii="Cambria Math" w:hAnsi="Cambria Math"/>
                                          </w:rPr>
                                          <m:t>2</m:t>
                                        </m:r>
                                      </m:sub>
                                    </m:sSub>
                                  </m:e>
                                </m:acc>
                              </m:e>
                            </m:d>
                          </m:e>
                          <m:sup>
                            <m:r>
                              <w:rPr>
                                <w:rFonts w:ascii="Cambria Math" w:hAnsi="Cambria Math"/>
                              </w:rPr>
                              <m:t>2</m:t>
                            </m:r>
                          </m:sup>
                        </m:sSup>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r>
                          <w:rPr>
                            <w:rFonts w:ascii="Cambria Math" w:hAnsi="Cambria Math"/>
                          </w:rPr>
                          <m:t>)</m:t>
                        </m:r>
                      </m:den>
                    </m:f>
                  </m:e>
                </m:rad>
                <m:r>
                  <w:rPr>
                    <w:rFonts w:ascii="Cambria Math" w:hAnsi="Cambria Math"/>
                  </w:rPr>
                  <m:t xml:space="preserve"> </m:t>
                </m:r>
              </m:oMath>
            </m:oMathPara>
          </w:p>
        </w:tc>
        <w:tc>
          <w:tcPr>
            <w:tcW w:w="720" w:type="dxa"/>
            <w:shd w:val="clear" w:color="auto" w:fill="auto"/>
            <w:vAlign w:val="center"/>
          </w:tcPr>
          <w:p w:rsidR="00081E6E" w:rsidRDefault="009B6816" w:rsidP="0034534F">
            <w:pPr>
              <w:pStyle w:val="EquationNumberStyle"/>
            </w:pPr>
            <w:r>
              <w:fldChar w:fldCharType="begin"/>
            </w:r>
            <w:r w:rsidR="00081E6E">
              <w:instrText xml:space="preserve"> MACROBUTTON NumberReference \* MERGEFORMAT (</w:instrText>
            </w:r>
            <w:fldSimple w:instr=" SEQ EqnChapter \c \* Arabic \* MERGEFORMAT ">
              <w:r w:rsidR="005B6C27">
                <w:rPr>
                  <w:noProof/>
                </w:rPr>
                <w:instrText>5</w:instrText>
              </w:r>
            </w:fldSimple>
            <w:r w:rsidR="00081E6E">
              <w:instrText>.</w:instrText>
            </w:r>
            <w:fldSimple w:instr=" SEQ EquationNumber \n \* Arabic \* MERGEFORMAT ">
              <w:r w:rsidR="005B6C27">
                <w:rPr>
                  <w:noProof/>
                </w:rPr>
                <w:instrText>9</w:instrText>
              </w:r>
            </w:fldSimple>
            <w:r w:rsidR="00081E6E">
              <w:instrText>)</w:instrText>
            </w:r>
            <w:r>
              <w:fldChar w:fldCharType="end"/>
            </w:r>
          </w:p>
        </w:tc>
      </w:tr>
    </w:tbl>
    <w:p w:rsidR="00EB1E8F" w:rsidRDefault="00081E6E" w:rsidP="00081E6E">
      <w:pPr>
        <w:numPr>
          <w:ilvl w:val="12"/>
          <w:numId w:val="0"/>
        </w:numPr>
        <w:spacing w:line="480" w:lineRule="auto"/>
      </w:pPr>
      <w:proofErr w:type="gramStart"/>
      <w:r>
        <w:t>where</w:t>
      </w:r>
      <w:proofErr w:type="gramEnd"/>
      <w:r>
        <w:t xml:space="preserve"> </w:t>
      </w:r>
      <m:oMath>
        <m:r>
          <w:rPr>
            <w:rFonts w:ascii="Cambria Math" w:hAnsi="Cambria Math"/>
          </w:rPr>
          <m:t>μ</m:t>
        </m:r>
      </m:oMath>
      <w:r>
        <w:t xml:space="preserve"> is the observer test statistic for each image and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t xml:space="preserve"> is the variance of the test statistics in each distribution (target and non-target).</w:t>
      </w:r>
      <w:r w:rsidR="00771618">
        <w:t xml:space="preserve">  In this study, the CHO is implemented with internal noise to more closely match human performance.</w:t>
      </w:r>
      <w:r w:rsidR="00636888" w:rsidRPr="00636888">
        <w:t xml:space="preserve"> </w:t>
      </w:r>
    </w:p>
    <w:p w:rsidR="00636888" w:rsidRDefault="00636888" w:rsidP="00636888">
      <w:pPr>
        <w:pStyle w:val="Heading3"/>
      </w:pPr>
      <w:bookmarkStart w:id="100" w:name="_Toc351890027"/>
      <w:r>
        <w:t>Imaging Conditions</w:t>
      </w:r>
      <w:bookmarkEnd w:id="100"/>
    </w:p>
    <w:p w:rsidR="00636888" w:rsidRPr="007D4649" w:rsidRDefault="00636888" w:rsidP="00636888"/>
    <w:p w:rsidR="00636888" w:rsidRDefault="00636888" w:rsidP="00636888">
      <w:pPr>
        <w:numPr>
          <w:ilvl w:val="12"/>
          <w:numId w:val="0"/>
        </w:numPr>
        <w:spacing w:line="480" w:lineRule="auto"/>
        <w:ind w:firstLine="720"/>
      </w:pPr>
      <w:r w:rsidRPr="00636888">
        <w:t xml:space="preserve">The mathematical observer SNR measured the (binary) class separability and was used to quantify reconstruction performance for various lesion contrasts (in the liver), patient scan times, and patient BMI.  Lesion contrast was varied by adjusting the signal </w:t>
      </w:r>
      <w:r w:rsidRPr="00636888">
        <w:lastRenderedPageBreak/>
        <w:t xml:space="preserve">activity within each patient; 20K, 40K, and 60K counts were extracted from the sphere </w:t>
      </w:r>
      <w:r w:rsidR="00BC6FFB">
        <w:t>list-mode</w:t>
      </w:r>
      <w:r w:rsidRPr="00636888">
        <w:t xml:space="preserve"> data and added to the data from 25 patients with 3-minute clinical scans, yielding mean contrast values of </w:t>
      </w:r>
      <m:oMath>
        <m:r>
          <w:rPr>
            <w:rFonts w:ascii="Cambria Math" w:hAnsi="Cambria Math"/>
          </w:rPr>
          <m:t>1.14±0.03</m:t>
        </m:r>
      </m:oMath>
      <w:r w:rsidRPr="00636888">
        <w:t xml:space="preserve">, </w:t>
      </w:r>
      <m:oMath>
        <m:r>
          <w:rPr>
            <w:rFonts w:ascii="Cambria Math" w:hAnsi="Cambria Math"/>
          </w:rPr>
          <m:t>1.30±0.07</m:t>
        </m:r>
      </m:oMath>
      <w:r w:rsidRPr="00636888">
        <w:t xml:space="preserve">, </w:t>
      </w:r>
      <m:oMath>
        <m:r>
          <w:rPr>
            <w:rFonts w:ascii="Cambria Math" w:hAnsi="Cambria Math"/>
          </w:rPr>
          <m:t>1.47±0.11</m:t>
        </m:r>
      </m:oMath>
      <w:r w:rsidRPr="00636888">
        <w:t xml:space="preserve">, respectively.  </w:t>
      </w:r>
      <w:r w:rsidR="00EF6D25">
        <w:t xml:space="preserve">The effect of TOF and PSF on patient scan time has been investigated before </w:t>
      </w:r>
      <w:r w:rsidR="009B6816">
        <w:fldChar w:fldCharType="begin"/>
      </w:r>
      <w:r w:rsidR="000F64FB">
        <w:instrText xml:space="preserve"> ADDIN EN.CITE &lt;EndNote&gt;&lt;Cite&gt;&lt;Author&gt;Kadrmas&lt;/Author&gt;&lt;RecNum&gt;332&lt;/RecNum&gt;&lt;DisplayText&gt;(Kadrmas, Oktay et al. 2012)&lt;/DisplayText&gt;&lt;record&gt;&lt;rec-number&gt;332&lt;/rec-number&gt;&lt;foreign-keys&gt;&lt;key app="EN" db-id="srwv9ppvvez5pgefxzi5ddeve5w2fe5x5esr"&gt;332&lt;/key&gt;&lt;/foreign-keys&gt;&lt;ref-type name="Journal Article"&gt;17&lt;/ref-type&gt;&lt;contributors&gt;&lt;authors&gt;&lt;author&gt;Kadrmas, D.J.&lt;/author&gt;&lt;author&gt;Oktay, M.B.&lt;/author&gt;&lt;author&gt;Casey, M.E.&lt;/author&gt;&lt;author&gt;Hamill, J.J.&lt;/author&gt;&lt;/authors&gt;&lt;/contributors&gt;&lt;titles&gt;&lt;title&gt;Effect of Scan Time on Oncologic Lesion Detection in Whole-Body PET&lt;/title&gt;&lt;secondary-title&gt;Nuclear Science, IEEE Transactions on&lt;/secondary-title&gt;&lt;/titles&gt;&lt;periodical&gt;&lt;full-title&gt;Nuclear Science, IEEE Transactions on&lt;/full-title&gt;&lt;/periodical&gt;&lt;pages&gt;1940-1947&lt;/pages&gt;&lt;volume&gt;59&lt;/volume&gt;&lt;number&gt;5&lt;/number&gt;&lt;dates&gt;&lt;year&gt;2012&lt;/year&gt;&lt;/dates&gt;&lt;isbn&gt;0018-9499&lt;/isbn&gt;&lt;urls&gt;&lt;/urls&gt;&lt;/record&gt;&lt;/Cite&gt;&lt;/EndNote&gt;</w:instrText>
      </w:r>
      <w:r w:rsidR="009B6816">
        <w:fldChar w:fldCharType="separate"/>
      </w:r>
      <w:r w:rsidR="000F64FB">
        <w:rPr>
          <w:noProof/>
        </w:rPr>
        <w:t>(</w:t>
      </w:r>
      <w:hyperlink w:anchor="_ENREF_47" w:tooltip="Kadrmas, 2012 #332" w:history="1">
        <w:r w:rsidR="007704DB">
          <w:rPr>
            <w:noProof/>
          </w:rPr>
          <w:t>Kadrmas, Oktay et al. 2012</w:t>
        </w:r>
      </w:hyperlink>
      <w:r w:rsidR="000F64FB">
        <w:rPr>
          <w:noProof/>
        </w:rPr>
        <w:t>)</w:t>
      </w:r>
      <w:r w:rsidR="009B6816">
        <w:fldChar w:fldCharType="end"/>
      </w:r>
      <w:r w:rsidR="00EF6D25">
        <w:t xml:space="preserve"> and similar analyses were performed here; o</w:t>
      </w:r>
      <w:r w:rsidRPr="00636888">
        <w:t xml:space="preserve">ne </w:t>
      </w:r>
      <w:r w:rsidR="00BF61DF">
        <w:t xml:space="preserve">, </w:t>
      </w:r>
      <w:r w:rsidRPr="00636888">
        <w:t>two</w:t>
      </w:r>
      <w:r w:rsidR="00BF61DF">
        <w:t>, and three</w:t>
      </w:r>
      <w:r w:rsidRPr="00636888">
        <w:t>-minute scan time realiz</w:t>
      </w:r>
      <w:r w:rsidR="00BF61DF">
        <w:t>ations were extracted from the</w:t>
      </w:r>
      <w:r w:rsidRPr="00636888">
        <w:t xml:space="preserve"> patient data sets.  To evaluate the influence of patient size on performance, the </w:t>
      </w:r>
      <w:r w:rsidR="0004225E">
        <w:t xml:space="preserve">original 40 </w:t>
      </w:r>
      <w:r w:rsidRPr="00636888">
        <w:t>patients were grouped by BMI. Patients with BMI below 27 and above 29.5 were pooled into low and high BMI classes, respectively, producing two separate groups of 18 patients.  For all conditions, the mean gains in observer SNR were evaluated over 10 iterations of the reconstruction algorithms.</w:t>
      </w:r>
    </w:p>
    <w:p w:rsidR="00636888" w:rsidRDefault="00636888" w:rsidP="00636888">
      <w:pPr>
        <w:pStyle w:val="Heading3"/>
      </w:pPr>
      <w:bookmarkStart w:id="101" w:name="_Toc351890028"/>
      <w:r>
        <w:t>Reconstructions</w:t>
      </w:r>
      <w:bookmarkEnd w:id="101"/>
    </w:p>
    <w:p w:rsidR="00636888" w:rsidRPr="007D4649" w:rsidRDefault="00636888" w:rsidP="00636888"/>
    <w:p w:rsidR="00552FC2" w:rsidRDefault="00E70C7F" w:rsidP="00636888">
      <w:pPr>
        <w:numPr>
          <w:ilvl w:val="12"/>
          <w:numId w:val="0"/>
        </w:numPr>
        <w:spacing w:line="480" w:lineRule="auto"/>
        <w:ind w:firstLine="720"/>
      </w:pPr>
      <w:r w:rsidRPr="00E70C7F">
        <w:t xml:space="preserve">This work considered iterative reconstruction methods, as these are the current standard for clinical imaging.  The ordinary Poisson (OP) OSEM </w:t>
      </w:r>
      <w:r w:rsidR="009B6816" w:rsidRPr="00E70C7F">
        <w:fldChar w:fldCharType="begin"/>
      </w:r>
      <w:r w:rsidRPr="00E70C7F">
        <w:instrText xml:space="preserve"> ADDIN EN.CITE &lt;EndNote&gt;&lt;Cite&gt;&lt;Author&gt;Michel&lt;/Author&gt;&lt;Year&gt;1998&lt;/Year&gt;&lt;RecNum&gt;327&lt;/RecNum&gt;&lt;DisplayText&gt;(Michel, Sibomana et al. 1998)&lt;/DisplayText&gt;&lt;record&gt;&lt;rec-number&gt;327&lt;/rec-number&gt;&lt;foreign-keys&gt;&lt;key app="EN" db-id="srwv9ppvvez5pgefxzi5ddeve5w2fe5x5esr"&gt;327&lt;/key&gt;&lt;/foreign-keys&gt;&lt;ref-type name="Conference Proceedings"&gt;10&lt;/ref-type&gt;&lt;contributors&gt;&lt;authors&gt;&lt;author&gt;Michel, C.&lt;/author&gt;&lt;author&gt;Sibomana, M.&lt;/author&gt;&lt;author&gt;Boi, A.&lt;/author&gt;&lt;author&gt;Bernard, X.&lt;/author&gt;&lt;author&gt;Lonneux, M.&lt;/author&gt;&lt;author&gt;Defrise, M.&lt;/author&gt;&lt;author&gt;Comtat, C.&lt;/author&gt;&lt;author&gt;Kinahan, PE&lt;/author&gt;&lt;author&gt;Townsend, DW&lt;/author&gt;&lt;/authors&gt;&lt;/contributors&gt;&lt;titles&gt;&lt;title&gt;Preserving Poisson characteristics of PET data with weighted OSEM reconstruction&lt;/title&gt;&lt;secondary-title&gt;Nuclear Science Symposium, 1998. Conference Record. 1998 IEEE&lt;/secondary-title&gt;&lt;/titles&gt;&lt;pages&gt;1323-1329&lt;/pages&gt;&lt;volume&gt;2&lt;/volume&gt;&lt;dates&gt;&lt;year&gt;1998&lt;/year&gt;&lt;/dates&gt;&lt;publisher&gt;IEEE&lt;/publisher&gt;&lt;isbn&gt;0780350219&lt;/isbn&gt;&lt;urls&gt;&lt;/urls&gt;&lt;/record&gt;&lt;/Cite&gt;&lt;/EndNote&gt;</w:instrText>
      </w:r>
      <w:r w:rsidR="009B6816" w:rsidRPr="00E70C7F">
        <w:fldChar w:fldCharType="separate"/>
      </w:r>
      <w:r w:rsidRPr="00E70C7F">
        <w:t>(</w:t>
      </w:r>
      <w:hyperlink w:anchor="_ENREF_54" w:tooltip="Michel, 1998 #327" w:history="1">
        <w:r w:rsidR="007704DB" w:rsidRPr="00E70C7F">
          <w:t>Michel, Sibomana et al. 1998</w:t>
        </w:r>
      </w:hyperlink>
      <w:r w:rsidRPr="00E70C7F">
        <w:t>)</w:t>
      </w:r>
      <w:r w:rsidR="009B6816" w:rsidRPr="00E70C7F">
        <w:fldChar w:fldCharType="end"/>
      </w:r>
      <w:r w:rsidRPr="00E70C7F">
        <w:t xml:space="preserve"> was the baseline reconstruction.  This reconstruction treats the data as a discrete number of Poisson variables and iterates towards the maximum value of the likelihood function.  In this scheme, the P</w:t>
      </w:r>
      <w:r>
        <w:t>oisson statistics are preserved.</w:t>
      </w:r>
      <w:r w:rsidR="00E13B75">
        <w:rPr>
          <w:rStyle w:val="FootnoteReference"/>
        </w:rPr>
        <w:footnoteReference w:id="11"/>
      </w:r>
    </w:p>
    <w:p w:rsidR="00DB0212" w:rsidRPr="00DB0212" w:rsidRDefault="00DB0212" w:rsidP="00DB0212">
      <w:pPr>
        <w:numPr>
          <w:ilvl w:val="12"/>
          <w:numId w:val="0"/>
        </w:numPr>
        <w:spacing w:line="480" w:lineRule="auto"/>
        <w:ind w:firstLine="720"/>
      </w:pPr>
      <w:r w:rsidRPr="00DB0212">
        <w:t xml:space="preserve">For the images used in the observer study, the image processing schemes were optimized on the basis of performance of a model observer in detecting the presence of a </w:t>
      </w:r>
      <w:r w:rsidR="00BF61DF">
        <w:t>1-cm</w:t>
      </w:r>
      <w:r w:rsidRPr="00DB0212">
        <w:t xml:space="preserve"> spherical signal in a random, noisy background.  Single-bed PET data were taken from 40 patients, both with and without a lesion added in the liver, and reconstructed </w:t>
      </w:r>
      <w:r w:rsidRPr="00DB0212">
        <w:lastRenderedPageBreak/>
        <w:t xml:space="preserve">with each of the 4 algorithms (OP, PSF,TOF, and TOF+PSF), from 1-10 iterations, using 12 subsets, with 14 azimuthal angles per subset.  </w:t>
      </w:r>
      <w:r w:rsidR="00DD3156">
        <w:t>According to clinical protocol of the institution, the sinograms were rebinne</w:t>
      </w:r>
      <w:r w:rsidR="0004225E">
        <w:t>d radially a</w:t>
      </w:r>
      <w:r w:rsidR="004B4B5D">
        <w:t>n</w:t>
      </w:r>
      <w:r w:rsidR="0004225E">
        <w:t>d angularly to 168</w:t>
      </w:r>
      <w:r w:rsidR="00DD3156">
        <w:t xml:space="preserve"> x 168; t</w:t>
      </w:r>
      <w:r w:rsidRPr="00DB0212">
        <w:t xml:space="preserve">he final image matrix was </w:t>
      </w:r>
      <w:r w:rsidR="00DD3156">
        <w:t xml:space="preserve">also </w:t>
      </w:r>
      <w:r w:rsidRPr="00DB0212">
        <w:t xml:space="preserve">168 x 168, with a pixel size of 4.073 mm, and a slice thickness of 2.027 mm.  These images were then </w:t>
      </w:r>
      <w:r w:rsidR="00EA5FCA">
        <w:t>post-processed both without smoothing and with Gau</w:t>
      </w:r>
      <w:r w:rsidRPr="00DB0212">
        <w:t xml:space="preserve">ssian kernels ranging in size from 4-10 mm (FWHM), in 1 mm increments, for a total of 25,600 images.  </w:t>
      </w:r>
    </w:p>
    <w:p w:rsidR="006361BB" w:rsidRDefault="00DB0212" w:rsidP="00081E6E">
      <w:pPr>
        <w:numPr>
          <w:ilvl w:val="12"/>
          <w:numId w:val="0"/>
        </w:numPr>
        <w:spacing w:line="480" w:lineRule="auto"/>
        <w:ind w:firstLine="720"/>
      </w:pPr>
      <w:r w:rsidRPr="00DB0212">
        <w:t xml:space="preserve">The </w:t>
      </w:r>
      <w:r w:rsidR="00777F68">
        <w:t>numerical</w:t>
      </w:r>
      <w:r w:rsidRPr="00DB0212">
        <w:t xml:space="preserve"> observer was the 2D D-DOG CNPW </w:t>
      </w:r>
      <w:r w:rsidR="009B6816" w:rsidRPr="00DB0212">
        <w:fldChar w:fldCharType="begin"/>
      </w:r>
      <w:r w:rsidRPr="00DB0212">
        <w:instrText xml:space="preserve"> ADDIN EN.CITE &lt;EndNote&gt;&lt;Cite&gt;&lt;Author&gt;Gifford&lt;/Author&gt;&lt;Year&gt;2007&lt;/Year&gt;&lt;RecNum&gt;90&lt;/RecNum&gt;&lt;DisplayText&gt;(Gifford, Kinahan et al. 2007)&lt;/DisplayText&gt;&lt;record&gt;&lt;rec-number&gt;90&lt;/rec-number&gt;&lt;foreign-keys&gt;&lt;key app="EN" db-id="srwv9ppvvez5pgefxzi5ddeve5w2fe5x5esr"&gt;90&lt;/key&gt;&lt;/foreign-keys&gt;&lt;ref-type name="Journal Article"&gt;17&lt;/ref-type&gt;&lt;contributors&gt;&lt;authors&gt;&lt;author&gt;Gifford, HC&lt;/author&gt;&lt;author&gt;Kinahan, PE&lt;/author&gt;&lt;author&gt;Lartizien, C&lt;/author&gt;&lt;author&gt;King, MA&lt;/author&gt;&lt;/authors&gt;&lt;/contributors&gt;&lt;titles&gt;&lt;title&gt;Evaluation of multiclass model observers in PET LROC studies&lt;/title&gt;&lt;secondary-title&gt;IEEE transactions on nuclear science&lt;/secondary-title&gt;&lt;/titles&gt;&lt;pages&gt;116-123&lt;/pages&gt;&lt;volume&gt;54&lt;/volume&gt;&lt;number&gt;1 Part 1&lt;/number&gt;&lt;dates&gt;&lt;year&gt;2007&lt;/year&gt;&lt;/dates&gt;&lt;urls&gt;&lt;/urls&gt;&lt;/record&gt;&lt;/Cite&gt;&lt;/EndNote&gt;</w:instrText>
      </w:r>
      <w:r w:rsidR="009B6816" w:rsidRPr="00DB0212">
        <w:fldChar w:fldCharType="separate"/>
      </w:r>
      <w:r w:rsidRPr="00DB0212">
        <w:t>(</w:t>
      </w:r>
      <w:hyperlink w:anchor="_ENREF_34" w:tooltip="Gifford, 2007 #90" w:history="1">
        <w:r w:rsidR="007704DB" w:rsidRPr="006361BB">
          <w:t>Gifford, Kinahan et al. 2007</w:t>
        </w:r>
      </w:hyperlink>
      <w:r w:rsidRPr="00DB0212">
        <w:t>)</w:t>
      </w:r>
      <w:r w:rsidR="009B6816" w:rsidRPr="00DB0212">
        <w:fldChar w:fldCharType="end"/>
      </w:r>
      <w:r w:rsidRPr="00DB0212">
        <w:t xml:space="preserve"> in which a 15 x 15 pixel sub-image, centered on the lesion site, was processed through ten frequency-selective channels.  The maximum observer SNR </w:t>
      </w:r>
      <w:r w:rsidR="00DC565C">
        <w:t>of the observer</w:t>
      </w:r>
      <w:r w:rsidR="00081E6E">
        <w:t xml:space="preserve"> (Equation 5.4) </w:t>
      </w:r>
      <w:r w:rsidRPr="00DB0212">
        <w:t xml:space="preserve">was used to determine both the optimal iteration number and smoothing kernel size to be used for each reconstruction.  </w:t>
      </w:r>
    </w:p>
    <w:p w:rsidR="0025336F" w:rsidRDefault="0025336F" w:rsidP="00081E6E">
      <w:pPr>
        <w:numPr>
          <w:ilvl w:val="12"/>
          <w:numId w:val="0"/>
        </w:numPr>
        <w:spacing w:line="480" w:lineRule="auto"/>
        <w:ind w:firstLine="720"/>
      </w:pPr>
    </w:p>
    <w:p w:rsidR="006361BB" w:rsidRDefault="006361BB" w:rsidP="006361BB">
      <w:pPr>
        <w:numPr>
          <w:ilvl w:val="12"/>
          <w:numId w:val="0"/>
        </w:numPr>
        <w:spacing w:line="480" w:lineRule="auto"/>
        <w:ind w:left="-720" w:right="1440"/>
        <w:jc w:val="center"/>
      </w:pPr>
      <w:r>
        <w:rPr>
          <w:noProof/>
        </w:rPr>
        <w:lastRenderedPageBreak/>
        <w:drawing>
          <wp:inline distT="0" distB="0" distL="0" distR="0">
            <wp:extent cx="5943600" cy="4140200"/>
            <wp:effectExtent l="19050" t="0" r="0" b="0"/>
            <wp:docPr id="7" name="Picture 2" descr="C:\Users\Josh\Documents\PETCT\thesis stuff\CNPW_DDOG_005_s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ocuments\PETCT\thesis stuff\CNPW_DDOG_005_sm.tif"/>
                    <pic:cNvPicPr>
                      <a:picLocks noChangeAspect="1" noChangeArrowheads="1"/>
                    </pic:cNvPicPr>
                  </pic:nvPicPr>
                  <pic:blipFill>
                    <a:blip r:embed="rId55" cstate="print"/>
                    <a:srcRect/>
                    <a:stretch>
                      <a:fillRect/>
                    </a:stretch>
                  </pic:blipFill>
                  <pic:spPr bwMode="auto">
                    <a:xfrm>
                      <a:off x="0" y="0"/>
                      <a:ext cx="5943600" cy="4140200"/>
                    </a:xfrm>
                    <a:prstGeom prst="rect">
                      <a:avLst/>
                    </a:prstGeom>
                    <a:noFill/>
                    <a:ln w="9525">
                      <a:noFill/>
                      <a:miter lim="800000"/>
                      <a:headEnd/>
                      <a:tailEnd/>
                    </a:ln>
                  </pic:spPr>
                </pic:pic>
              </a:graphicData>
            </a:graphic>
          </wp:inline>
        </w:drawing>
      </w:r>
    </w:p>
    <w:p w:rsidR="006361BB" w:rsidRPr="00D63979" w:rsidRDefault="006361BB" w:rsidP="0084023C">
      <w:pPr>
        <w:pStyle w:val="Caption"/>
      </w:pPr>
      <w:bookmarkStart w:id="102" w:name="_Ref336375490"/>
      <w:bookmarkStart w:id="103" w:name="_Toc351890077"/>
      <w:proofErr w:type="gramStart"/>
      <w:r>
        <w:t xml:space="preserve">Figure </w:t>
      </w:r>
      <w:r w:rsidR="009B6816">
        <w:fldChar w:fldCharType="begin"/>
      </w:r>
      <w:r>
        <w:instrText xml:space="preserve"> SEQ Figure \* ARABIC </w:instrText>
      </w:r>
      <w:r w:rsidR="009B6816">
        <w:fldChar w:fldCharType="separate"/>
      </w:r>
      <w:r w:rsidR="005B6C27">
        <w:rPr>
          <w:noProof/>
        </w:rPr>
        <w:t>36</w:t>
      </w:r>
      <w:r w:rsidR="009B6816">
        <w:fldChar w:fldCharType="end"/>
      </w:r>
      <w:bookmarkEnd w:id="102"/>
      <w:r>
        <w:t>.</w:t>
      </w:r>
      <w:proofErr w:type="gramEnd"/>
      <w:r>
        <w:t xml:space="preserve"> </w:t>
      </w:r>
      <w:r w:rsidRPr="00D63979">
        <w:t>Plots of observer SNR; maximum SNR defined the optimal processing parameters</w:t>
      </w:r>
      <w:bookmarkEnd w:id="103"/>
    </w:p>
    <w:p w:rsidR="0025336F" w:rsidRDefault="0025336F" w:rsidP="007E72F1">
      <w:pPr>
        <w:numPr>
          <w:ilvl w:val="12"/>
          <w:numId w:val="0"/>
        </w:numPr>
        <w:spacing w:line="480" w:lineRule="auto"/>
        <w:ind w:firstLine="720"/>
      </w:pPr>
    </w:p>
    <w:p w:rsidR="007E72F1" w:rsidRDefault="006361BB" w:rsidP="007E72F1">
      <w:pPr>
        <w:numPr>
          <w:ilvl w:val="12"/>
          <w:numId w:val="0"/>
        </w:numPr>
        <w:spacing w:line="480" w:lineRule="auto"/>
        <w:ind w:firstLine="720"/>
      </w:pPr>
      <w:r w:rsidRPr="006361BB">
        <w:t xml:space="preserve">Based on the observer results, the reconstruction parameters were chosen as follows: OP-OSEM: 4 iterations and 6 mm filter; PSF: 5 iterations and 4 mm filter; TOF: 2 iterations and 6 mm filter; PSF+TOF: 2 iterations and no filter.  </w:t>
      </w:r>
      <w:r w:rsidR="00547A00">
        <w:t xml:space="preserve">The optimal reconstruction parameters vary among patients of a given population, and observer SNR was chosen to generalize these for all patients.  </w:t>
      </w:r>
      <w:r w:rsidRPr="006361BB">
        <w:t xml:space="preserve">These findings agree with those of </w:t>
      </w:r>
      <w:proofErr w:type="spellStart"/>
      <w:r w:rsidRPr="006361BB">
        <w:t>Kadrmas</w:t>
      </w:r>
      <w:proofErr w:type="spellEnd"/>
      <w:r w:rsidRPr="006361BB">
        <w:t xml:space="preserve"> </w:t>
      </w:r>
      <w:proofErr w:type="gramStart"/>
      <w:r w:rsidRPr="006361BB">
        <w:t>et</w:t>
      </w:r>
      <w:proofErr w:type="gramEnd"/>
      <w:r w:rsidRPr="006361BB">
        <w:t xml:space="preserve">. al, where the same </w:t>
      </w:r>
      <w:r w:rsidR="00777F68">
        <w:t>numerical</w:t>
      </w:r>
      <w:r w:rsidRPr="006361BB">
        <w:t xml:space="preserve"> observer was used to evaluate localization performance </w:t>
      </w:r>
      <w:r w:rsidR="002E2D56">
        <w:t xml:space="preserve">, instead of SNR, </w:t>
      </w:r>
      <w:r w:rsidRPr="006361BB">
        <w:t xml:space="preserve">of lesions in an anthropomorphic phantom </w:t>
      </w:r>
      <w:r w:rsidR="009B6816" w:rsidRPr="006361BB">
        <w:fldChar w:fldCharType="begin"/>
      </w:r>
      <w:r w:rsidRPr="006361BB">
        <w:instrText xml:space="preserve"> ADDIN EN.CITE &lt;EndNote&gt;&lt;Cite&gt;&lt;Author&gt;Kadrmas&lt;/Author&gt;&lt;Year&gt;2009&lt;/Year&gt;&lt;RecNum&gt;44&lt;/RecNum&gt;&lt;DisplayText&gt;(Kadrmas, Casey et al. 2009)&lt;/DisplayText&gt;&lt;record&gt;&lt;rec-number&gt;44&lt;/rec-number&gt;&lt;foreign-keys&gt;&lt;key app="EN" db-id="srwv9ppvvez5pgefxzi5ddeve5w2fe5x5esr"&gt;44&lt;/key&gt;&lt;/foreign-keys&gt;&lt;ref-type name="Journal Article"&gt;17&lt;/ref-type&gt;&lt;contributors&gt;&lt;authors&gt;&lt;author&gt;Kadrmas, D. J.&lt;/author&gt;&lt;author&gt;Casey, M. E.&lt;/author&gt;&lt;author&gt;Conti, M.&lt;/author&gt;&lt;author&gt;Jakoby, B. W.&lt;/author&gt;&lt;author&gt;Lois, C.&lt;/author&gt;&lt;author&gt;Townsend, D. W.&lt;/author&gt;&lt;/authors&gt;&lt;/contributors&gt;&lt;titles&gt;&lt;title&gt;Impact of Time-of-Flight on PET Tumor Detection&lt;/title&gt;&lt;secondary-title&gt;Journal of Nuclear Medicine&lt;/secondary-title&gt;&lt;/titles&gt;&lt;periodical&gt;&lt;full-title&gt;Journal of Nuclear Medicine&lt;/full-title&gt;&lt;/periodical&gt;&lt;pages&gt;1315-1323&lt;/pages&gt;&lt;volume&gt;50&lt;/volume&gt;&lt;number&gt;8&lt;/number&gt;&lt;dates&gt;&lt;year&gt;2009&lt;/year&gt;&lt;/dates&gt;&lt;isbn&gt;0161-5505&lt;/isbn&gt;&lt;urls&gt;&lt;/urls&gt;&lt;electronic-resource-num&gt;10.2967/jnumed.109.063016&lt;/electronic-resource-num&gt;&lt;/record&gt;&lt;/Cite&gt;&lt;/EndNote&gt;</w:instrText>
      </w:r>
      <w:r w:rsidR="009B6816" w:rsidRPr="006361BB">
        <w:fldChar w:fldCharType="separate"/>
      </w:r>
      <w:r w:rsidRPr="006361BB">
        <w:rPr>
          <w:noProof/>
        </w:rPr>
        <w:t>(</w:t>
      </w:r>
      <w:hyperlink w:anchor="_ENREF_46" w:tooltip="Kadrmas, 2009 #44" w:history="1">
        <w:r w:rsidR="007704DB" w:rsidRPr="006361BB">
          <w:rPr>
            <w:noProof/>
          </w:rPr>
          <w:t xml:space="preserve">Kadrmas, </w:t>
        </w:r>
        <w:r w:rsidR="007704DB" w:rsidRPr="006361BB">
          <w:rPr>
            <w:noProof/>
          </w:rPr>
          <w:lastRenderedPageBreak/>
          <w:t>Casey et al. 2009</w:t>
        </w:r>
      </w:hyperlink>
      <w:r w:rsidRPr="006361BB">
        <w:rPr>
          <w:noProof/>
        </w:rPr>
        <w:t>)</w:t>
      </w:r>
      <w:r w:rsidR="009B6816" w:rsidRPr="006361BB">
        <w:fldChar w:fldCharType="end"/>
      </w:r>
      <w:r w:rsidRPr="006361BB">
        <w:t xml:space="preserve">.  TOF reconstruction required </w:t>
      </w:r>
      <w:proofErr w:type="gramStart"/>
      <w:r w:rsidRPr="006361BB">
        <w:t>fewer iterations</w:t>
      </w:r>
      <w:proofErr w:type="gramEnd"/>
      <w:r w:rsidRPr="006361BB">
        <w:t>, and reconstruction incorporating PSF modeling required less smoothing to achieve maximum SNR.</w:t>
      </w:r>
      <w:r w:rsidR="007E72F1">
        <w:t xml:space="preserve">  A </w:t>
      </w:r>
      <w:r w:rsidR="00537514">
        <w:t xml:space="preserve">qualitative </w:t>
      </w:r>
      <w:r w:rsidR="007E72F1">
        <w:t>comparison of the four reconstructions is seen below.</w:t>
      </w:r>
      <w:r w:rsidR="007E72F1" w:rsidRPr="00FB2522">
        <w:t xml:space="preserve"> </w:t>
      </w:r>
    </w:p>
    <w:p w:rsidR="0025336F" w:rsidRDefault="0025336F" w:rsidP="007E72F1">
      <w:pPr>
        <w:numPr>
          <w:ilvl w:val="12"/>
          <w:numId w:val="0"/>
        </w:numPr>
        <w:spacing w:line="480" w:lineRule="auto"/>
        <w:ind w:firstLine="720"/>
      </w:pPr>
    </w:p>
    <w:p w:rsidR="007E72F1" w:rsidRDefault="007E72F1" w:rsidP="007E72F1">
      <w:pPr>
        <w:numPr>
          <w:ilvl w:val="12"/>
          <w:numId w:val="0"/>
        </w:numPr>
        <w:spacing w:line="480" w:lineRule="auto"/>
      </w:pPr>
      <w:r>
        <w:rPr>
          <w:noProof/>
        </w:rPr>
        <w:drawing>
          <wp:inline distT="0" distB="0" distL="0" distR="0">
            <wp:extent cx="3717290" cy="1783715"/>
            <wp:effectExtent l="19050" t="0" r="0" b="0"/>
            <wp:docPr id="8" name="Picture 3" descr="C:\Users\Josh\Documents\PETCT\thesis stuff\4rec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ocuments\PETCT\thesis stuff\4recons.tif"/>
                    <pic:cNvPicPr>
                      <a:picLocks noChangeAspect="1" noChangeArrowheads="1"/>
                    </pic:cNvPicPr>
                  </pic:nvPicPr>
                  <pic:blipFill>
                    <a:blip r:embed="rId56" cstate="print"/>
                    <a:srcRect/>
                    <a:stretch>
                      <a:fillRect/>
                    </a:stretch>
                  </pic:blipFill>
                  <pic:spPr bwMode="auto">
                    <a:xfrm>
                      <a:off x="0" y="0"/>
                      <a:ext cx="3717290" cy="1783715"/>
                    </a:xfrm>
                    <a:prstGeom prst="rect">
                      <a:avLst/>
                    </a:prstGeom>
                    <a:noFill/>
                    <a:ln w="9525">
                      <a:noFill/>
                      <a:miter lim="800000"/>
                      <a:headEnd/>
                      <a:tailEnd/>
                    </a:ln>
                  </pic:spPr>
                </pic:pic>
              </a:graphicData>
            </a:graphic>
          </wp:inline>
        </w:drawing>
      </w:r>
    </w:p>
    <w:p w:rsidR="000847B2" w:rsidRDefault="007E72F1" w:rsidP="0084023C">
      <w:pPr>
        <w:pStyle w:val="Caption"/>
      </w:pPr>
      <w:bookmarkStart w:id="104" w:name="_Toc351890078"/>
      <w:proofErr w:type="gramStart"/>
      <w:r>
        <w:t xml:space="preserve">Figure </w:t>
      </w:r>
      <w:fldSimple w:instr=" SEQ Figure \* ARABIC ">
        <w:r w:rsidR="005B6C27">
          <w:rPr>
            <w:noProof/>
          </w:rPr>
          <w:t>37</w:t>
        </w:r>
      </w:fldSimple>
      <w:r>
        <w:t>.</w:t>
      </w:r>
      <w:proofErr w:type="gramEnd"/>
      <w:r>
        <w:t xml:space="preserve"> </w:t>
      </w:r>
      <w:proofErr w:type="gramStart"/>
      <w:r>
        <w:t>A coronal view comparison of the four reconstructions</w:t>
      </w:r>
      <w:r w:rsidR="00774276">
        <w:t>.</w:t>
      </w:r>
      <w:bookmarkEnd w:id="104"/>
      <w:proofErr w:type="gramEnd"/>
      <w:r w:rsidR="00EC2C9A" w:rsidRPr="007149F4">
        <w:t xml:space="preserve">  </w:t>
      </w:r>
    </w:p>
    <w:p w:rsidR="0025336F" w:rsidRDefault="0025336F" w:rsidP="000847B2">
      <w:pPr>
        <w:pStyle w:val="Heading3"/>
      </w:pPr>
    </w:p>
    <w:p w:rsidR="0025336F" w:rsidRDefault="0025336F" w:rsidP="000847B2">
      <w:pPr>
        <w:pStyle w:val="Heading3"/>
      </w:pPr>
    </w:p>
    <w:p w:rsidR="000847B2" w:rsidRDefault="000847B2" w:rsidP="000847B2">
      <w:pPr>
        <w:pStyle w:val="Heading3"/>
      </w:pPr>
      <w:bookmarkStart w:id="105" w:name="_Toc351890029"/>
      <w:r>
        <w:t>Observer Studies</w:t>
      </w:r>
      <w:bookmarkEnd w:id="105"/>
    </w:p>
    <w:p w:rsidR="000847B2" w:rsidRPr="007D4649" w:rsidRDefault="000847B2" w:rsidP="000847B2"/>
    <w:p w:rsidR="00EE718D" w:rsidRPr="00EE718D" w:rsidRDefault="00EE718D" w:rsidP="00EE718D">
      <w:pPr>
        <w:numPr>
          <w:ilvl w:val="12"/>
          <w:numId w:val="0"/>
        </w:numPr>
        <w:spacing w:line="480" w:lineRule="auto"/>
        <w:ind w:firstLine="720"/>
      </w:pPr>
      <w:r w:rsidRPr="00EE718D">
        <w:t>An experiment was designed to survey human performance in a realistic lesion detection task.  A population of 33 disease-free patient bed positions was selected for the detection study.  Lesion data were statistically added to these image volumes at various sites for a total of 88 lesion-present data sets.  These data sets, along with the 33 lesion-absent ones, were reconstructed with the four algorithms for a study total of 484 images.  In each reconstruction set, the number of lesions located at various anatomical sites was 40 in the liver, 24 in the lung cavity, 5 in the lung wall, 7 in other soft tissue regions, and 12 in the vertebrae.</w:t>
      </w:r>
    </w:p>
    <w:p w:rsidR="0025336F" w:rsidRDefault="00EE718D" w:rsidP="00EE718D">
      <w:pPr>
        <w:numPr>
          <w:ilvl w:val="12"/>
          <w:numId w:val="0"/>
        </w:numPr>
        <w:spacing w:line="480" w:lineRule="auto"/>
        <w:ind w:firstLine="720"/>
      </w:pPr>
      <w:r w:rsidRPr="00EE718D">
        <w:lastRenderedPageBreak/>
        <w:t xml:space="preserve">A 3D image viewer was developed for this study which allowed an observer to navigate through the image volume in all orthogonal views, as well as adjust the image zoom, grayscale contrast, and color scheme.  The 484 images were presented in random order to the readers, and they were instructed to examine each image, and select the most likely location of the 1-cm diameter spherical lesion, within a localization radius of 1cm.  The reader had no knowledge about the presence (or absence) of the lesion and was given a 5-point scale by which to rate the confidence in their decision. </w:t>
      </w:r>
    </w:p>
    <w:p w:rsidR="0025336F" w:rsidRDefault="0025336F" w:rsidP="0025336F">
      <w:pPr>
        <w:numPr>
          <w:ilvl w:val="12"/>
          <w:numId w:val="0"/>
        </w:numPr>
        <w:spacing w:line="480" w:lineRule="auto"/>
      </w:pPr>
    </w:p>
    <w:p w:rsidR="004C1551" w:rsidRDefault="004C1551" w:rsidP="0025336F">
      <w:pPr>
        <w:numPr>
          <w:ilvl w:val="12"/>
          <w:numId w:val="0"/>
        </w:numPr>
        <w:spacing w:line="480" w:lineRule="auto"/>
      </w:pPr>
      <w:r>
        <w:rPr>
          <w:noProof/>
        </w:rPr>
        <w:drawing>
          <wp:inline distT="0" distB="0" distL="0" distR="0">
            <wp:extent cx="5486400" cy="3404870"/>
            <wp:effectExtent l="19050" t="0" r="0" b="0"/>
            <wp:docPr id="19" name="Picture 2" descr="C:\Users\Josh\Desktop\temp\MIPand3Dview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temp\MIPand3Dviewer.tif"/>
                    <pic:cNvPicPr>
                      <a:picLocks noChangeAspect="1" noChangeArrowheads="1"/>
                    </pic:cNvPicPr>
                  </pic:nvPicPr>
                  <pic:blipFill>
                    <a:blip r:embed="rId57" cstate="print"/>
                    <a:srcRect/>
                    <a:stretch>
                      <a:fillRect/>
                    </a:stretch>
                  </pic:blipFill>
                  <pic:spPr bwMode="auto">
                    <a:xfrm>
                      <a:off x="0" y="0"/>
                      <a:ext cx="5486400" cy="3404870"/>
                    </a:xfrm>
                    <a:prstGeom prst="rect">
                      <a:avLst/>
                    </a:prstGeom>
                    <a:noFill/>
                    <a:ln w="9525">
                      <a:noFill/>
                      <a:miter lim="800000"/>
                      <a:headEnd/>
                      <a:tailEnd/>
                    </a:ln>
                  </pic:spPr>
                </pic:pic>
              </a:graphicData>
            </a:graphic>
          </wp:inline>
        </w:drawing>
      </w:r>
    </w:p>
    <w:p w:rsidR="004C1551" w:rsidRDefault="006361BB" w:rsidP="0084023C">
      <w:pPr>
        <w:pStyle w:val="Caption"/>
      </w:pPr>
      <w:bookmarkStart w:id="106" w:name="_Toc351890079"/>
      <w:proofErr w:type="gramStart"/>
      <w:r>
        <w:t xml:space="preserve">Figure </w:t>
      </w:r>
      <w:r w:rsidR="009B6816">
        <w:fldChar w:fldCharType="begin"/>
      </w:r>
      <w:r>
        <w:instrText xml:space="preserve"> SEQ Figure \* ARABIC </w:instrText>
      </w:r>
      <w:r w:rsidR="009B6816">
        <w:fldChar w:fldCharType="separate"/>
      </w:r>
      <w:r w:rsidR="005B6C27">
        <w:rPr>
          <w:noProof/>
        </w:rPr>
        <w:t>38</w:t>
      </w:r>
      <w:r w:rsidR="009B6816">
        <w:fldChar w:fldCharType="end"/>
      </w:r>
      <w:r>
        <w:t>.</w:t>
      </w:r>
      <w:proofErr w:type="gramEnd"/>
      <w:r>
        <w:t xml:space="preserve"> </w:t>
      </w:r>
      <w:r w:rsidR="004C1551">
        <w:t>T</w:t>
      </w:r>
      <w:r w:rsidR="007A6E1E">
        <w:t xml:space="preserve">he viewer </w:t>
      </w:r>
      <w:r w:rsidR="004C1551">
        <w:t xml:space="preserve">program </w:t>
      </w:r>
      <w:r w:rsidR="007A6E1E">
        <w:t>developed</w:t>
      </w:r>
      <w:r w:rsidR="004C1551">
        <w:t xml:space="preserve"> to present the images</w:t>
      </w:r>
      <w:r w:rsidR="007A6E1E">
        <w:t xml:space="preserve"> and record decision data</w:t>
      </w:r>
      <w:bookmarkEnd w:id="106"/>
    </w:p>
    <w:p w:rsidR="0025336F" w:rsidRDefault="0025336F" w:rsidP="00EE718D">
      <w:pPr>
        <w:numPr>
          <w:ilvl w:val="12"/>
          <w:numId w:val="0"/>
        </w:numPr>
        <w:spacing w:line="480" w:lineRule="auto"/>
        <w:ind w:firstLine="720"/>
        <w:rPr>
          <w:bCs/>
        </w:rPr>
      </w:pPr>
    </w:p>
    <w:p w:rsidR="00EE718D" w:rsidRPr="00EE718D" w:rsidRDefault="00EE718D" w:rsidP="00EE718D">
      <w:pPr>
        <w:numPr>
          <w:ilvl w:val="12"/>
          <w:numId w:val="0"/>
        </w:numPr>
        <w:spacing w:line="480" w:lineRule="auto"/>
        <w:ind w:firstLine="720"/>
        <w:rPr>
          <w:bCs/>
        </w:rPr>
      </w:pPr>
      <w:r w:rsidRPr="00EE718D">
        <w:rPr>
          <w:bCs/>
        </w:rPr>
        <w:lastRenderedPageBreak/>
        <w:t xml:space="preserve">The confidence-rated decision data were used to characterize performance and construct receiver operating characteristic (ROC) curves.  This approach quantifies observer performance, in a binary task, over </w:t>
      </w:r>
      <w:r>
        <w:rPr>
          <w:bCs/>
        </w:rPr>
        <w:t>a large range in</w:t>
      </w:r>
      <w:r w:rsidRPr="00EE718D">
        <w:rPr>
          <w:bCs/>
        </w:rPr>
        <w:t xml:space="preserve"> values of the discrimination threshold.  The ROC curve plots the rate of true positives versus the rate of false positives.  Localization (LROC) analysis plots the rate of correct localization versus the rate of false positives.  If the data are assumed to be normally distributed, observer SNR can be calculated directly from the ROC curve.  </w:t>
      </w:r>
    </w:p>
    <w:p w:rsidR="00CE428D" w:rsidRDefault="00CE428D" w:rsidP="00F272CF">
      <w:pPr>
        <w:numPr>
          <w:ilvl w:val="12"/>
          <w:numId w:val="0"/>
        </w:numPr>
        <w:spacing w:line="480" w:lineRule="auto"/>
        <w:ind w:firstLine="720"/>
      </w:pPr>
      <w:r w:rsidRPr="00CE428D">
        <w:rPr>
          <w:bCs/>
        </w:rPr>
        <w:t xml:space="preserve">For the analyses, an iterative, maximum-likelihood algorithm </w:t>
      </w:r>
      <w:r w:rsidR="009B6816" w:rsidRPr="009B6816">
        <w:rPr>
          <w:bCs/>
        </w:rPr>
        <w:fldChar w:fldCharType="begin"/>
      </w:r>
      <w:r w:rsidR="000F64FB">
        <w:rPr>
          <w:bCs/>
        </w:rPr>
        <w:instrText xml:space="preserve"> ADDIN EN.CITE &lt;EndNote&gt;&lt;Cite&gt;&lt;Author&gt;Swensson&lt;/Author&gt;&lt;Year&gt;1996&lt;/Year&gt;&lt;RecNum&gt;95&lt;/RecNum&gt;&lt;DisplayText&gt;(Swensson 1996)&lt;/DisplayText&gt;&lt;record&gt;&lt;rec-number&gt;95&lt;/rec-number&gt;&lt;foreign-keys&gt;&lt;key app="EN" db-id="srwv9ppvvez5pgefxzi5ddeve5w2fe5x5esr"&gt;95&lt;/key&gt;&lt;/foreign-keys&gt;&lt;ref-type name="Journal Article"&gt;17&lt;/ref-type&gt;&lt;contributors&gt;&lt;authors&gt;&lt;author&gt;Swensson, RG&lt;/author&gt;&lt;/authors&gt;&lt;/contributors&gt;&lt;titles&gt;&lt;title&gt;Unified measurement of observer performance in detecting and localizing target objects on images&lt;/title&gt;&lt;secondary-title&gt;Medical Physics&lt;/secondary-title&gt;&lt;/titles&gt;&lt;pages&gt;1709-1725&lt;/pages&gt;&lt;volume&gt;23&lt;/volume&gt;&lt;dates&gt;&lt;year&gt;1996&lt;/year&gt;&lt;/dates&gt;&lt;urls&gt;&lt;/urls&gt;&lt;/record&gt;&lt;/Cite&gt;&lt;/EndNote&gt;</w:instrText>
      </w:r>
      <w:r w:rsidR="009B6816" w:rsidRPr="009B6816">
        <w:rPr>
          <w:bCs/>
        </w:rPr>
        <w:fldChar w:fldCharType="separate"/>
      </w:r>
      <w:r w:rsidRPr="00CE428D">
        <w:rPr>
          <w:bCs/>
          <w:noProof/>
        </w:rPr>
        <w:t>(</w:t>
      </w:r>
      <w:hyperlink w:anchor="_ENREF_74" w:tooltip="Swensson, 1996 #95" w:history="1">
        <w:r w:rsidR="007704DB" w:rsidRPr="00CE428D">
          <w:rPr>
            <w:bCs/>
            <w:noProof/>
          </w:rPr>
          <w:t>Swensson 1996</w:t>
        </w:r>
      </w:hyperlink>
      <w:r w:rsidRPr="00CE428D">
        <w:rPr>
          <w:bCs/>
          <w:noProof/>
        </w:rPr>
        <w:t>)</w:t>
      </w:r>
      <w:r w:rsidR="009B6816" w:rsidRPr="00CE428D">
        <w:fldChar w:fldCharType="end"/>
      </w:r>
      <w:r w:rsidRPr="00CE428D">
        <w:rPr>
          <w:bCs/>
        </w:rPr>
        <w:t xml:space="preserve"> was used to fit the corresponding probability density functions to the data from the observer tasks.  </w:t>
      </w:r>
      <w:r w:rsidRPr="00CE428D">
        <w:t xml:space="preserve">This method, as well as the </w:t>
      </w:r>
      <w:r w:rsidRPr="00CE428D">
        <w:rPr>
          <w:bCs/>
        </w:rPr>
        <w:t>implementation of the localization observer,</w:t>
      </w:r>
      <w:r w:rsidRPr="00CE428D">
        <w:t xml:space="preserve"> assumed the following: (1) the signal detection and localization by an observer correspond to the most likely location of the lesion in each image, (2) correct localization only occurs if the signal location is most suspicious, (3) the presence or absence of a lesion in an image has no effect on the observer’s decision process, and (4) the distribution of the observer’s decisions is normally distributed.  These assumptions, and the consequences of their violation, are discussed further by </w:t>
      </w:r>
      <w:proofErr w:type="spellStart"/>
      <w:r w:rsidRPr="00CE428D">
        <w:t>Swensson</w:t>
      </w:r>
      <w:proofErr w:type="spellEnd"/>
      <w:r w:rsidRPr="00CE428D">
        <w:t xml:space="preserve"> </w:t>
      </w:r>
      <w:r w:rsidR="009B6816" w:rsidRPr="00CE428D">
        <w:fldChar w:fldCharType="begin"/>
      </w:r>
      <w:r w:rsidR="000F64FB">
        <w:instrText xml:space="preserve"> ADDIN EN.CITE &lt;EndNote&gt;&lt;Cite&gt;&lt;Author&gt;Swensson&lt;/Author&gt;&lt;Year&gt;1996&lt;/Year&gt;&lt;RecNum&gt;95&lt;/RecNum&gt;&lt;DisplayText&gt;(Swensson 1996)&lt;/DisplayText&gt;&lt;record&gt;&lt;rec-number&gt;95&lt;/rec-number&gt;&lt;foreign-keys&gt;&lt;key app="EN" db-id="srwv9ppvvez5pgefxzi5ddeve5w2fe5x5esr"&gt;95&lt;/key&gt;&lt;/foreign-keys&gt;&lt;ref-type name="Journal Article"&gt;17&lt;/ref-type&gt;&lt;contributors&gt;&lt;authors&gt;&lt;author&gt;Swensson, RG&lt;/author&gt;&lt;/authors&gt;&lt;/contributors&gt;&lt;titles&gt;&lt;title&gt;Unified measurement of observer performance in detecting and localizing target objects on images&lt;/title&gt;&lt;secondary-title&gt;Medical Physics&lt;/secondary-title&gt;&lt;/titles&gt;&lt;pages&gt;1709-1725&lt;/pages&gt;&lt;volume&gt;23&lt;/volume&gt;&lt;dates&gt;&lt;year&gt;1996&lt;/year&gt;&lt;/dates&gt;&lt;urls&gt;&lt;/urls&gt;&lt;/record&gt;&lt;/Cite&gt;&lt;/EndNote&gt;</w:instrText>
      </w:r>
      <w:r w:rsidR="009B6816" w:rsidRPr="00CE428D">
        <w:fldChar w:fldCharType="separate"/>
      </w:r>
      <w:r w:rsidRPr="00CE428D">
        <w:rPr>
          <w:noProof/>
        </w:rPr>
        <w:t>(</w:t>
      </w:r>
      <w:hyperlink w:anchor="_ENREF_74" w:tooltip="Swensson, 1996 #95" w:history="1">
        <w:r w:rsidR="007704DB" w:rsidRPr="00CE428D">
          <w:rPr>
            <w:noProof/>
          </w:rPr>
          <w:t>Swensson 1996</w:t>
        </w:r>
      </w:hyperlink>
      <w:r w:rsidRPr="00CE428D">
        <w:rPr>
          <w:noProof/>
        </w:rPr>
        <w:t>)</w:t>
      </w:r>
      <w:r w:rsidR="009B6816" w:rsidRPr="00CE428D">
        <w:fldChar w:fldCharType="end"/>
      </w:r>
      <w:r w:rsidRPr="00CE428D">
        <w:t>.</w:t>
      </w:r>
      <w:r w:rsidR="00D478C9" w:rsidRPr="00D478C9">
        <w:rPr>
          <w:color w:val="FF0000"/>
          <w:sz w:val="22"/>
          <w:szCs w:val="22"/>
        </w:rPr>
        <w:t xml:space="preserve"> </w:t>
      </w:r>
      <w:r w:rsidR="00D478C9" w:rsidRPr="00D478C9">
        <w:t>The physicians were encouraged to take periodic breaks within the task to minimize fatigue or strain that could affect their decision criteria.</w:t>
      </w:r>
      <w:r w:rsidR="00D478C9">
        <w:t xml:space="preserve"> </w:t>
      </w:r>
    </w:p>
    <w:p w:rsidR="0072330E" w:rsidRDefault="00CE428D" w:rsidP="00CE428D">
      <w:pPr>
        <w:numPr>
          <w:ilvl w:val="12"/>
          <w:numId w:val="0"/>
        </w:numPr>
        <w:spacing w:line="480" w:lineRule="auto"/>
        <w:ind w:firstLine="720"/>
      </w:pPr>
      <w:r w:rsidRPr="00CE428D">
        <w:t>The ROC and LROC performance of the human observers was compared to that of different 3D mathematical models.  In this scheme, the model observers generated a template from a training set of images, which it then used to compute a decision statistic at every voxel</w:t>
      </w:r>
      <w:r w:rsidR="009A616D">
        <w:t xml:space="preserve"> (3-dimensional volume pixel)</w:t>
      </w:r>
      <w:r w:rsidRPr="00CE428D">
        <w:t xml:space="preserve"> in a predefined region of each test image.  </w:t>
      </w:r>
      <w:r w:rsidRPr="00CE428D">
        <w:lastRenderedPageBreak/>
        <w:t xml:space="preserve">The test statistic is the </w:t>
      </w:r>
      <w:r w:rsidR="00777F68">
        <w:t>numerical</w:t>
      </w:r>
      <w:r w:rsidRPr="00CE428D">
        <w:t xml:space="preserve"> analog of the human perceptual measurement and is used to construct performance curves</w:t>
      </w:r>
      <w:r>
        <w:t>.</w:t>
      </w:r>
      <w:r w:rsidR="00D8172C">
        <w:rPr>
          <w:rStyle w:val="FootnoteReference"/>
        </w:rPr>
        <w:footnoteReference w:id="12"/>
      </w:r>
      <w:r w:rsidR="00FE06FB">
        <w:t xml:space="preserve"> </w:t>
      </w:r>
      <w:r>
        <w:t xml:space="preserve"> </w:t>
      </w:r>
      <w:r w:rsidR="008350EE" w:rsidRPr="008350EE">
        <w:t>Numerical observers were evaluated in a localization task of the lesions in the liver.  For each patient used in the study, the CT transmission data were used to extract this region from the PET volumes, and the segmented regions were stored for use in the localization task.  This method was applied to the lungs as well, but was unsuccessful because tissue density is less correlated with tracer uptake in this region.</w:t>
      </w:r>
    </w:p>
    <w:p w:rsidR="0084023C" w:rsidRPr="0084023C" w:rsidRDefault="0084023C" w:rsidP="0084023C">
      <w:pPr>
        <w:numPr>
          <w:ilvl w:val="12"/>
          <w:numId w:val="0"/>
        </w:numPr>
        <w:spacing w:line="480" w:lineRule="auto"/>
        <w:ind w:firstLine="720"/>
      </w:pPr>
      <w:r w:rsidRPr="0084023C">
        <w:t xml:space="preserve">In this work, eight different </w:t>
      </w:r>
      <w:r w:rsidR="00777F68">
        <w:t>numerical</w:t>
      </w:r>
      <w:r w:rsidRPr="0084023C">
        <w:t xml:space="preserve"> observers were evaluated: the non-prewhitening and Hotelling observers, </w:t>
      </w:r>
      <w:r w:rsidR="00C867B9">
        <w:t xml:space="preserve">each with 4 different </w:t>
      </w:r>
      <w:r w:rsidRPr="0084023C">
        <w:t>channel configurations</w:t>
      </w:r>
      <w:r w:rsidR="00C867B9">
        <w:t xml:space="preserve"> defined by </w:t>
      </w:r>
      <w:r w:rsidR="0004225E">
        <w:t xml:space="preserve">Equation </w:t>
      </w:r>
      <w:r w:rsidR="00C867B9">
        <w:t xml:space="preserve">5.2.  </w:t>
      </w:r>
      <w:r w:rsidR="00C867B9" w:rsidRPr="00C867B9">
        <w:t>As in previous works, a dense (</w:t>
      </w:r>
      <m:oMath>
        <m:r>
          <w:rPr>
            <w:rFonts w:ascii="Cambria Math" w:hAnsi="Cambria Math"/>
          </w:rPr>
          <m:t>i≤10</m:t>
        </m:r>
      </m:oMath>
      <w:r w:rsidR="00C867B9" w:rsidRPr="00C867B9">
        <w:t xml:space="preserve">) DOG configuration was defined by the parameters </w:t>
      </w:r>
      <m:oMath>
        <m:r>
          <w:rPr>
            <w:rFonts w:ascii="Cambria Math" w:hAnsi="Cambria Math"/>
          </w:rPr>
          <m:t>Q=1.67</m:t>
        </m:r>
      </m:oMath>
      <w:r w:rsidR="00C867B9" w:rsidRPr="00C867B9">
        <w:t xml:space="preserve">, </w:t>
      </w:r>
      <m:oMath>
        <m:r>
          <w:rPr>
            <w:rFonts w:ascii="Cambria Math" w:hAnsi="Cambria Math"/>
          </w:rPr>
          <m:t>α=1.4</m:t>
        </m:r>
      </m:oMath>
      <w:r w:rsidR="00C867B9" w:rsidRPr="00C867B9">
        <w:t xml:space="preserve">, and </w:t>
      </w:r>
      <m:oMath>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=0.005</m:t>
        </m:r>
      </m:oMath>
      <w:r w:rsidR="00C867B9">
        <w:t xml:space="preserve"> </w:t>
      </w:r>
      <w:r w:rsidR="009B6816">
        <w:fldChar w:fldCharType="begin"/>
      </w:r>
      <w:r w:rsidR="00C867B9">
        <w:instrText xml:space="preserve"> ADDIN EN.CITE &lt;EndNote&gt;&lt;Cite&gt;&lt;Author&gt;Abbey&lt;/Author&gt;&lt;Year&gt;2001&lt;/Year&gt;&lt;RecNum&gt;176&lt;/RecNum&gt;&lt;DisplayText&gt;(Abbey and Barrett 2001)&lt;/DisplayText&gt;&lt;record&gt;&lt;rec-number&gt;176&lt;/rec-number&gt;&lt;foreign-keys&gt;&lt;key app="EN" db-id="srwv9ppvvez5pgefxzi5ddeve5w2fe5x5esr"&gt;176&lt;/key&gt;&lt;/foreign-keys&gt;&lt;ref-type name="Journal Article"&gt;17&lt;/ref-type&gt;&lt;contributors&gt;&lt;authors&gt;&lt;author&gt;Abbey, CK&lt;/author&gt;&lt;author&gt;Barrett, HH&lt;/author&gt;&lt;/authors&gt;&lt;/contributors&gt;&lt;titles&gt;&lt;title&gt;Human-and model-observer performance in ramp-spectrum noise: effects of regularization and object variability&lt;/title&gt;&lt;secondary-title&gt;JOSA A&lt;/secondary-title&gt;&lt;/titles&gt;&lt;pages&gt;473-488&lt;/pages&gt;&lt;volume&gt;18&lt;/volume&gt;&lt;number&gt;3&lt;/number&gt;&lt;dates&gt;&lt;year&gt;2001&lt;/year&gt;&lt;/dates&gt;&lt;isbn&gt;1520-8532&lt;/isbn&gt;&lt;urls&gt;&lt;/urls&gt;&lt;/record&gt;&lt;/Cite&gt;&lt;/EndNote&gt;</w:instrText>
      </w:r>
      <w:r w:rsidR="009B6816">
        <w:fldChar w:fldCharType="separate"/>
      </w:r>
      <w:r w:rsidR="00C867B9">
        <w:rPr>
          <w:noProof/>
        </w:rPr>
        <w:t>(</w:t>
      </w:r>
      <w:hyperlink w:anchor="_ENREF_1" w:tooltip="Abbey, 2001 #176" w:history="1">
        <w:r w:rsidR="007704DB">
          <w:rPr>
            <w:noProof/>
          </w:rPr>
          <w:t>Abbey and Barrett 2001</w:t>
        </w:r>
      </w:hyperlink>
      <w:r w:rsidR="00C867B9">
        <w:rPr>
          <w:noProof/>
        </w:rPr>
        <w:t>)</w:t>
      </w:r>
      <w:r w:rsidR="009B6816">
        <w:fldChar w:fldCharType="end"/>
      </w:r>
      <w:r w:rsidR="00C867B9" w:rsidRPr="00C867B9">
        <w:t>, and a sparse (</w:t>
      </w:r>
      <m:oMath>
        <m:r>
          <w:rPr>
            <w:rFonts w:ascii="Cambria Math" w:hAnsi="Cambria Math"/>
          </w:rPr>
          <m:t>i≤3</m:t>
        </m:r>
      </m:oMath>
      <w:r w:rsidR="00C867B9" w:rsidRPr="00C867B9">
        <w:t xml:space="preserve">) DOG configuration was defined using </w:t>
      </w:r>
      <m:oMath>
        <m:r>
          <w:rPr>
            <w:rFonts w:ascii="Cambria Math" w:hAnsi="Cambria Math"/>
          </w:rPr>
          <m:t>Q=2</m:t>
        </m:r>
      </m:oMath>
      <w:r w:rsidR="00C867B9" w:rsidRPr="00C867B9">
        <w:t xml:space="preserve"> and </w:t>
      </w:r>
      <m:oMath>
        <m:r>
          <w:rPr>
            <w:rFonts w:ascii="Cambria Math" w:hAnsi="Cambria Math"/>
          </w:rPr>
          <m:t>α=2</m:t>
        </m:r>
      </m:oMath>
      <w:r w:rsidR="00C867B9" w:rsidRPr="00C867B9">
        <w:t xml:space="preserve">.  This study used 3 different frequency ranges for the sparse channels defined </w:t>
      </w:r>
      <w:proofErr w:type="gramStart"/>
      <w:r w:rsidR="00C867B9" w:rsidRPr="00C867B9">
        <w:t xml:space="preserve">by </w:t>
      </w:r>
      <m:oMath>
        <w:proofErr w:type="gramEnd"/>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 xml:space="preserve">=0.010,  0.015,  </m:t>
        </m:r>
        <m:r>
          <m:rPr>
            <m:sty m:val="p"/>
          </m:rPr>
          <w:rPr>
            <w:rFonts w:ascii="Cambria Math" w:hAnsi="Cambria Math"/>
          </w:rPr>
          <m:t>and</m:t>
        </m:r>
        <m:r>
          <w:rPr>
            <w:rFonts w:ascii="Cambria Math" w:hAnsi="Cambria Math"/>
          </w:rPr>
          <m:t xml:space="preserve"> 0.020</m:t>
        </m:r>
      </m:oMath>
      <w:r w:rsidR="00C867B9" w:rsidRPr="00C867B9">
        <w:t xml:space="preserve">.  </w:t>
      </w:r>
      <w:r w:rsidRPr="0084023C">
        <w:t xml:space="preserve">These configurations were found to show similar performance to the human observers </w:t>
      </w:r>
      <w:r w:rsidR="00C867B9">
        <w:t>in the</w:t>
      </w:r>
      <w:r w:rsidRPr="0084023C">
        <w:t xml:space="preserve"> localization </w:t>
      </w:r>
      <w:r w:rsidR="00C867B9">
        <w:t>task</w:t>
      </w:r>
      <w:r w:rsidRPr="0084023C">
        <w:t xml:space="preserve">.  </w:t>
      </w:r>
    </w:p>
    <w:p w:rsidR="0025336F" w:rsidRDefault="007A7983" w:rsidP="00B674D1">
      <w:pPr>
        <w:numPr>
          <w:ilvl w:val="12"/>
          <w:numId w:val="0"/>
        </w:numPr>
        <w:spacing w:line="480" w:lineRule="auto"/>
        <w:ind w:firstLine="720"/>
        <w:rPr>
          <w:noProof/>
        </w:rPr>
      </w:pPr>
      <w:r>
        <w:t>For the human observer study, a set of images was generated solely for training purposes.  The data from 16 lesions were added to 4 bed positions from 3 patients</w:t>
      </w:r>
      <w:r w:rsidR="00E67CAB">
        <w:t>, not used in the detection task</w:t>
      </w:r>
      <w:r>
        <w:t>.  These data sets were then reconstructed via all four reconstructions for a total of 64 images.  In the training exercise, each observer had knowledge of the lesion locations.  This image set</w:t>
      </w:r>
      <w:r w:rsidR="008624FD">
        <w:t xml:space="preserve"> (</w:t>
      </w:r>
      <w:r w:rsidR="00DE12A0">
        <w:t>with</w:t>
      </w:r>
      <w:r>
        <w:t xml:space="preserve"> the signal locations</w:t>
      </w:r>
      <w:r w:rsidR="008624FD">
        <w:t>)</w:t>
      </w:r>
      <w:r>
        <w:t xml:space="preserve"> was also used to train the model observers.  </w:t>
      </w:r>
      <w:r w:rsidR="00885FFC">
        <w:t>A single</w:t>
      </w:r>
      <w:r>
        <w:t xml:space="preserve"> template for each </w:t>
      </w:r>
      <w:r w:rsidR="008F563F">
        <w:t>numerical</w:t>
      </w:r>
      <w:r>
        <w:t xml:space="preserve"> observer was </w:t>
      </w:r>
      <w:r>
        <w:lastRenderedPageBreak/>
        <w:t xml:space="preserve">calculated </w:t>
      </w:r>
      <w:r w:rsidR="00885FFC">
        <w:t>using the total population of training images</w:t>
      </w:r>
      <w:r>
        <w:t>.</w:t>
      </w:r>
      <w:r w:rsidR="00B674D1">
        <w:t xml:space="preserve">  The figure below shows the </w:t>
      </w:r>
      <w:r w:rsidR="00815E78">
        <w:t xml:space="preserve">center transaxial slice of each of the 3D </w:t>
      </w:r>
      <w:r w:rsidR="00B674D1">
        <w:t>templates</w:t>
      </w:r>
      <w:r w:rsidR="00815E78">
        <w:t>,</w:t>
      </w:r>
      <w:r w:rsidR="00B674D1">
        <w:t xml:space="preserve"> as well as</w:t>
      </w:r>
      <w:r w:rsidR="00815E78">
        <w:t xml:space="preserve"> that of</w:t>
      </w:r>
      <w:r w:rsidR="00B674D1">
        <w:t xml:space="preserve"> the mean signal (matched filter).</w:t>
      </w:r>
      <w:r w:rsidR="00B674D1" w:rsidRPr="00B674D1">
        <w:rPr>
          <w:noProof/>
        </w:rPr>
        <w:t xml:space="preserve"> </w:t>
      </w:r>
    </w:p>
    <w:p w:rsidR="000F4295" w:rsidRDefault="000F4295" w:rsidP="00B674D1">
      <w:pPr>
        <w:numPr>
          <w:ilvl w:val="12"/>
          <w:numId w:val="0"/>
        </w:numPr>
        <w:spacing w:line="480" w:lineRule="auto"/>
        <w:ind w:firstLine="720"/>
        <w:rPr>
          <w:noProof/>
        </w:rPr>
      </w:pPr>
    </w:p>
    <w:p w:rsidR="00901CE6" w:rsidRDefault="00901CE6" w:rsidP="00901CE6">
      <w:pPr>
        <w:pStyle w:val="Caption"/>
        <w:ind w:firstLine="0"/>
      </w:pPr>
      <w:bookmarkStart w:id="107" w:name="_Ref320090005"/>
      <w:r w:rsidRPr="00901CE6">
        <w:rPr>
          <w:noProof/>
        </w:rPr>
        <w:drawing>
          <wp:inline distT="0" distB="0" distL="0" distR="0">
            <wp:extent cx="5486400" cy="2310032"/>
            <wp:effectExtent l="19050" t="0" r="0" b="0"/>
            <wp:docPr id="39" name="Picture 1" descr="C:\Users\Josh\Documents\PETCT\thesis stuff\TEMPLATESandSIGNAL_HORIZONTAL.tif"/>
            <wp:cNvGraphicFramePr/>
            <a:graphic xmlns:a="http://schemas.openxmlformats.org/drawingml/2006/main">
              <a:graphicData uri="http://schemas.openxmlformats.org/drawingml/2006/picture">
                <pic:pic xmlns:pic="http://schemas.openxmlformats.org/drawingml/2006/picture">
                  <pic:nvPicPr>
                    <pic:cNvPr id="6" name="Picture 2" descr="C:\Users\Josh\Documents\PETCT\thesis stuff\TEMPLATESandSIGNAL_HORIZONTAL.tif"/>
                    <pic:cNvPicPr>
                      <a:picLocks noChangeAspect="1" noChangeArrowheads="1"/>
                    </pic:cNvPicPr>
                  </pic:nvPicPr>
                  <pic:blipFill>
                    <a:blip r:embed="rId58" cstate="print"/>
                    <a:srcRect/>
                    <a:stretch>
                      <a:fillRect/>
                    </a:stretch>
                  </pic:blipFill>
                  <pic:spPr bwMode="auto">
                    <a:xfrm>
                      <a:off x="0" y="0"/>
                      <a:ext cx="5486400" cy="2310032"/>
                    </a:xfrm>
                    <a:prstGeom prst="rect">
                      <a:avLst/>
                    </a:prstGeom>
                    <a:noFill/>
                  </pic:spPr>
                </pic:pic>
              </a:graphicData>
            </a:graphic>
          </wp:inline>
        </w:drawing>
      </w:r>
    </w:p>
    <w:p w:rsidR="008205FD" w:rsidRDefault="008205FD" w:rsidP="0084023C">
      <w:pPr>
        <w:pStyle w:val="Caption"/>
      </w:pPr>
      <w:bookmarkStart w:id="108" w:name="_Toc351890080"/>
      <w:proofErr w:type="gramStart"/>
      <w:r>
        <w:t xml:space="preserve">Figure </w:t>
      </w:r>
      <w:r w:rsidR="009B6816">
        <w:fldChar w:fldCharType="begin"/>
      </w:r>
      <w:r w:rsidR="00262614">
        <w:instrText xml:space="preserve"> SEQ Figure \* ARABIC </w:instrText>
      </w:r>
      <w:r w:rsidR="009B6816">
        <w:fldChar w:fldCharType="separate"/>
      </w:r>
      <w:r w:rsidR="005B6C27">
        <w:rPr>
          <w:noProof/>
        </w:rPr>
        <w:t>39</w:t>
      </w:r>
      <w:r w:rsidR="009B6816">
        <w:fldChar w:fldCharType="end"/>
      </w:r>
      <w:bookmarkEnd w:id="107"/>
      <w:r>
        <w:t>.</w:t>
      </w:r>
      <w:proofErr w:type="gramEnd"/>
      <w:r>
        <w:t xml:space="preserve"> Templates of </w:t>
      </w:r>
      <w:r w:rsidR="00901CE6">
        <w:t>the 8</w:t>
      </w:r>
      <w:r>
        <w:t xml:space="preserve"> </w:t>
      </w:r>
      <w:r w:rsidR="008F563F">
        <w:t>numerical</w:t>
      </w:r>
      <w:r w:rsidR="00731BDA">
        <w:t xml:space="preserve"> </w:t>
      </w:r>
      <w:r>
        <w:t>observers evaluated in this study</w:t>
      </w:r>
      <w:r w:rsidR="007F1F34">
        <w:t xml:space="preserve"> (blue) an</w:t>
      </w:r>
      <w:r w:rsidR="00A408AC">
        <w:t>d the mean lesion profile (red)</w:t>
      </w:r>
      <w:bookmarkEnd w:id="108"/>
    </w:p>
    <w:p w:rsidR="0025336F" w:rsidRDefault="0025336F" w:rsidP="0084023C">
      <w:pPr>
        <w:numPr>
          <w:ilvl w:val="12"/>
          <w:numId w:val="0"/>
        </w:numPr>
        <w:spacing w:line="480" w:lineRule="auto"/>
        <w:ind w:firstLine="720"/>
      </w:pPr>
    </w:p>
    <w:p w:rsidR="00997D82" w:rsidRPr="00A16089" w:rsidRDefault="00283D45" w:rsidP="0084023C">
      <w:pPr>
        <w:numPr>
          <w:ilvl w:val="12"/>
          <w:numId w:val="0"/>
        </w:numPr>
        <w:spacing w:line="480" w:lineRule="auto"/>
        <w:ind w:firstLine="720"/>
        <w:rPr>
          <w:rFonts w:cs="Arial"/>
          <w:b/>
          <w:bCs/>
          <w:iCs/>
          <w:szCs w:val="28"/>
        </w:rPr>
      </w:pPr>
      <w:r>
        <w:t xml:space="preserve">The detection task of the </w:t>
      </w:r>
      <w:r w:rsidR="008F563F">
        <w:t>numerical</w:t>
      </w:r>
      <w:r>
        <w:t xml:space="preserve"> observer involved computing a test statistic at every </w:t>
      </w:r>
      <w:r w:rsidR="00EA0DF5">
        <w:t>voxel</w:t>
      </w:r>
      <w:r>
        <w:t xml:space="preserve"> within the search area; the </w:t>
      </w:r>
      <w:r w:rsidR="00EA0DF5">
        <w:t>voxel</w:t>
      </w:r>
      <w:r>
        <w:t xml:space="preserve"> that returned the highest statistic was then designated as the most likely location of the lesion.  If the observer did not correctly locate the lesion (false positive), the decision was contributed to both the target and non-target distributions.  </w:t>
      </w:r>
      <w:r w:rsidR="005631D4">
        <w:t xml:space="preserve">If the </w:t>
      </w:r>
      <w:r w:rsidR="005631D4" w:rsidRPr="00063ED4">
        <w:t>observer did correctly</w:t>
      </w:r>
      <w:r w:rsidR="005631D4">
        <w:t xml:space="preserve"> locate the lesion, the decision contributed to the target distribution, and the location that returned the next highest </w:t>
      </w:r>
      <w:r w:rsidR="005631D4">
        <w:lastRenderedPageBreak/>
        <w:t>statistic pooled with the non-target distribution.</w:t>
      </w:r>
      <w:r w:rsidR="006555D8">
        <w:rPr>
          <w:rStyle w:val="FootnoteReference"/>
        </w:rPr>
        <w:footnoteReference w:id="13"/>
      </w:r>
      <w:r w:rsidR="005631D4">
        <w:t xml:space="preserve">  </w:t>
      </w:r>
      <w:r w:rsidR="00B3500F" w:rsidRPr="00997D82">
        <w:rPr>
          <w:bCs/>
        </w:rPr>
        <w:t xml:space="preserve">In each task, the </w:t>
      </w:r>
      <w:r w:rsidR="008F563F">
        <w:rPr>
          <w:bCs/>
        </w:rPr>
        <w:t>numerical</w:t>
      </w:r>
      <w:r w:rsidR="00B3500F" w:rsidRPr="00997D82">
        <w:rPr>
          <w:bCs/>
        </w:rPr>
        <w:t xml:space="preserve"> test statistic data were</w:t>
      </w:r>
      <w:r w:rsidR="00B3500F">
        <w:rPr>
          <w:bCs/>
        </w:rPr>
        <w:t xml:space="preserve"> collected and</w:t>
      </w:r>
      <w:r w:rsidR="00B3500F" w:rsidRPr="00997D82">
        <w:rPr>
          <w:bCs/>
        </w:rPr>
        <w:t xml:space="preserve"> binned into 5 categories, to match the format to that of the human decisions.</w:t>
      </w:r>
      <w:r w:rsidR="00B3500F" w:rsidRPr="00997D82">
        <w:rPr>
          <w:bCs/>
          <w:vertAlign w:val="superscript"/>
        </w:rPr>
        <w:footnoteReference w:id="14"/>
      </w:r>
      <w:r w:rsidR="00B3500F" w:rsidRPr="00997D82">
        <w:rPr>
          <w:bCs/>
        </w:rPr>
        <w:t xml:space="preserve">  </w:t>
      </w:r>
      <w:r w:rsidR="00A16089" w:rsidRPr="00A16089">
        <w:rPr>
          <w:bCs/>
        </w:rPr>
        <w:t xml:space="preserve">Due to the range of the pixel values characteristic to different regions, the </w:t>
      </w:r>
      <w:r w:rsidR="008F563F">
        <w:rPr>
          <w:bCs/>
        </w:rPr>
        <w:t>numerical</w:t>
      </w:r>
      <w:r w:rsidR="00A16089" w:rsidRPr="00A16089">
        <w:rPr>
          <w:bCs/>
        </w:rPr>
        <w:t xml:space="preserve"> test statistics belonging to different organs were not directly comparable.  Thus, performance of the </w:t>
      </w:r>
      <w:r w:rsidR="008F563F">
        <w:rPr>
          <w:bCs/>
        </w:rPr>
        <w:t>numerical</w:t>
      </w:r>
      <w:r w:rsidR="00A16089" w:rsidRPr="00A16089">
        <w:rPr>
          <w:bCs/>
        </w:rPr>
        <w:t xml:space="preserve"> observer was evaluated within the liver and lungs independently.</w:t>
      </w:r>
      <w:r w:rsidR="00A16089" w:rsidRPr="00A16089">
        <w:t xml:space="preserve"> </w:t>
      </w:r>
    </w:p>
    <w:p w:rsidR="00DA18AA" w:rsidRDefault="00DA18AA" w:rsidP="00DA18AA">
      <w:pPr>
        <w:pStyle w:val="Heading2"/>
      </w:pPr>
      <w:bookmarkStart w:id="109" w:name="_Toc351890030"/>
      <w:r>
        <w:t>Results</w:t>
      </w:r>
      <w:bookmarkEnd w:id="109"/>
    </w:p>
    <w:p w:rsidR="00036E1D" w:rsidRDefault="00036E1D" w:rsidP="0084023C">
      <w:pPr>
        <w:numPr>
          <w:ilvl w:val="12"/>
          <w:numId w:val="0"/>
        </w:numPr>
        <w:spacing w:line="480" w:lineRule="auto"/>
        <w:ind w:firstLine="720"/>
        <w:jc w:val="both"/>
      </w:pPr>
      <w:r>
        <w:t xml:space="preserve">The ROC and LROC performance </w:t>
      </w:r>
      <w:r w:rsidR="004C12DC">
        <w:t>curves of the 3 human observers for all lesions in all anatomical locations are</w:t>
      </w:r>
      <w:r>
        <w:t xml:space="preserve"> shown below.</w:t>
      </w:r>
    </w:p>
    <w:p w:rsidR="00036E1D" w:rsidRDefault="00036E1D" w:rsidP="0084023C">
      <w:pPr>
        <w:numPr>
          <w:ilvl w:val="12"/>
          <w:numId w:val="0"/>
        </w:numPr>
        <w:spacing w:line="480" w:lineRule="auto"/>
        <w:ind w:firstLine="720"/>
        <w:jc w:val="both"/>
      </w:pPr>
    </w:p>
    <w:p w:rsidR="00036E1D" w:rsidRPr="00D63979" w:rsidRDefault="003C2C6F" w:rsidP="00083112">
      <w:pPr>
        <w:numPr>
          <w:ilvl w:val="12"/>
          <w:numId w:val="0"/>
        </w:numPr>
        <w:spacing w:line="480" w:lineRule="auto"/>
        <w:ind w:left="-720" w:right="1440" w:firstLine="720"/>
        <w:rPr>
          <w:sz w:val="22"/>
          <w:szCs w:val="22"/>
        </w:rPr>
      </w:pPr>
      <w:r>
        <w:rPr>
          <w:noProof/>
          <w:sz w:val="22"/>
          <w:szCs w:val="22"/>
        </w:rPr>
        <w:lastRenderedPageBreak/>
        <w:drawing>
          <wp:inline distT="0" distB="0" distL="0" distR="0">
            <wp:extent cx="5486400" cy="6099894"/>
            <wp:effectExtent l="19050" t="0" r="0" b="0"/>
            <wp:docPr id="77" name="Picture 20" descr="C:\Users\Josh\Documents\PETCT\thesis stuff\allPerfomancesAllLesi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osh\Documents\PETCT\thesis stuff\allPerfomancesAllLesions.tif"/>
                    <pic:cNvPicPr>
                      <a:picLocks noChangeAspect="1" noChangeArrowheads="1"/>
                    </pic:cNvPicPr>
                  </pic:nvPicPr>
                  <pic:blipFill>
                    <a:blip r:embed="rId59" cstate="print"/>
                    <a:srcRect/>
                    <a:stretch>
                      <a:fillRect/>
                    </a:stretch>
                  </pic:blipFill>
                  <pic:spPr bwMode="auto">
                    <a:xfrm>
                      <a:off x="0" y="0"/>
                      <a:ext cx="5486400" cy="6099894"/>
                    </a:xfrm>
                    <a:prstGeom prst="rect">
                      <a:avLst/>
                    </a:prstGeom>
                    <a:noFill/>
                    <a:ln w="9525">
                      <a:noFill/>
                      <a:miter lim="800000"/>
                      <a:headEnd/>
                      <a:tailEnd/>
                    </a:ln>
                  </pic:spPr>
                </pic:pic>
              </a:graphicData>
            </a:graphic>
          </wp:inline>
        </w:drawing>
      </w:r>
    </w:p>
    <w:p w:rsidR="00036E1D" w:rsidRPr="00D63979" w:rsidRDefault="00036E1D" w:rsidP="00036E1D">
      <w:pPr>
        <w:pStyle w:val="Caption"/>
      </w:pPr>
      <w:bookmarkStart w:id="110" w:name="_Toc351890081"/>
      <w:proofErr w:type="gramStart"/>
      <w:r>
        <w:t xml:space="preserve">Figure </w:t>
      </w:r>
      <w:fldSimple w:instr=" SEQ Figure \* ARABIC ">
        <w:r w:rsidR="005B6C27">
          <w:rPr>
            <w:noProof/>
          </w:rPr>
          <w:t>40</w:t>
        </w:r>
      </w:fldSimple>
      <w:r w:rsidRPr="00D63979">
        <w:t>.</w:t>
      </w:r>
      <w:proofErr w:type="gramEnd"/>
      <w:r w:rsidRPr="00D63979">
        <w:t xml:space="preserve"> </w:t>
      </w:r>
      <w:r>
        <w:t>P</w:t>
      </w:r>
      <w:r w:rsidRPr="00D63979">
        <w:t>erformance</w:t>
      </w:r>
      <w:r>
        <w:t>s</w:t>
      </w:r>
      <w:r w:rsidRPr="00D63979">
        <w:t xml:space="preserve"> of 3 </w:t>
      </w:r>
      <w:r w:rsidR="003508EE">
        <w:t>physician</w:t>
      </w:r>
      <w:r>
        <w:t xml:space="preserve"> observers</w:t>
      </w:r>
      <w:r w:rsidRPr="00D63979">
        <w:t xml:space="preserve"> in the detection and localization task</w:t>
      </w:r>
      <w:r>
        <w:t xml:space="preserve"> of all lesions in all anatomical location</w:t>
      </w:r>
      <w:r w:rsidR="0095534C">
        <w:t>s</w:t>
      </w:r>
      <w:bookmarkEnd w:id="110"/>
    </w:p>
    <w:p w:rsidR="00036E1D" w:rsidRDefault="00036E1D" w:rsidP="00036E1D">
      <w:pPr>
        <w:numPr>
          <w:ilvl w:val="12"/>
          <w:numId w:val="0"/>
        </w:numPr>
        <w:spacing w:line="480" w:lineRule="auto"/>
        <w:jc w:val="both"/>
      </w:pPr>
    </w:p>
    <w:p w:rsidR="00036E1D" w:rsidRDefault="00036E1D" w:rsidP="0084023C">
      <w:pPr>
        <w:numPr>
          <w:ilvl w:val="12"/>
          <w:numId w:val="0"/>
        </w:numPr>
        <w:spacing w:line="480" w:lineRule="auto"/>
        <w:ind w:firstLine="720"/>
        <w:jc w:val="both"/>
      </w:pPr>
    </w:p>
    <w:p w:rsidR="0084023C" w:rsidRDefault="0084023C" w:rsidP="0084023C">
      <w:pPr>
        <w:numPr>
          <w:ilvl w:val="12"/>
          <w:numId w:val="0"/>
        </w:numPr>
        <w:spacing w:line="480" w:lineRule="auto"/>
        <w:ind w:firstLine="720"/>
        <w:jc w:val="both"/>
      </w:pPr>
      <w:r w:rsidRPr="0084023C">
        <w:lastRenderedPageBreak/>
        <w:t xml:space="preserve">The </w:t>
      </w:r>
      <w:r w:rsidR="00036E1D">
        <w:t xml:space="preserve">corresponding </w:t>
      </w:r>
      <w:r w:rsidRPr="0084023C">
        <w:t>mean performance</w:t>
      </w:r>
      <w:r w:rsidR="00BF5FD1">
        <w:t>s</w:t>
      </w:r>
      <w:r w:rsidRPr="0084023C">
        <w:t xml:space="preserve"> of </w:t>
      </w:r>
      <w:r w:rsidR="00BF5FD1">
        <w:t>are</w:t>
      </w:r>
      <w:r w:rsidRPr="0084023C">
        <w:t xml:space="preserve"> seen in </w:t>
      </w:r>
      <w:r w:rsidR="009B6816">
        <w:fldChar w:fldCharType="begin"/>
      </w:r>
      <w:r>
        <w:instrText xml:space="preserve"> REF _Ref340589201 \h </w:instrText>
      </w:r>
      <w:r w:rsidR="009B6816">
        <w:fldChar w:fldCharType="separate"/>
      </w:r>
      <w:r w:rsidR="005B6C27">
        <w:t xml:space="preserve">Figure </w:t>
      </w:r>
      <w:r w:rsidR="005B6C27">
        <w:rPr>
          <w:noProof/>
        </w:rPr>
        <w:t>41</w:t>
      </w:r>
      <w:r w:rsidR="009B6816">
        <w:fldChar w:fldCharType="end"/>
      </w:r>
      <w:r w:rsidRPr="0084023C">
        <w:t>.</w:t>
      </w:r>
    </w:p>
    <w:p w:rsidR="0025336F" w:rsidRPr="0084023C" w:rsidRDefault="0025336F" w:rsidP="0084023C">
      <w:pPr>
        <w:numPr>
          <w:ilvl w:val="12"/>
          <w:numId w:val="0"/>
        </w:numPr>
        <w:spacing w:line="480" w:lineRule="auto"/>
        <w:ind w:firstLine="720"/>
        <w:jc w:val="both"/>
        <w:rPr>
          <w:noProof/>
          <w:color w:val="000000"/>
          <w:w w:val="0"/>
          <w:u w:color="000000"/>
          <w:bdr w:val="none" w:sz="0" w:space="0" w:color="000000"/>
          <w:shd w:val="clear" w:color="000000" w:fill="000000"/>
        </w:rPr>
      </w:pPr>
    </w:p>
    <w:p w:rsidR="0084023C" w:rsidRPr="00D63979" w:rsidRDefault="0084023C" w:rsidP="0084023C">
      <w:pPr>
        <w:numPr>
          <w:ilvl w:val="12"/>
          <w:numId w:val="0"/>
        </w:numPr>
        <w:spacing w:line="480" w:lineRule="auto"/>
        <w:ind w:left="-720" w:right="1440"/>
        <w:rPr>
          <w:sz w:val="22"/>
          <w:szCs w:val="22"/>
        </w:rPr>
      </w:pPr>
      <w:r w:rsidRPr="00D63979">
        <w:rPr>
          <w:noProof/>
          <w:sz w:val="22"/>
          <w:szCs w:val="22"/>
        </w:rPr>
        <w:drawing>
          <wp:inline distT="0" distB="0" distL="0" distR="0">
            <wp:extent cx="5936615" cy="1896745"/>
            <wp:effectExtent l="19050" t="0" r="6985" b="0"/>
            <wp:docPr id="6" name="Picture 8" descr="C:\Users\Josh\Documents\PETCT\thesis stuff\both_COL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Documents\PETCT\thesis stuff\both_COLOR.tif"/>
                    <pic:cNvPicPr>
                      <a:picLocks noChangeAspect="1" noChangeArrowheads="1"/>
                    </pic:cNvPicPr>
                  </pic:nvPicPr>
                  <pic:blipFill>
                    <a:blip r:embed="rId60" cstate="print"/>
                    <a:srcRect/>
                    <a:stretch>
                      <a:fillRect/>
                    </a:stretch>
                  </pic:blipFill>
                  <pic:spPr bwMode="auto">
                    <a:xfrm>
                      <a:off x="0" y="0"/>
                      <a:ext cx="5936615" cy="1896745"/>
                    </a:xfrm>
                    <a:prstGeom prst="rect">
                      <a:avLst/>
                    </a:prstGeom>
                    <a:noFill/>
                    <a:ln w="9525">
                      <a:noFill/>
                      <a:miter lim="800000"/>
                      <a:headEnd/>
                      <a:tailEnd/>
                    </a:ln>
                  </pic:spPr>
                </pic:pic>
              </a:graphicData>
            </a:graphic>
          </wp:inline>
        </w:drawing>
      </w:r>
    </w:p>
    <w:p w:rsidR="0084023C" w:rsidRPr="00D63979" w:rsidRDefault="0084023C" w:rsidP="0084023C">
      <w:pPr>
        <w:pStyle w:val="Caption"/>
      </w:pPr>
      <w:bookmarkStart w:id="111" w:name="_Ref340589201"/>
      <w:bookmarkStart w:id="112" w:name="_Toc351890082"/>
      <w:proofErr w:type="gramStart"/>
      <w:r>
        <w:t xml:space="preserve">Figure </w:t>
      </w:r>
      <w:fldSimple w:instr=" SEQ Figure \* ARABIC ">
        <w:r w:rsidR="005B6C27">
          <w:rPr>
            <w:noProof/>
          </w:rPr>
          <w:t>41</w:t>
        </w:r>
      </w:fldSimple>
      <w:bookmarkEnd w:id="111"/>
      <w:r w:rsidRPr="00D63979">
        <w:t>.</w:t>
      </w:r>
      <w:proofErr w:type="gramEnd"/>
      <w:r w:rsidRPr="00D63979">
        <w:t xml:space="preserve"> </w:t>
      </w:r>
      <w:r w:rsidR="00036E1D">
        <w:t>Mean p</w:t>
      </w:r>
      <w:r w:rsidRPr="00D63979">
        <w:t>erformance</w:t>
      </w:r>
      <w:r w:rsidR="00036E1D">
        <w:t>s</w:t>
      </w:r>
      <w:r w:rsidRPr="00D63979">
        <w:t xml:space="preserve"> of </w:t>
      </w:r>
      <w:r w:rsidR="003508EE">
        <w:t xml:space="preserve">the physicians </w:t>
      </w:r>
      <w:r w:rsidRPr="00D63979">
        <w:t>in the detection and localization task</w:t>
      </w:r>
      <w:bookmarkEnd w:id="112"/>
    </w:p>
    <w:p w:rsidR="0025336F" w:rsidRDefault="0025336F" w:rsidP="008A590E">
      <w:pPr>
        <w:numPr>
          <w:ilvl w:val="12"/>
          <w:numId w:val="0"/>
        </w:numPr>
        <w:spacing w:line="480" w:lineRule="auto"/>
        <w:ind w:firstLine="720"/>
      </w:pPr>
    </w:p>
    <w:p w:rsidR="000604AE" w:rsidRDefault="0084023C" w:rsidP="0025336F">
      <w:pPr>
        <w:numPr>
          <w:ilvl w:val="12"/>
          <w:numId w:val="0"/>
        </w:numPr>
        <w:spacing w:line="480" w:lineRule="auto"/>
        <w:ind w:firstLine="720"/>
      </w:pPr>
      <w:r w:rsidRPr="0084023C">
        <w:t>The results from the human study (AUC</w:t>
      </w:r>
      <w:r w:rsidRPr="0084023C">
        <w:rPr>
          <w:vertAlign w:val="subscript"/>
        </w:rPr>
        <w:t>ROC</w:t>
      </w:r>
      <w:r w:rsidRPr="0084023C">
        <w:t>; AUC</w:t>
      </w:r>
      <w:r w:rsidRPr="0084023C">
        <w:rPr>
          <w:vertAlign w:val="subscript"/>
        </w:rPr>
        <w:t>LROC</w:t>
      </w:r>
      <w:r w:rsidRPr="0084023C">
        <w:t>), averaged over the 3 observers, were: OP (0.57±0.01; 0.13±0.03), PSF (0.61±0.02; 0.22±0.04), TOF (0.68±0.02; 0.37±0.05), and TOF+PSF (0.78±0.04; 0.55±0.07). The overall probabilities of correct localization were OP (0.17±0.03), PSF (0.2</w:t>
      </w:r>
      <w:r w:rsidR="003C2C6F">
        <w:t>6</w:t>
      </w:r>
      <w:r w:rsidRPr="0084023C">
        <w:t>±0.03), TOF (0.4</w:t>
      </w:r>
      <w:r w:rsidR="003C2C6F">
        <w:t>3</w:t>
      </w:r>
      <w:r w:rsidRPr="0084023C">
        <w:t>±0.08), and TOF+PSF (0.6</w:t>
      </w:r>
      <w:r w:rsidR="003C2C6F">
        <w:t>3</w:t>
      </w:r>
      <w:r w:rsidRPr="0084023C">
        <w:t>±0.13).</w:t>
      </w:r>
    </w:p>
    <w:p w:rsidR="00BA6D5D" w:rsidRDefault="0025336F" w:rsidP="00BA6D5D">
      <w:pPr>
        <w:numPr>
          <w:ilvl w:val="12"/>
          <w:numId w:val="0"/>
        </w:numPr>
        <w:spacing w:line="480" w:lineRule="auto"/>
        <w:ind w:firstLine="720"/>
        <w:rPr>
          <w:i/>
        </w:rPr>
      </w:pPr>
      <w:r w:rsidRPr="0025336F">
        <w:t xml:space="preserve">There were significant differences in the performances of the human observers corresponding to lesion SNR at different anatomical sites.  The figure below shows the localization </w:t>
      </w:r>
      <w:r w:rsidR="00C014C1">
        <w:t>curves</w:t>
      </w:r>
      <w:r w:rsidRPr="0025336F">
        <w:t xml:space="preserve"> for lesions located in the liver and lungs</w:t>
      </w:r>
      <w:r w:rsidR="00BA6D5D">
        <w:t>. The improved performances within the lung lesions are attributed to higher lesion SNR in this region.</w:t>
      </w:r>
      <w:r w:rsidR="00BA6D5D">
        <w:rPr>
          <w:i/>
        </w:rPr>
        <w:t xml:space="preserve"> </w:t>
      </w:r>
    </w:p>
    <w:p w:rsidR="00BA6D5D" w:rsidRPr="00BA6D5D" w:rsidRDefault="00BA6D5D" w:rsidP="00BA6D5D"/>
    <w:p w:rsidR="00BA6D5D" w:rsidRDefault="00BA6D5D" w:rsidP="0025336F">
      <w:pPr>
        <w:numPr>
          <w:ilvl w:val="12"/>
          <w:numId w:val="0"/>
        </w:numPr>
        <w:spacing w:line="480" w:lineRule="auto"/>
        <w:ind w:firstLine="720"/>
      </w:pPr>
    </w:p>
    <w:p w:rsidR="00C21096" w:rsidRDefault="00C21096" w:rsidP="0025336F">
      <w:pPr>
        <w:numPr>
          <w:ilvl w:val="12"/>
          <w:numId w:val="0"/>
        </w:numPr>
        <w:spacing w:line="480" w:lineRule="auto"/>
        <w:ind w:firstLine="720"/>
      </w:pPr>
    </w:p>
    <w:p w:rsidR="00506114" w:rsidRDefault="002E62F2" w:rsidP="00506114">
      <w:pPr>
        <w:numPr>
          <w:ilvl w:val="12"/>
          <w:numId w:val="0"/>
        </w:numPr>
        <w:spacing w:line="480" w:lineRule="auto"/>
        <w:rPr>
          <w:color w:val="FF0000"/>
        </w:rPr>
      </w:pPr>
      <w:r>
        <w:rPr>
          <w:i/>
          <w:noProof/>
        </w:rPr>
        <w:lastRenderedPageBreak/>
        <w:drawing>
          <wp:inline distT="0" distB="0" distL="0" distR="0">
            <wp:extent cx="5486400" cy="6305550"/>
            <wp:effectExtent l="19050" t="0" r="0" b="0"/>
            <wp:docPr id="48" name="Picture 4" descr="C:\Users\Josh\Documents\PETCT\thesis stuff\observersLROC-liverandlun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Documents\PETCT\thesis stuff\observersLROC-liverandlung1.tif"/>
                    <pic:cNvPicPr>
                      <a:picLocks noChangeAspect="1" noChangeArrowheads="1"/>
                    </pic:cNvPicPr>
                  </pic:nvPicPr>
                  <pic:blipFill>
                    <a:blip r:embed="rId61" cstate="print"/>
                    <a:srcRect/>
                    <a:stretch>
                      <a:fillRect/>
                    </a:stretch>
                  </pic:blipFill>
                  <pic:spPr bwMode="auto">
                    <a:xfrm>
                      <a:off x="0" y="0"/>
                      <a:ext cx="5486400" cy="6305550"/>
                    </a:xfrm>
                    <a:prstGeom prst="rect">
                      <a:avLst/>
                    </a:prstGeom>
                    <a:noFill/>
                    <a:ln w="9525">
                      <a:noFill/>
                      <a:miter lim="800000"/>
                      <a:headEnd/>
                      <a:tailEnd/>
                    </a:ln>
                  </pic:spPr>
                </pic:pic>
              </a:graphicData>
            </a:graphic>
          </wp:inline>
        </w:drawing>
      </w:r>
      <w:r w:rsidR="00506114" w:rsidRPr="00506114">
        <w:rPr>
          <w:color w:val="FF0000"/>
        </w:rPr>
        <w:t xml:space="preserve"> </w:t>
      </w:r>
    </w:p>
    <w:p w:rsidR="00506114" w:rsidRDefault="00506114" w:rsidP="00C21096">
      <w:pPr>
        <w:pStyle w:val="Caption"/>
        <w:ind w:firstLine="0"/>
      </w:pPr>
      <w:bookmarkStart w:id="113" w:name="_Toc351890083"/>
      <w:proofErr w:type="gramStart"/>
      <w:r>
        <w:t xml:space="preserve">Figure </w:t>
      </w:r>
      <w:fldSimple w:instr=" SEQ Figure \* ARABIC ">
        <w:r w:rsidR="005B6C27">
          <w:rPr>
            <w:noProof/>
          </w:rPr>
          <w:t>42</w:t>
        </w:r>
      </w:fldSimple>
      <w:r>
        <w:t>.</w:t>
      </w:r>
      <w:proofErr w:type="gramEnd"/>
      <w:r>
        <w:t xml:space="preserve"> Comparison of physician performance in localization of liver and lung lesions</w:t>
      </w:r>
      <w:bookmarkEnd w:id="113"/>
    </w:p>
    <w:p w:rsidR="009927F7" w:rsidRDefault="009927F7" w:rsidP="0084023C">
      <w:pPr>
        <w:pStyle w:val="Caption"/>
        <w:rPr>
          <w:i w:val="0"/>
        </w:rPr>
      </w:pPr>
    </w:p>
    <w:p w:rsidR="00A06053" w:rsidRDefault="00A06053" w:rsidP="00A06053">
      <w:pPr>
        <w:numPr>
          <w:ilvl w:val="12"/>
          <w:numId w:val="0"/>
        </w:numPr>
        <w:spacing w:line="480" w:lineRule="auto"/>
        <w:ind w:firstLine="720"/>
      </w:pPr>
      <w:r>
        <w:lastRenderedPageBreak/>
        <w:t xml:space="preserve">The </w:t>
      </w:r>
      <w:r w:rsidR="004D5281">
        <w:t>performances of the human observers within the population of liver lesions are</w:t>
      </w:r>
      <w:r>
        <w:t xml:space="preserve"> seen below, separated by patient BMI.  In some cases, fitting the individual class probabilities independently (dotted lines) resulted in observer performance falling below zero, exhibiting upward hook deflections, or ROC curves that drop below the unity line.  These are examples of impossible performance curves, as mentioned in chapter 3.  The parametric model (solid lines) was </w:t>
      </w:r>
      <w:r w:rsidR="00ED7BEC">
        <w:t xml:space="preserve">generally </w:t>
      </w:r>
      <w:r>
        <w:t>better suited to fit these data.</w:t>
      </w:r>
    </w:p>
    <w:p w:rsidR="00A06053" w:rsidRDefault="00A06053" w:rsidP="00A06053">
      <w:pPr>
        <w:numPr>
          <w:ilvl w:val="12"/>
          <w:numId w:val="0"/>
        </w:numPr>
        <w:spacing w:line="480" w:lineRule="auto"/>
        <w:ind w:firstLine="720"/>
      </w:pPr>
    </w:p>
    <w:p w:rsidR="00A06053" w:rsidRDefault="00A06053">
      <w:pPr>
        <w:rPr>
          <w:color w:val="FF0000"/>
        </w:rPr>
      </w:pPr>
      <w:r>
        <w:rPr>
          <w:color w:val="FF0000"/>
        </w:rPr>
        <w:br w:type="page"/>
      </w:r>
    </w:p>
    <w:p w:rsidR="00A06053" w:rsidRDefault="00A06053" w:rsidP="00A06053">
      <w:pPr>
        <w:numPr>
          <w:ilvl w:val="12"/>
          <w:numId w:val="0"/>
        </w:numPr>
        <w:spacing w:line="480" w:lineRule="auto"/>
        <w:rPr>
          <w:color w:val="FF0000"/>
        </w:rPr>
      </w:pPr>
      <w:r>
        <w:rPr>
          <w:noProof/>
        </w:rPr>
        <w:lastRenderedPageBreak/>
        <w:drawing>
          <wp:inline distT="0" distB="0" distL="0" distR="0">
            <wp:extent cx="5486400" cy="3799545"/>
            <wp:effectExtent l="19050" t="0" r="0" b="0"/>
            <wp:docPr id="76" name="Picture 18" descr="C:\Users\Josh\Documents\PETCT\thesis stuff\HumanPerformanceLiverLesi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osh\Documents\PETCT\thesis stuff\HumanPerformanceLiverLesions.tif"/>
                    <pic:cNvPicPr>
                      <a:picLocks noChangeAspect="1" noChangeArrowheads="1"/>
                    </pic:cNvPicPr>
                  </pic:nvPicPr>
                  <pic:blipFill>
                    <a:blip r:embed="rId62" cstate="print"/>
                    <a:srcRect/>
                    <a:stretch>
                      <a:fillRect/>
                    </a:stretch>
                  </pic:blipFill>
                  <pic:spPr bwMode="auto">
                    <a:xfrm>
                      <a:off x="0" y="0"/>
                      <a:ext cx="5486400" cy="3799545"/>
                    </a:xfrm>
                    <a:prstGeom prst="rect">
                      <a:avLst/>
                    </a:prstGeom>
                    <a:noFill/>
                    <a:ln w="9525">
                      <a:noFill/>
                      <a:miter lim="800000"/>
                      <a:headEnd/>
                      <a:tailEnd/>
                    </a:ln>
                  </pic:spPr>
                </pic:pic>
              </a:graphicData>
            </a:graphic>
          </wp:inline>
        </w:drawing>
      </w:r>
    </w:p>
    <w:p w:rsidR="00A06053" w:rsidRDefault="00A06053" w:rsidP="00A06053">
      <w:pPr>
        <w:pStyle w:val="Caption"/>
        <w:rPr>
          <w:i w:val="0"/>
        </w:rPr>
      </w:pPr>
      <w:bookmarkStart w:id="114" w:name="_Toc351890084"/>
      <w:proofErr w:type="gramStart"/>
      <w:r>
        <w:t xml:space="preserve">Figure </w:t>
      </w:r>
      <w:fldSimple w:instr=" SEQ Figure \* ARABIC ">
        <w:r w:rsidR="005B6C27">
          <w:rPr>
            <w:noProof/>
          </w:rPr>
          <w:t>43</w:t>
        </w:r>
      </w:fldSimple>
      <w:r>
        <w:t>.</w:t>
      </w:r>
      <w:proofErr w:type="gramEnd"/>
      <w:r>
        <w:t xml:space="preserve"> Human observer performance of the detection and localization task of lesions located in the liver, grouped by patient BM</w:t>
      </w:r>
      <w:r w:rsidR="008E4184">
        <w:t>I</w:t>
      </w:r>
      <w:bookmarkEnd w:id="114"/>
      <w:r>
        <w:rPr>
          <w:i w:val="0"/>
        </w:rPr>
        <w:t xml:space="preserve"> </w:t>
      </w:r>
    </w:p>
    <w:p w:rsidR="00A06053" w:rsidRDefault="00A06053" w:rsidP="0084023C">
      <w:pPr>
        <w:pStyle w:val="Caption"/>
        <w:rPr>
          <w:i w:val="0"/>
        </w:rPr>
      </w:pPr>
    </w:p>
    <w:p w:rsidR="00C21096" w:rsidRDefault="00506114" w:rsidP="0084023C">
      <w:pPr>
        <w:pStyle w:val="Caption"/>
        <w:rPr>
          <w:i w:val="0"/>
        </w:rPr>
      </w:pPr>
      <w:r>
        <w:rPr>
          <w:i w:val="0"/>
        </w:rPr>
        <w:t>The performance of the human observers was compared to that of each of the numerical observers, in the same localization task of lesion in the liver.  The LROC of each is seen below.</w:t>
      </w:r>
    </w:p>
    <w:p w:rsidR="00C21096" w:rsidRDefault="00C21096" w:rsidP="00C21096">
      <w:pPr>
        <w:rPr>
          <w:szCs w:val="20"/>
        </w:rPr>
      </w:pPr>
      <w:r>
        <w:br w:type="page"/>
      </w:r>
    </w:p>
    <w:p w:rsidR="009F4692" w:rsidRDefault="00506114" w:rsidP="009F4692">
      <w:pPr>
        <w:numPr>
          <w:ilvl w:val="12"/>
          <w:numId w:val="0"/>
        </w:numPr>
        <w:spacing w:line="480" w:lineRule="auto"/>
        <w:rPr>
          <w:color w:val="FF0000"/>
        </w:rPr>
      </w:pPr>
      <w:r>
        <w:rPr>
          <w:noProof/>
          <w:sz w:val="22"/>
          <w:szCs w:val="22"/>
        </w:rPr>
        <w:lastRenderedPageBreak/>
        <w:drawing>
          <wp:inline distT="0" distB="0" distL="0" distR="0">
            <wp:extent cx="4599361" cy="7067550"/>
            <wp:effectExtent l="19050" t="0" r="0" b="0"/>
            <wp:docPr id="49" name="Picture 14" descr="C:\Users\Josh\Documents\PETCT\thesis stuff\LROC_liver_onlyNumer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sh\Documents\PETCT\thesis stuff\LROC_liver_onlyNumeric.tif"/>
                    <pic:cNvPicPr>
                      <a:picLocks noChangeAspect="1" noChangeArrowheads="1"/>
                    </pic:cNvPicPr>
                  </pic:nvPicPr>
                  <pic:blipFill>
                    <a:blip r:embed="rId63" cstate="print"/>
                    <a:srcRect/>
                    <a:stretch>
                      <a:fillRect/>
                    </a:stretch>
                  </pic:blipFill>
                  <pic:spPr bwMode="auto">
                    <a:xfrm>
                      <a:off x="0" y="0"/>
                      <a:ext cx="4604408" cy="7075305"/>
                    </a:xfrm>
                    <a:prstGeom prst="rect">
                      <a:avLst/>
                    </a:prstGeom>
                    <a:noFill/>
                    <a:ln w="9525">
                      <a:noFill/>
                      <a:miter lim="800000"/>
                      <a:headEnd/>
                      <a:tailEnd/>
                    </a:ln>
                  </pic:spPr>
                </pic:pic>
              </a:graphicData>
            </a:graphic>
          </wp:inline>
        </w:drawing>
      </w:r>
      <w:r w:rsidR="009F4692" w:rsidRPr="009F4692">
        <w:rPr>
          <w:color w:val="FF0000"/>
        </w:rPr>
        <w:t xml:space="preserve"> </w:t>
      </w:r>
    </w:p>
    <w:p w:rsidR="009F4692" w:rsidRDefault="009F4692" w:rsidP="009F4692">
      <w:pPr>
        <w:pStyle w:val="Caption"/>
      </w:pPr>
      <w:bookmarkStart w:id="115" w:name="_Toc351890085"/>
      <w:proofErr w:type="gramStart"/>
      <w:r>
        <w:t xml:space="preserve">Figure </w:t>
      </w:r>
      <w:fldSimple w:instr=" SEQ Figure \* ARABIC ">
        <w:r w:rsidR="005B6C27">
          <w:rPr>
            <w:noProof/>
          </w:rPr>
          <w:t>44</w:t>
        </w:r>
      </w:fldSimple>
      <w:r>
        <w:t>.</w:t>
      </w:r>
      <w:proofErr w:type="gramEnd"/>
      <w:r>
        <w:t xml:space="preserve"> Comparison of the numerical observer models in localization of liver lesion</w:t>
      </w:r>
      <w:r w:rsidR="008F235F">
        <w:t>s</w:t>
      </w:r>
      <w:bookmarkEnd w:id="115"/>
    </w:p>
    <w:p w:rsidR="00663F5D" w:rsidRDefault="00F9641B" w:rsidP="00663F5D">
      <w:pPr>
        <w:pStyle w:val="Caption"/>
        <w:ind w:firstLine="0"/>
      </w:pPr>
      <w:r>
        <w:rPr>
          <w:i w:val="0"/>
        </w:rPr>
        <w:lastRenderedPageBreak/>
        <w:t>The filter selection of the numerical observer had a greater impact on the performance than the whitening operation.</w:t>
      </w:r>
    </w:p>
    <w:p w:rsidR="008A590E" w:rsidRDefault="008A590E" w:rsidP="008A590E">
      <w:pPr>
        <w:numPr>
          <w:ilvl w:val="12"/>
          <w:numId w:val="0"/>
        </w:numPr>
        <w:spacing w:line="480" w:lineRule="auto"/>
        <w:ind w:firstLine="720"/>
      </w:pPr>
      <w:r w:rsidRPr="0084023C">
        <w:t>As seen in</w:t>
      </w:r>
      <w:r w:rsidR="00C21096">
        <w:t xml:space="preserve"> </w:t>
      </w:r>
      <w:r w:rsidR="009B6816">
        <w:fldChar w:fldCharType="begin"/>
      </w:r>
      <w:r w:rsidR="00C21096">
        <w:instrText xml:space="preserve"> REF _Ref349809497 \h </w:instrText>
      </w:r>
      <w:r w:rsidR="009B6816">
        <w:fldChar w:fldCharType="separate"/>
      </w:r>
      <w:r w:rsidR="005B6C27">
        <w:t xml:space="preserve">Figure </w:t>
      </w:r>
      <w:r w:rsidR="005B6C27">
        <w:rPr>
          <w:noProof/>
        </w:rPr>
        <w:t>45</w:t>
      </w:r>
      <w:r w:rsidR="009B6816">
        <w:fldChar w:fldCharType="end"/>
      </w:r>
      <w:r w:rsidRPr="0084023C">
        <w:t>, good agreement was found between the mean performance of human and mathematical observers in the localization task of lesions in the liver.</w:t>
      </w:r>
    </w:p>
    <w:p w:rsidR="0086426B" w:rsidRDefault="0086426B" w:rsidP="00E04888">
      <w:pPr>
        <w:numPr>
          <w:ilvl w:val="12"/>
          <w:numId w:val="0"/>
        </w:numPr>
        <w:spacing w:line="480" w:lineRule="auto"/>
        <w:jc w:val="both"/>
      </w:pPr>
    </w:p>
    <w:p w:rsidR="008A590E" w:rsidRPr="0084023C" w:rsidRDefault="008A590E" w:rsidP="00E04888">
      <w:pPr>
        <w:numPr>
          <w:ilvl w:val="12"/>
          <w:numId w:val="0"/>
        </w:numPr>
        <w:spacing w:line="480" w:lineRule="auto"/>
        <w:jc w:val="both"/>
      </w:pPr>
      <w:r w:rsidRPr="0084023C">
        <w:rPr>
          <w:noProof/>
        </w:rPr>
        <w:drawing>
          <wp:inline distT="0" distB="0" distL="0" distR="0">
            <wp:extent cx="5902325" cy="2957195"/>
            <wp:effectExtent l="19050" t="0" r="3175" b="0"/>
            <wp:docPr id="47" name="Picture 9" descr="C:\Users\Josh\Documents\PETCT\thesis stuff\meanLROC_bot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sh\Documents\PETCT\thesis stuff\meanLROC_both.tif"/>
                    <pic:cNvPicPr>
                      <a:picLocks noChangeAspect="1" noChangeArrowheads="1"/>
                    </pic:cNvPicPr>
                  </pic:nvPicPr>
                  <pic:blipFill>
                    <a:blip r:embed="rId64" cstate="print"/>
                    <a:srcRect/>
                    <a:stretch>
                      <a:fillRect/>
                    </a:stretch>
                  </pic:blipFill>
                  <pic:spPr bwMode="auto">
                    <a:xfrm>
                      <a:off x="0" y="0"/>
                      <a:ext cx="5902325" cy="2957195"/>
                    </a:xfrm>
                    <a:prstGeom prst="rect">
                      <a:avLst/>
                    </a:prstGeom>
                    <a:noFill/>
                    <a:ln w="9525">
                      <a:noFill/>
                      <a:miter lim="800000"/>
                      <a:headEnd/>
                      <a:tailEnd/>
                    </a:ln>
                  </pic:spPr>
                </pic:pic>
              </a:graphicData>
            </a:graphic>
          </wp:inline>
        </w:drawing>
      </w:r>
    </w:p>
    <w:p w:rsidR="008A590E" w:rsidRDefault="00663F5D" w:rsidP="00663F5D">
      <w:pPr>
        <w:pStyle w:val="Caption"/>
      </w:pPr>
      <w:bookmarkStart w:id="116" w:name="_Ref349809497"/>
      <w:bookmarkStart w:id="117" w:name="_Toc351890086"/>
      <w:proofErr w:type="gramStart"/>
      <w:r>
        <w:t xml:space="preserve">Figure </w:t>
      </w:r>
      <w:fldSimple w:instr=" SEQ Figure \* ARABIC ">
        <w:r w:rsidR="005B6C27">
          <w:rPr>
            <w:noProof/>
          </w:rPr>
          <w:t>45</w:t>
        </w:r>
      </w:fldSimple>
      <w:bookmarkEnd w:id="116"/>
      <w:r w:rsidR="008A590E" w:rsidRPr="0084023C">
        <w:rPr>
          <w:szCs w:val="24"/>
        </w:rPr>
        <w:t>.</w:t>
      </w:r>
      <w:proofErr w:type="gramEnd"/>
      <w:r w:rsidR="008A590E" w:rsidRPr="0084023C">
        <w:rPr>
          <w:szCs w:val="24"/>
        </w:rPr>
        <w:t xml:space="preserve"> LROC curves showing mean localization performance of liver lesions for 3 human observers (left) and 8 </w:t>
      </w:r>
      <w:r w:rsidR="00777F68">
        <w:rPr>
          <w:szCs w:val="24"/>
        </w:rPr>
        <w:t>numerical</w:t>
      </w:r>
      <w:r w:rsidR="008A590E" w:rsidRPr="0084023C">
        <w:rPr>
          <w:szCs w:val="24"/>
        </w:rPr>
        <w:t xml:space="preserve"> models (right)</w:t>
      </w:r>
      <w:bookmarkEnd w:id="117"/>
    </w:p>
    <w:p w:rsidR="00891767" w:rsidRDefault="00891767" w:rsidP="008A590E">
      <w:pPr>
        <w:numPr>
          <w:ilvl w:val="12"/>
          <w:numId w:val="0"/>
        </w:numPr>
        <w:spacing w:line="480" w:lineRule="auto"/>
        <w:ind w:firstLine="720"/>
      </w:pPr>
    </w:p>
    <w:p w:rsidR="008A590E" w:rsidRDefault="008A590E" w:rsidP="008A590E">
      <w:pPr>
        <w:numPr>
          <w:ilvl w:val="12"/>
          <w:numId w:val="0"/>
        </w:numPr>
        <w:spacing w:line="480" w:lineRule="auto"/>
        <w:ind w:firstLine="720"/>
      </w:pPr>
      <w:r w:rsidRPr="008A590E">
        <w:t xml:space="preserve">The 8 </w:t>
      </w:r>
      <w:r w:rsidR="00777F68">
        <w:t>numerical</w:t>
      </w:r>
      <w:r w:rsidRPr="008A590E">
        <w:t xml:space="preserve"> observers were used to evaluate the relative benefit of TOF+ PSF in the clinical data for different patient sizes, lesion contrasts, and scan times.  </w:t>
      </w:r>
      <w:r w:rsidR="009B6816">
        <w:fldChar w:fldCharType="begin"/>
      </w:r>
      <w:r>
        <w:instrText xml:space="preserve"> REF _Ref340589778 \h </w:instrText>
      </w:r>
      <w:r w:rsidR="009B6816">
        <w:fldChar w:fldCharType="separate"/>
      </w:r>
      <w:r w:rsidR="005B6C27">
        <w:t xml:space="preserve">Figure </w:t>
      </w:r>
      <w:r w:rsidR="005B6C27">
        <w:rPr>
          <w:noProof/>
        </w:rPr>
        <w:t>46</w:t>
      </w:r>
      <w:r w:rsidR="009B6816">
        <w:fldChar w:fldCharType="end"/>
      </w:r>
      <w:r>
        <w:t xml:space="preserve"> </w:t>
      </w:r>
      <w:r w:rsidRPr="008A590E">
        <w:t>shows the observer SNR for different lesion intensity and scan time.  Each reconstruction set was processed with the number of iterations found to maximize observer SNR (</w:t>
      </w:r>
      <w:r w:rsidR="009B6816">
        <w:fldChar w:fldCharType="begin"/>
      </w:r>
      <w:r>
        <w:instrText xml:space="preserve"> REF _Ref336375490 \h </w:instrText>
      </w:r>
      <w:r w:rsidR="009B6816">
        <w:fldChar w:fldCharType="separate"/>
      </w:r>
      <w:r w:rsidR="005B6C27">
        <w:t xml:space="preserve">Figure </w:t>
      </w:r>
      <w:r w:rsidR="005B6C27">
        <w:rPr>
          <w:noProof/>
        </w:rPr>
        <w:t>36</w:t>
      </w:r>
      <w:r w:rsidR="009B6816">
        <w:fldChar w:fldCharType="end"/>
      </w:r>
      <w:r w:rsidRPr="008A590E">
        <w:t>).</w:t>
      </w:r>
    </w:p>
    <w:p w:rsidR="008A590E" w:rsidRPr="008A590E" w:rsidRDefault="008A590E" w:rsidP="008A590E">
      <w:pPr>
        <w:numPr>
          <w:ilvl w:val="12"/>
          <w:numId w:val="0"/>
        </w:numPr>
        <w:spacing w:line="480" w:lineRule="auto"/>
      </w:pPr>
      <w:r w:rsidRPr="008A590E">
        <w:rPr>
          <w:noProof/>
        </w:rPr>
        <w:lastRenderedPageBreak/>
        <w:drawing>
          <wp:inline distT="0" distB="0" distL="0" distR="0">
            <wp:extent cx="4189615" cy="2743200"/>
            <wp:effectExtent l="19050" t="0" r="1385" b="0"/>
            <wp:docPr id="50" name="Picture 1" descr="C:\Users\Josh\Documents\PETCT\thesis stuff\SNR_ratios_var_les_counts_optim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ocuments\PETCT\thesis stuff\SNR_ratios_var_les_counts_optimal.tif"/>
                    <pic:cNvPicPr>
                      <a:picLocks noChangeAspect="1" noChangeArrowheads="1"/>
                    </pic:cNvPicPr>
                  </pic:nvPicPr>
                  <pic:blipFill>
                    <a:blip r:embed="rId65" cstate="print"/>
                    <a:srcRect/>
                    <a:stretch>
                      <a:fillRect/>
                    </a:stretch>
                  </pic:blipFill>
                  <pic:spPr bwMode="auto">
                    <a:xfrm>
                      <a:off x="0" y="0"/>
                      <a:ext cx="4189615" cy="2743200"/>
                    </a:xfrm>
                    <a:prstGeom prst="rect">
                      <a:avLst/>
                    </a:prstGeom>
                    <a:noFill/>
                    <a:ln w="9525">
                      <a:noFill/>
                      <a:miter lim="800000"/>
                      <a:headEnd/>
                      <a:tailEnd/>
                    </a:ln>
                  </pic:spPr>
                </pic:pic>
              </a:graphicData>
            </a:graphic>
          </wp:inline>
        </w:drawing>
      </w:r>
      <w:r w:rsidRPr="008A590E">
        <w:rPr>
          <w:noProof/>
        </w:rPr>
        <w:drawing>
          <wp:inline distT="0" distB="0" distL="0" distR="0">
            <wp:extent cx="4073843" cy="2743200"/>
            <wp:effectExtent l="19050" t="0" r="2857" b="0"/>
            <wp:docPr id="51" name="Picture 4" descr="C:\Users\Josh\Documents\PETCT\thesis stuff\SNR_ratios_var_scan_times_optim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Documents\PETCT\thesis stuff\SNR_ratios_var_scan_times_optimal.tif"/>
                    <pic:cNvPicPr>
                      <a:picLocks noChangeAspect="1" noChangeArrowheads="1"/>
                    </pic:cNvPicPr>
                  </pic:nvPicPr>
                  <pic:blipFill>
                    <a:blip r:embed="rId66" cstate="print"/>
                    <a:srcRect/>
                    <a:stretch>
                      <a:fillRect/>
                    </a:stretch>
                  </pic:blipFill>
                  <pic:spPr bwMode="auto">
                    <a:xfrm>
                      <a:off x="0" y="0"/>
                      <a:ext cx="4073843" cy="2743200"/>
                    </a:xfrm>
                    <a:prstGeom prst="rect">
                      <a:avLst/>
                    </a:prstGeom>
                    <a:noFill/>
                    <a:ln w="9525">
                      <a:noFill/>
                      <a:miter lim="800000"/>
                      <a:headEnd/>
                      <a:tailEnd/>
                    </a:ln>
                  </pic:spPr>
                </pic:pic>
              </a:graphicData>
            </a:graphic>
          </wp:inline>
        </w:drawing>
      </w:r>
    </w:p>
    <w:p w:rsidR="008A590E" w:rsidRDefault="008A590E" w:rsidP="008A590E">
      <w:pPr>
        <w:pStyle w:val="Caption"/>
      </w:pPr>
      <w:bookmarkStart w:id="118" w:name="_Ref338675190"/>
      <w:bookmarkStart w:id="119" w:name="_Ref340589778"/>
      <w:bookmarkStart w:id="120" w:name="_Toc351890087"/>
      <w:proofErr w:type="gramStart"/>
      <w:r>
        <w:t xml:space="preserve">Figure </w:t>
      </w:r>
      <w:fldSimple w:instr=" SEQ Figure \* ARABIC ">
        <w:r w:rsidR="005B6C27">
          <w:rPr>
            <w:noProof/>
          </w:rPr>
          <w:t>46</w:t>
        </w:r>
      </w:fldSimple>
      <w:bookmarkEnd w:id="119"/>
      <w:r w:rsidRPr="0084023C">
        <w:rPr>
          <w:szCs w:val="24"/>
        </w:rPr>
        <w:t>.</w:t>
      </w:r>
      <w:proofErr w:type="gramEnd"/>
      <w:r w:rsidRPr="0084023C">
        <w:rPr>
          <w:szCs w:val="24"/>
        </w:rPr>
        <w:t xml:space="preserve"> </w:t>
      </w:r>
      <w:r w:rsidRPr="008A590E">
        <w:t>Plots showing mean improvement in observer SNR of PSF, TOF, and TOF+PSF compared to OP, for various lesion contrasts and acquisition times.</w:t>
      </w:r>
      <w:bookmarkEnd w:id="118"/>
      <w:bookmarkEnd w:id="120"/>
    </w:p>
    <w:p w:rsidR="00940DCB" w:rsidRDefault="00940DCB" w:rsidP="00663F5D">
      <w:pPr>
        <w:numPr>
          <w:ilvl w:val="12"/>
          <w:numId w:val="0"/>
        </w:numPr>
        <w:spacing w:line="480" w:lineRule="auto"/>
      </w:pPr>
    </w:p>
    <w:p w:rsidR="00663F5D" w:rsidRDefault="00663F5D" w:rsidP="00663F5D">
      <w:pPr>
        <w:numPr>
          <w:ilvl w:val="12"/>
          <w:numId w:val="0"/>
        </w:numPr>
        <w:spacing w:line="480" w:lineRule="auto"/>
      </w:pPr>
      <w:r>
        <w:lastRenderedPageBreak/>
        <w:t xml:space="preserve">The data in </w:t>
      </w:r>
      <w:r w:rsidR="009B6816">
        <w:fldChar w:fldCharType="begin"/>
      </w:r>
      <w:r>
        <w:instrText xml:space="preserve"> REF _Ref340589778 \h </w:instrText>
      </w:r>
      <w:r w:rsidR="009B6816">
        <w:fldChar w:fldCharType="separate"/>
      </w:r>
      <w:r w:rsidR="005B6C27">
        <w:t xml:space="preserve">Figure </w:t>
      </w:r>
      <w:r w:rsidR="005B6C27">
        <w:rPr>
          <w:noProof/>
        </w:rPr>
        <w:t>46</w:t>
      </w:r>
      <w:r w:rsidR="009B6816">
        <w:fldChar w:fldCharType="end"/>
      </w:r>
      <w:proofErr w:type="gramStart"/>
      <w:r>
        <w:t>a</w:t>
      </w:r>
      <w:proofErr w:type="gramEnd"/>
      <w:r>
        <w:t xml:space="preserve"> are from the 3-minute scans and </w:t>
      </w:r>
      <w:r w:rsidR="009B6816">
        <w:fldChar w:fldCharType="begin"/>
      </w:r>
      <w:r>
        <w:instrText xml:space="preserve"> REF _Ref340589778 \h </w:instrText>
      </w:r>
      <w:r w:rsidR="009B6816">
        <w:fldChar w:fldCharType="separate"/>
      </w:r>
      <w:r w:rsidR="005B6C27">
        <w:t xml:space="preserve">Figure </w:t>
      </w:r>
      <w:r w:rsidR="005B6C27">
        <w:rPr>
          <w:noProof/>
        </w:rPr>
        <w:t>46</w:t>
      </w:r>
      <w:r w:rsidR="009B6816">
        <w:fldChar w:fldCharType="end"/>
      </w:r>
      <w:r>
        <w:t>b shows the data incorporating lesion with 60K counts.  The greatest improvement is clearly seen in the faintest lesions and in the shortest scans.</w:t>
      </w:r>
    </w:p>
    <w:p w:rsidR="008A590E" w:rsidRDefault="009B6816" w:rsidP="008A590E">
      <w:pPr>
        <w:numPr>
          <w:ilvl w:val="12"/>
          <w:numId w:val="0"/>
        </w:numPr>
        <w:spacing w:line="480" w:lineRule="auto"/>
        <w:ind w:firstLine="720"/>
      </w:pPr>
      <w:r>
        <w:fldChar w:fldCharType="begin"/>
      </w:r>
      <w:r w:rsidR="00663F5D">
        <w:instrText xml:space="preserve"> REF _Ref340589876 \h </w:instrText>
      </w:r>
      <w:r>
        <w:fldChar w:fldCharType="separate"/>
      </w:r>
      <w:r w:rsidR="005B6C27">
        <w:t xml:space="preserve">Figure </w:t>
      </w:r>
      <w:r w:rsidR="005B6C27">
        <w:rPr>
          <w:noProof/>
        </w:rPr>
        <w:t>47</w:t>
      </w:r>
      <w:r>
        <w:fldChar w:fldCharType="end"/>
      </w:r>
      <w:r w:rsidR="00663F5D">
        <w:t xml:space="preserve"> </w:t>
      </w:r>
      <w:r w:rsidR="00663F5D" w:rsidRPr="008A590E">
        <w:t xml:space="preserve">shows the gain in observer performance for patients with low and high BMI.  </w:t>
      </w:r>
    </w:p>
    <w:p w:rsidR="00891767" w:rsidRPr="008A590E" w:rsidRDefault="00891767" w:rsidP="008A590E">
      <w:pPr>
        <w:numPr>
          <w:ilvl w:val="12"/>
          <w:numId w:val="0"/>
        </w:numPr>
        <w:spacing w:line="480" w:lineRule="auto"/>
        <w:ind w:firstLine="720"/>
      </w:pPr>
    </w:p>
    <w:p w:rsidR="008A590E" w:rsidRPr="008A590E" w:rsidRDefault="008A590E" w:rsidP="0086426B">
      <w:pPr>
        <w:numPr>
          <w:ilvl w:val="12"/>
          <w:numId w:val="0"/>
        </w:numPr>
        <w:spacing w:line="480" w:lineRule="auto"/>
        <w:ind w:firstLine="720"/>
      </w:pPr>
      <w:r w:rsidRPr="008A590E">
        <w:rPr>
          <w:noProof/>
        </w:rPr>
        <w:drawing>
          <wp:inline distT="0" distB="0" distL="0" distR="0">
            <wp:extent cx="3449826" cy="2743200"/>
            <wp:effectExtent l="19050" t="0" r="0" b="0"/>
            <wp:docPr id="53" name="Picture 6" descr="C:\Users\Josh\Documents\PETCT\thesis stuff\SNR_ratios_BMI_iterati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sh\Documents\PETCT\thesis stuff\SNR_ratios_BMI_iterations.tif"/>
                    <pic:cNvPicPr>
                      <a:picLocks noChangeAspect="1" noChangeArrowheads="1"/>
                    </pic:cNvPicPr>
                  </pic:nvPicPr>
                  <pic:blipFill>
                    <a:blip r:embed="rId67" cstate="print"/>
                    <a:srcRect/>
                    <a:stretch>
                      <a:fillRect/>
                    </a:stretch>
                  </pic:blipFill>
                  <pic:spPr bwMode="auto">
                    <a:xfrm>
                      <a:off x="0" y="0"/>
                      <a:ext cx="3449826" cy="2743200"/>
                    </a:xfrm>
                    <a:prstGeom prst="rect">
                      <a:avLst/>
                    </a:prstGeom>
                    <a:noFill/>
                    <a:ln w="9525">
                      <a:noFill/>
                      <a:miter lim="800000"/>
                      <a:headEnd/>
                      <a:tailEnd/>
                    </a:ln>
                  </pic:spPr>
                </pic:pic>
              </a:graphicData>
            </a:graphic>
          </wp:inline>
        </w:drawing>
      </w:r>
      <w:r w:rsidRPr="008A590E">
        <w:t xml:space="preserve"> </w:t>
      </w:r>
    </w:p>
    <w:p w:rsidR="008A590E" w:rsidRDefault="008A590E" w:rsidP="00040092">
      <w:pPr>
        <w:pStyle w:val="Caption"/>
      </w:pPr>
      <w:bookmarkStart w:id="121" w:name="_Ref340589876"/>
      <w:bookmarkStart w:id="122" w:name="_Toc351890088"/>
      <w:proofErr w:type="gramStart"/>
      <w:r>
        <w:t xml:space="preserve">Figure </w:t>
      </w:r>
      <w:fldSimple w:instr=" SEQ Figure \* ARABIC ">
        <w:r w:rsidR="005B6C27">
          <w:rPr>
            <w:noProof/>
          </w:rPr>
          <w:t>47</w:t>
        </w:r>
      </w:fldSimple>
      <w:bookmarkEnd w:id="121"/>
      <w:r w:rsidRPr="0084023C">
        <w:rPr>
          <w:szCs w:val="24"/>
        </w:rPr>
        <w:t>.</w:t>
      </w:r>
      <w:proofErr w:type="gramEnd"/>
      <w:r w:rsidRPr="0084023C">
        <w:rPr>
          <w:szCs w:val="24"/>
        </w:rPr>
        <w:t xml:space="preserve"> </w:t>
      </w:r>
      <w:r w:rsidRPr="008A590E">
        <w:t>Mean observer SNR improvement for different patient sizes.</w:t>
      </w:r>
      <w:bookmarkEnd w:id="122"/>
    </w:p>
    <w:p w:rsidR="00891767" w:rsidRDefault="00891767" w:rsidP="002A5831">
      <w:pPr>
        <w:numPr>
          <w:ilvl w:val="12"/>
          <w:numId w:val="0"/>
        </w:numPr>
        <w:spacing w:line="480" w:lineRule="auto"/>
      </w:pPr>
    </w:p>
    <w:p w:rsidR="002A5831" w:rsidRPr="008A590E" w:rsidRDefault="002A5831" w:rsidP="002A5831">
      <w:pPr>
        <w:numPr>
          <w:ilvl w:val="12"/>
          <w:numId w:val="0"/>
        </w:numPr>
        <w:spacing w:line="480" w:lineRule="auto"/>
      </w:pPr>
      <w:r>
        <w:t xml:space="preserve">TOF showed more improvement than PSF.  </w:t>
      </w:r>
      <w:r w:rsidRPr="008A590E">
        <w:t>For all iterations of each respective algorithm,</w:t>
      </w:r>
      <w:r>
        <w:t xml:space="preserve"> the gain of</w:t>
      </w:r>
      <w:r w:rsidRPr="008A590E">
        <w:t xml:space="preserve"> PSF, TOF, and TOF+PSF </w:t>
      </w:r>
      <w:r>
        <w:t>was higher</w:t>
      </w:r>
      <w:r w:rsidRPr="008A590E">
        <w:t xml:space="preserve"> for the larger subjects. </w:t>
      </w:r>
    </w:p>
    <w:p w:rsidR="00DA18AA" w:rsidRDefault="00DA18AA" w:rsidP="00DA18AA">
      <w:pPr>
        <w:pStyle w:val="Heading2"/>
      </w:pPr>
      <w:bookmarkStart w:id="123" w:name="_Toc351890031"/>
      <w:r>
        <w:t>Discussion</w:t>
      </w:r>
      <w:bookmarkEnd w:id="123"/>
    </w:p>
    <w:p w:rsidR="00040092" w:rsidRDefault="00A16089" w:rsidP="00F60A26">
      <w:pPr>
        <w:numPr>
          <w:ilvl w:val="12"/>
          <w:numId w:val="0"/>
        </w:numPr>
        <w:spacing w:line="480" w:lineRule="auto"/>
        <w:ind w:firstLine="720"/>
      </w:pPr>
      <w:r w:rsidRPr="00A16089">
        <w:t xml:space="preserve">A lesion detection study has been developed to assess the clinical benefits of PET reconstructions </w:t>
      </w:r>
      <w:r w:rsidR="00040092">
        <w:t>incorporating</w:t>
      </w:r>
      <w:r w:rsidRPr="00A16089">
        <w:t xml:space="preserve"> PSF and TOF.  The use of real patient images with simulated lesions depicted an actual clinical task</w:t>
      </w:r>
      <w:r w:rsidR="001B3E05">
        <w:t>, that is, the</w:t>
      </w:r>
      <w:r w:rsidRPr="00A16089">
        <w:t xml:space="preserve"> detection and localization of </w:t>
      </w:r>
      <w:r w:rsidRPr="00A16089">
        <w:lastRenderedPageBreak/>
        <w:t xml:space="preserve">small </w:t>
      </w:r>
      <w:r w:rsidR="001B3E05">
        <w:t>lesions with focal uptake in</w:t>
      </w:r>
      <w:r w:rsidR="000254FE">
        <w:t xml:space="preserve"> the liver</w:t>
      </w:r>
      <w:r w:rsidR="001B3E05">
        <w:t>,</w:t>
      </w:r>
      <w:r w:rsidRPr="00A16089">
        <w:t xml:space="preserve"> lungs</w:t>
      </w:r>
      <w:r w:rsidR="001B3E05">
        <w:t>, or other tissues</w:t>
      </w:r>
      <w:r w:rsidRPr="00A16089">
        <w:t xml:space="preserve">.  </w:t>
      </w:r>
      <w:r w:rsidR="00777F68">
        <w:t>Numerical</w:t>
      </w:r>
      <w:r w:rsidRPr="00A16089">
        <w:t xml:space="preserve"> observer models were used to optimize experimental parameters as well as predict human performance.  The </w:t>
      </w:r>
      <w:r w:rsidR="00040092">
        <w:t xml:space="preserve">assistance </w:t>
      </w:r>
      <w:r w:rsidRPr="00A16089">
        <w:t xml:space="preserve">of several board-certified </w:t>
      </w:r>
      <w:r w:rsidR="00040092">
        <w:t>physicians</w:t>
      </w:r>
      <w:r w:rsidRPr="00A16089">
        <w:t xml:space="preserve"> provided validation of our </w:t>
      </w:r>
      <w:r w:rsidR="00777F68">
        <w:t>numerical</w:t>
      </w:r>
      <w:r w:rsidRPr="00A16089">
        <w:t xml:space="preserve"> models.  </w:t>
      </w:r>
    </w:p>
    <w:p w:rsidR="00040092" w:rsidRDefault="00040092" w:rsidP="00F60A26">
      <w:pPr>
        <w:numPr>
          <w:ilvl w:val="12"/>
          <w:numId w:val="0"/>
        </w:numPr>
        <w:spacing w:line="480" w:lineRule="auto"/>
        <w:ind w:firstLine="720"/>
      </w:pPr>
      <w:r w:rsidRPr="00040092">
        <w:t>The images presented to the physicians included a range of lesion contrast, and many were very low intensity, making the detection task challenging; A</w:t>
      </w:r>
      <w:r w:rsidRPr="00040092">
        <w:rPr>
          <w:vertAlign w:val="subscript"/>
        </w:rPr>
        <w:t>ROC</w:t>
      </w:r>
      <w:r w:rsidRPr="00040092">
        <w:t xml:space="preserve"> was close to 0.5 for the baseline OP reconstruction (essentially the same as a flipping a coin).  This enhanced the gains in performance between the different reconstructions and emphasized the clinical benefits for the detection of small metastatic lesions that are “just visible”.  The performance of the physicians demonstrated that TOF+PSF reconstruction yielded superior performance over PSF or TOF alone, supporting the results found by the mathematical observers for the same localization task.</w:t>
      </w:r>
      <w:r>
        <w:t xml:space="preserve">  </w:t>
      </w:r>
      <w:r w:rsidR="001067EA">
        <w:t xml:space="preserve">This study </w:t>
      </w:r>
      <w:r w:rsidR="008E5498">
        <w:t>simulated</w:t>
      </w:r>
      <w:r w:rsidR="001067EA">
        <w:t xml:space="preserve"> an actual clinical task </w:t>
      </w:r>
      <w:r w:rsidR="008E5498">
        <w:t xml:space="preserve">but </w:t>
      </w:r>
      <w:r w:rsidR="009E38E9">
        <w:t xml:space="preserve">certainly </w:t>
      </w:r>
      <w:r w:rsidR="00762EDF">
        <w:t>did not</w:t>
      </w:r>
      <w:r w:rsidR="001067EA">
        <w:t xml:space="preserve"> account for all the complications of the diagnostic process.  </w:t>
      </w:r>
    </w:p>
    <w:p w:rsidR="0072500B" w:rsidRPr="00040092" w:rsidRDefault="001067EA" w:rsidP="0072500B">
      <w:pPr>
        <w:numPr>
          <w:ilvl w:val="12"/>
          <w:numId w:val="0"/>
        </w:numPr>
        <w:spacing w:line="480" w:lineRule="auto"/>
        <w:ind w:firstLine="720"/>
      </w:pPr>
      <w:r>
        <w:t xml:space="preserve">The experiment was not designed to evaluate </w:t>
      </w:r>
      <w:r w:rsidR="00607A43">
        <w:t>the observer’s ability to detect</w:t>
      </w:r>
      <w:r>
        <w:t xml:space="preserve"> disease.  Rather it was designed to survey the ability to detect a predefined signal in an anatomical background</w:t>
      </w:r>
      <w:r w:rsidR="00607A43">
        <w:t xml:space="preserve">.  </w:t>
      </w:r>
      <w:r w:rsidR="00E40423">
        <w:t>In a forced detection task, f</w:t>
      </w:r>
      <w:r w:rsidR="00607A43">
        <w:t>or any</w:t>
      </w:r>
      <w:r w:rsidR="00215C4F">
        <w:t xml:space="preserve"> observer and </w:t>
      </w:r>
      <w:r w:rsidR="00FB1197">
        <w:t xml:space="preserve">random </w:t>
      </w:r>
      <w:r w:rsidR="00607A43">
        <w:t xml:space="preserve">set of </w:t>
      </w:r>
      <w:r w:rsidR="00607A43" w:rsidRPr="00AC2DB7">
        <w:rPr>
          <w:i/>
        </w:rPr>
        <w:t>lesion-absent</w:t>
      </w:r>
      <w:r w:rsidR="00607A43">
        <w:t xml:space="preserve"> images, there </w:t>
      </w:r>
      <w:r w:rsidR="00F145A4">
        <w:t xml:space="preserve">is </w:t>
      </w:r>
      <w:r w:rsidR="00607A43">
        <w:t>a given rate of detections</w:t>
      </w:r>
      <w:r w:rsidR="00F145A4">
        <w:t xml:space="preserve"> (</w:t>
      </w:r>
      <w:r w:rsidR="00607A43">
        <w:t>false-positive rate</w:t>
      </w:r>
      <w:r w:rsidR="00F145A4">
        <w:t>)</w:t>
      </w:r>
      <w:r w:rsidR="009E38E9">
        <w:t xml:space="preserve">.  These </w:t>
      </w:r>
      <w:r w:rsidR="00215C4F">
        <w:t>decisions</w:t>
      </w:r>
      <w:r w:rsidR="004A6A96">
        <w:t xml:space="preserve">, whether or not they are </w:t>
      </w:r>
      <w:r w:rsidR="00215C4F">
        <w:t>accurate clinically</w:t>
      </w:r>
      <w:r w:rsidR="004A6A96">
        <w:t>,</w:t>
      </w:r>
      <w:r w:rsidR="00215C4F">
        <w:t xml:space="preserve"> serve to define a baseline for the </w:t>
      </w:r>
      <w:r w:rsidR="00B70C09">
        <w:t>e</w:t>
      </w:r>
      <w:r w:rsidR="00A75411">
        <w:t>valu</w:t>
      </w:r>
      <w:r w:rsidR="00B70C09">
        <w:t>ation</w:t>
      </w:r>
      <w:r w:rsidR="00215C4F">
        <w:t>.</w:t>
      </w:r>
      <w:r w:rsidR="004A6A96">
        <w:t xml:space="preserve">  </w:t>
      </w:r>
      <w:r w:rsidR="00FB1197">
        <w:t xml:space="preserve">A study </w:t>
      </w:r>
      <w:r w:rsidR="000C4171">
        <w:t>such as</w:t>
      </w:r>
      <w:r w:rsidR="00FB1197">
        <w:t xml:space="preserve"> this measures</w:t>
      </w:r>
      <w:r w:rsidR="00A744C2">
        <w:t xml:space="preserve"> the </w:t>
      </w:r>
      <w:r w:rsidR="00271524">
        <w:t xml:space="preserve">characteristic </w:t>
      </w:r>
      <w:r w:rsidR="00A744C2">
        <w:t>difference</w:t>
      </w:r>
      <w:r w:rsidR="00566C02">
        <w:t xml:space="preserve">s when </w:t>
      </w:r>
      <w:r w:rsidR="00A744C2">
        <w:t>“known” lesion</w:t>
      </w:r>
      <w:r w:rsidR="00566C02">
        <w:t>s</w:t>
      </w:r>
      <w:r w:rsidR="00A744C2">
        <w:t xml:space="preserve"> </w:t>
      </w:r>
      <w:r w:rsidR="00566C02">
        <w:t>are</w:t>
      </w:r>
      <w:r w:rsidR="00A744C2">
        <w:t xml:space="preserve"> introduced into </w:t>
      </w:r>
      <w:r w:rsidR="00B70C09">
        <w:t>th</w:t>
      </w:r>
      <w:r w:rsidR="00566C02">
        <w:t>e</w:t>
      </w:r>
      <w:r w:rsidR="00FB1197">
        <w:t xml:space="preserve"> </w:t>
      </w:r>
      <w:r w:rsidR="00DF62E7">
        <w:t>image population</w:t>
      </w:r>
      <w:r w:rsidR="00566C02">
        <w:t xml:space="preserve"> and cause</w:t>
      </w:r>
      <w:r w:rsidR="005B525C">
        <w:t xml:space="preserve"> the observer detection rate to rise above the baseline</w:t>
      </w:r>
      <w:r w:rsidR="00F145A4">
        <w:t xml:space="preserve">.  This </w:t>
      </w:r>
      <w:r w:rsidR="00E74D47">
        <w:t>should necessarily</w:t>
      </w:r>
      <w:r w:rsidR="00DF62E7">
        <w:t xml:space="preserve"> </w:t>
      </w:r>
      <w:r w:rsidR="002925FA">
        <w:t>r</w:t>
      </w:r>
      <w:r w:rsidR="00E74D47">
        <w:t>estrict</w:t>
      </w:r>
      <w:r w:rsidR="00D25916">
        <w:t xml:space="preserve"> </w:t>
      </w:r>
      <w:r w:rsidR="006368D2">
        <w:t xml:space="preserve">the ROC </w:t>
      </w:r>
      <w:r w:rsidR="00D25916">
        <w:t xml:space="preserve">performance </w:t>
      </w:r>
      <w:r w:rsidR="006368D2">
        <w:t xml:space="preserve">curve </w:t>
      </w:r>
      <w:r w:rsidR="00D25916">
        <w:t>from</w:t>
      </w:r>
      <w:r w:rsidR="006368D2">
        <w:t xml:space="preserve"> </w:t>
      </w:r>
      <w:r w:rsidR="00D25916">
        <w:lastRenderedPageBreak/>
        <w:t>deflecting</w:t>
      </w:r>
      <w:r w:rsidR="006368D2">
        <w:t xml:space="preserve"> </w:t>
      </w:r>
      <w:r w:rsidR="00D25916">
        <w:t>below</w:t>
      </w:r>
      <w:r w:rsidR="006368D2">
        <w:t xml:space="preserve"> the unity line</w:t>
      </w:r>
      <w:r w:rsidR="0072500B">
        <w:t xml:space="preserve">.  </w:t>
      </w:r>
      <w:r w:rsidR="0072500B" w:rsidRPr="00040092">
        <w:t>The images presented to the physicians included a range of lesion contrast, and many were very low intensity, making the detection task challenging; A</w:t>
      </w:r>
      <w:r w:rsidR="0072500B" w:rsidRPr="00040092">
        <w:rPr>
          <w:vertAlign w:val="subscript"/>
        </w:rPr>
        <w:t>ROC</w:t>
      </w:r>
      <w:r w:rsidR="0072500B" w:rsidRPr="00040092">
        <w:t xml:space="preserve"> was close to 0.5 for the baseline OP reconstruction (essentially the same as a flipping a coin).  This enhanced the gains in performance between the different reconstructions and emphasized the clinical benefits for the detection of small metastatic lesions that are “just visible”.  The performance of the physicians demonstrated that TOF+PSF reconstruction yielded superior performance over PSF or TOF alone, supporting the results found by the mathematical observers </w:t>
      </w:r>
      <w:r w:rsidR="00C96C2B">
        <w:t>in</w:t>
      </w:r>
      <w:r w:rsidR="0072500B" w:rsidRPr="00040092">
        <w:t xml:space="preserve"> the same task.</w:t>
      </w:r>
    </w:p>
    <w:p w:rsidR="00040092" w:rsidRDefault="00040092" w:rsidP="0072500B">
      <w:pPr>
        <w:numPr>
          <w:ilvl w:val="12"/>
          <w:numId w:val="0"/>
        </w:numPr>
        <w:spacing w:line="480" w:lineRule="auto"/>
        <w:ind w:firstLine="720"/>
      </w:pPr>
      <w:r w:rsidRPr="00DC7B6D">
        <w:t>Mathematical observers base their decisions only on the information that is available through training.  The models are conditioned under the presumption that each element of the sample is part of the same random.  This assumption is rarely a good fit with real clinical imaging applications, where the amount of available training information is often insufficient to outweigh the randomness within the data</w:t>
      </w:r>
      <w:r w:rsidR="001B3E05">
        <w:t xml:space="preserve">.  In this case, the </w:t>
      </w:r>
      <w:r w:rsidRPr="00DC7B6D">
        <w:t xml:space="preserve">ensemble cannot be completely characterized, </w:t>
      </w:r>
      <w:r w:rsidR="00D71A1F" w:rsidRPr="00DC7B6D">
        <w:t>i.e.</w:t>
      </w:r>
      <w:r w:rsidRPr="00DC7B6D">
        <w:t xml:space="preserve"> a full-rank covariance matrix cannot be constructed.  This can be overcome through the use of limited, sub-images containing the important features and frequency-selective filtering.  Both methods reduce the dimensionality of the problem</w:t>
      </w:r>
      <w:r w:rsidR="001B3E05">
        <w:t xml:space="preserve"> and</w:t>
      </w:r>
      <w:r w:rsidRPr="00DC7B6D">
        <w:t xml:space="preserve"> require prior information about the signal location.  </w:t>
      </w:r>
    </w:p>
    <w:p w:rsidR="0072500B" w:rsidRPr="0072500B" w:rsidRDefault="0072500B" w:rsidP="0072500B">
      <w:pPr>
        <w:numPr>
          <w:ilvl w:val="12"/>
          <w:numId w:val="0"/>
        </w:numPr>
        <w:spacing w:line="480" w:lineRule="auto"/>
        <w:ind w:firstLine="720"/>
      </w:pPr>
      <w:r>
        <w:t xml:space="preserve">Contradictory results have been reported on the ability of a human observer to whiten data in signal detection tasks </w:t>
      </w:r>
      <w:r w:rsidR="009B6816">
        <w:fldChar w:fldCharType="begin"/>
      </w:r>
      <w:r>
        <w:instrText xml:space="preserve"> ADDIN EN.CITE &lt;EndNote&gt;&lt;Cite&gt;&lt;Author&gt;Myers&lt;/Author&gt;&lt;Year&gt;1985&lt;/Year&gt;&lt;RecNum&gt;160&lt;/RecNum&gt;&lt;DisplayText&gt;(Myers, Barrett et al. 1985; Rolland and Barrett 1992)&lt;/DisplayText&gt;&lt;record&gt;&lt;rec-number&gt;160&lt;/rec-number&gt;&lt;foreign-keys&gt;&lt;key app="EN" db-id="srwv9ppvvez5pgefxzi5ddeve5w2fe5x5esr"&gt;160&lt;/key&gt;&lt;/foreign-keys&gt;&lt;ref-type name="Journal Article"&gt;17&lt;/ref-type&gt;&lt;contributors&gt;&lt;authors&gt;&lt;author&gt;Myers, KJ&lt;/author&gt;&lt;author&gt;Barrett, HH&lt;/author&gt;&lt;author&gt;Borgstrom, MC&lt;/author&gt;&lt;author&gt;Patton, DD&lt;/author&gt;&lt;author&gt;Seeley, GW&lt;/author&gt;&lt;/authors&gt;&lt;/contributors&gt;&lt;titles&gt;&lt;title&gt;Effect of noise correlation on detectability of disk signals in medical imaging&lt;/title&gt;&lt;secondary-title&gt;Journal of the Optical Society of America A&lt;/secondary-title&gt;&lt;/titles&gt;&lt;pages&gt;1752-1759&lt;/pages&gt;&lt;volume&gt;2&lt;/volume&gt;&lt;number&gt;10&lt;/number&gt;&lt;dates&gt;&lt;year&gt;1985&lt;/year&gt;&lt;/dates&gt;&lt;urls&gt;&lt;/urls&gt;&lt;/record&gt;&lt;/Cite&gt;&lt;Cite&gt;&lt;Author&gt;Rolland&lt;/Author&gt;&lt;Year&gt;1992&lt;/Year&gt;&lt;RecNum&gt;162&lt;/RecNum&gt;&lt;record&gt;&lt;rec-number&gt;162&lt;/rec-number&gt;&lt;foreign-keys&gt;&lt;key app="EN" db-id="srwv9ppvvez5pgefxzi5ddeve5w2fe5x5esr"&gt;162&lt;/key&gt;&lt;/foreign-keys&gt;&lt;ref-type name="Journal Article"&gt;17&lt;/ref-type&gt;&lt;contributors&gt;&lt;authors&gt;&lt;author&gt;Rolland, JP&lt;/author&gt;&lt;author&gt;Barrett, HH&lt;/author&gt;&lt;/authors&gt;&lt;/contributors&gt;&lt;titles&gt;&lt;title&gt;Effect of random background inhomogeneity on observer detection performance&lt;/title&gt;&lt;secondary-title&gt;Journal of the Optical Society of America A&lt;/secondary-title&gt;&lt;/titles&gt;&lt;pages&gt;649-658&lt;/pages&gt;&lt;volume&gt;9&lt;/volume&gt;&lt;number&gt;5&lt;/number&gt;&lt;dates&gt;&lt;year&gt;1992&lt;/year&gt;&lt;/dates&gt;&lt;urls&gt;&lt;/urls&gt;&lt;/record&gt;&lt;/Cite&gt;&lt;/EndNote&gt;</w:instrText>
      </w:r>
      <w:r w:rsidR="009B6816">
        <w:fldChar w:fldCharType="separate"/>
      </w:r>
      <w:r>
        <w:rPr>
          <w:noProof/>
        </w:rPr>
        <w:t>(</w:t>
      </w:r>
      <w:hyperlink w:anchor="_ENREF_57" w:tooltip="Myers, 1985 #160" w:history="1">
        <w:r w:rsidR="007704DB">
          <w:rPr>
            <w:noProof/>
          </w:rPr>
          <w:t>Myers, Barrett et al. 1985</w:t>
        </w:r>
      </w:hyperlink>
      <w:r>
        <w:rPr>
          <w:noProof/>
        </w:rPr>
        <w:t xml:space="preserve">; </w:t>
      </w:r>
      <w:hyperlink w:anchor="_ENREF_66" w:tooltip="Rolland, 1992 #162" w:history="1">
        <w:r w:rsidR="007704DB">
          <w:rPr>
            <w:noProof/>
          </w:rPr>
          <w:t>Rolland and Barrett 1992</w:t>
        </w:r>
      </w:hyperlink>
      <w:r>
        <w:rPr>
          <w:noProof/>
        </w:rPr>
        <w:t>)</w:t>
      </w:r>
      <w:r w:rsidR="009B6816">
        <w:fldChar w:fldCharType="end"/>
      </w:r>
      <w:r w:rsidR="00664370">
        <w:t>.</w:t>
      </w:r>
      <w:r>
        <w:t xml:space="preserve">  The Hotelling observers in this study had internal noise added to the whitening operation to account for human error, and we found good agreement in these performances and those of the CNPW observers.  The frequency selection of the </w:t>
      </w:r>
      <w:r>
        <w:lastRenderedPageBreak/>
        <w:t>channelized filter had more influence on observer performance than the whitening operation.</w:t>
      </w:r>
    </w:p>
    <w:p w:rsidR="008F563F" w:rsidRPr="00633A4E" w:rsidRDefault="0072500B" w:rsidP="00D97777">
      <w:pPr>
        <w:numPr>
          <w:ilvl w:val="12"/>
          <w:numId w:val="0"/>
        </w:numPr>
        <w:spacing w:line="480" w:lineRule="auto"/>
        <w:ind w:firstLine="720"/>
        <w:rPr>
          <w:color w:val="FF0000"/>
        </w:rPr>
      </w:pPr>
      <w:r w:rsidRPr="0072500B">
        <w:t>Noise in the PET data had a large impact on the reconstruction process, as seen in</w:t>
      </w:r>
      <w:r>
        <w:t xml:space="preserve"> </w:t>
      </w:r>
      <w:r w:rsidR="009B6816">
        <w:fldChar w:fldCharType="begin"/>
      </w:r>
      <w:r>
        <w:instrText xml:space="preserve"> REF _Ref340589876 \h </w:instrText>
      </w:r>
      <w:r w:rsidR="009B6816">
        <w:fldChar w:fldCharType="separate"/>
      </w:r>
      <w:r w:rsidR="005B6C27">
        <w:t xml:space="preserve">Figure </w:t>
      </w:r>
      <w:r w:rsidR="005B6C27">
        <w:rPr>
          <w:noProof/>
        </w:rPr>
        <w:t>47</w:t>
      </w:r>
      <w:r w:rsidR="009B6816">
        <w:fldChar w:fldCharType="end"/>
      </w:r>
      <w:r w:rsidRPr="0072500B">
        <w:t xml:space="preserve">.  In iterative reconstruction, noise in the data obstructs the convergence of the algorithm and then causes it to diverge.  After too many iterations, the signal contrast has already converged, and SNR decreases because image noise increases.  This effect is accelerated when using TOF.  For large patients, with very noisy data, the accelerated rate of TOF provided the largest SNR gain at the earliest iterations.  In smaller patients, with less noisy data, the baseline reconstruction performed relatively better at the first iteration, and the maximum gain associated with TOF peaked later.  Further, the convergence rate was delayed by incorporation of the PSF model.  In small patients, </w:t>
      </w:r>
      <w:r w:rsidR="00774E0F" w:rsidRPr="00774E0F">
        <w:t>resolution modeling offered little benefit and actually degraded observ</w:t>
      </w:r>
      <w:r w:rsidR="006A419A">
        <w:t>er performance in this task</w:t>
      </w:r>
      <w:r w:rsidR="00FE25ED">
        <w:t>; t</w:t>
      </w:r>
      <w:r w:rsidR="006A419A">
        <w:t>his was also seen in the performance of 2 of the 3 human observers.</w:t>
      </w:r>
    </w:p>
    <w:p w:rsidR="00276A6B" w:rsidRDefault="00040092" w:rsidP="003D15EA">
      <w:pPr>
        <w:numPr>
          <w:ilvl w:val="12"/>
          <w:numId w:val="0"/>
        </w:numPr>
        <w:spacing w:line="480" w:lineRule="auto"/>
        <w:ind w:firstLine="720"/>
        <w:rPr>
          <w:b/>
          <w:bCs/>
        </w:rPr>
      </w:pPr>
      <w:r w:rsidRPr="00040092">
        <w:t xml:space="preserve">The analyses by our models showed that both TOF and PSF offer greater overall benefit for low-intensity lesions, shorter acquisition times, and in larger patients, consistent with the findings of previous groups </w:t>
      </w:r>
      <w:r w:rsidR="009B6816" w:rsidRPr="00040092">
        <w:fldChar w:fldCharType="begin"/>
      </w:r>
      <w:r w:rsidR="00B83C7A">
        <w:instrText xml:space="preserve"> ADDIN EN.CITE &lt;EndNote&gt;&lt;Cite&gt;&lt;Author&gt;El Fakhri&lt;/Author&gt;&lt;Year&gt;2011&lt;/Year&gt;&lt;RecNum&gt;268&lt;/RecNum&gt;&lt;DisplayText&gt;(Armstrong, Williams et al. 2011; El Fakhri, Surti et al. 2011)&lt;/DisplayText&gt;&lt;record&gt;&lt;rec-number&gt;268&lt;/rec-number&gt;&lt;foreign-keys&gt;&lt;key app="EN" db-id="srwv9ppvvez5pgefxzi5ddeve5w2fe5x5esr"&gt;268&lt;/key&gt;&lt;/foreign-keys&gt;&lt;ref-type name="Journal Article"&gt;17&lt;/ref-type&gt;&lt;contributors&gt;&lt;authors&gt;&lt;author&gt;El Fakhri, G.&lt;/author&gt;&lt;author&gt;Surti, S.&lt;/author&gt;&lt;author&gt;Trott, C.M.&lt;/author&gt;&lt;author&gt;Scheuermann, J.&lt;/author&gt;&lt;author&gt;Karp, J.S.&lt;/author&gt;&lt;/authors&gt;&lt;/contributors&gt;&lt;titles&gt;&lt;title&gt;Improvement in lesion detection with whole-body oncologic time-of-flight PET&lt;/title&gt;&lt;secondary-title&gt;Journal of Nuclear Medicine&lt;/secondary-title&gt;&lt;/titles&gt;&lt;periodical&gt;&lt;full-title&gt;Journal of Nuclear Medicine&lt;/full-title&gt;&lt;/periodical&gt;&lt;pages&gt;347-353&lt;/pages&gt;&lt;volume&gt;52&lt;/volume&gt;&lt;number&gt;3&lt;/number&gt;&lt;dates&gt;&lt;year&gt;2011&lt;/year&gt;&lt;/dates&gt;&lt;isbn&gt;0161-5505&lt;/isbn&gt;&lt;urls&gt;&lt;/urls&gt;&lt;/record&gt;&lt;/Cite&gt;&lt;Cite&gt;&lt;Author&gt;Armstrong&lt;/Author&gt;&lt;Year&gt;2011&lt;/Year&gt;&lt;RecNum&gt;295&lt;/RecNum&gt;&lt;record&gt;&lt;rec-number&gt;295&lt;/rec-number&gt;&lt;foreign-keys&gt;&lt;key app="EN" db-id="srwv9ppvvez5pgefxzi5ddeve5w2fe5x5esr"&gt;295&lt;/key&gt;&lt;/foreign-keys&gt;&lt;ref-type name="Conference Proceedings"&gt;10&lt;/ref-type&gt;&lt;contributors&gt;&lt;authors&gt;&lt;author&gt;Armstrong, I.S.&lt;/author&gt;&lt;author&gt;Williams, H.A.&lt;/author&gt;&lt;author&gt;Matthews, J.C.&lt;/author&gt;&lt;/authors&gt;&lt;/contributors&gt;&lt;titles&gt;&lt;title&gt;Accuracy and variability of quantitative measurements using PET with time-of-flight information and resolution modelling&lt;/title&gt;&lt;secondary-title&gt;Nuclear Science Symposium and Medical Imaging Conference (NSS/MIC)&lt;/secondary-title&gt;&lt;/titles&gt;&lt;pages&gt;4167-4170&lt;/pages&gt;&lt;dates&gt;&lt;year&gt;2011&lt;/year&gt;&lt;/dates&gt;&lt;publisher&gt;IEEE&lt;/publisher&gt;&lt;isbn&gt;1467301183&lt;/isbn&gt;&lt;urls&gt;&lt;/urls&gt;&lt;/record&gt;&lt;/Cite&gt;&lt;/EndNote&gt;</w:instrText>
      </w:r>
      <w:r w:rsidR="009B6816" w:rsidRPr="00040092">
        <w:fldChar w:fldCharType="separate"/>
      </w:r>
      <w:r w:rsidR="00B83C7A">
        <w:rPr>
          <w:noProof/>
        </w:rPr>
        <w:t>(</w:t>
      </w:r>
      <w:hyperlink w:anchor="_ENREF_4" w:tooltip="Armstrong, 2011 #295" w:history="1">
        <w:r w:rsidR="007704DB">
          <w:rPr>
            <w:noProof/>
          </w:rPr>
          <w:t>Armstrong, Williams et al. 2011</w:t>
        </w:r>
      </w:hyperlink>
      <w:r w:rsidR="00B83C7A">
        <w:rPr>
          <w:noProof/>
        </w:rPr>
        <w:t xml:space="preserve">; </w:t>
      </w:r>
      <w:hyperlink w:anchor="_ENREF_31" w:tooltip="El Fakhri, 2011 #268" w:history="1">
        <w:r w:rsidR="007704DB">
          <w:rPr>
            <w:noProof/>
          </w:rPr>
          <w:t>El Fakhri, Surti et al. 2011</w:t>
        </w:r>
      </w:hyperlink>
      <w:r w:rsidR="00B83C7A">
        <w:rPr>
          <w:noProof/>
        </w:rPr>
        <w:t>)</w:t>
      </w:r>
      <w:r w:rsidR="009B6816" w:rsidRPr="00040092">
        <w:fldChar w:fldCharType="end"/>
      </w:r>
      <w:r w:rsidRPr="00040092">
        <w:t xml:space="preserve">  The resolution modeling of the PSF algorithm produces higher contrast values for small signals, which can increase </w:t>
      </w:r>
      <w:r w:rsidR="00777F68">
        <w:t>numerical</w:t>
      </w:r>
      <w:r w:rsidRPr="00040092">
        <w:t xml:space="preserve"> observer SNR in certain tasks, provided the algorithm has sufficiently converged; at lower iterations however, the PSF reconstruction may yield suboptimal performance.  The noise reduction across the FOV from the TOF information leads to better performance in localization tasks, for </w:t>
      </w:r>
      <w:r w:rsidRPr="00040092">
        <w:lastRenderedPageBreak/>
        <w:t>human and mathematical observers.   In every case, the reconstruction with the combination of both PSF and TOF outperformed all other reconstructions.</w:t>
      </w:r>
      <w:r w:rsidR="004849BC" w:rsidRPr="004849BC">
        <w:t xml:space="preserve"> </w:t>
      </w:r>
    </w:p>
    <w:p w:rsidR="004E4366" w:rsidRDefault="005E4C89" w:rsidP="00B90C39">
      <w:pPr>
        <w:pStyle w:val="Heading1"/>
      </w:pPr>
      <w:bookmarkStart w:id="124" w:name="_Toc351890032"/>
      <w:r w:rsidRPr="00F920F6">
        <w:t>Chapter</w:t>
      </w:r>
      <w:r>
        <w:t xml:space="preserve"> 6 </w:t>
      </w:r>
      <w:r w:rsidR="004E4366">
        <w:br/>
        <w:t>Conclusions and Future Prospects</w:t>
      </w:r>
      <w:r w:rsidR="009B6816">
        <w:fldChar w:fldCharType="begin"/>
      </w:r>
      <w:r w:rsidR="004E4366">
        <w:instrText xml:space="preserve"> MACROBUTTON RemoveChapterIncreaseMark \* MERGEFORMAT </w:instrText>
      </w:r>
      <w:r w:rsidR="009B6816">
        <w:fldChar w:fldCharType="begin"/>
      </w:r>
      <w:r w:rsidR="004E4366">
        <w:instrText xml:space="preserve"> SEQ EqnChapter \n \h \* MERGEFORMAT </w:instrText>
      </w:r>
      <w:r w:rsidR="009B6816">
        <w:fldChar w:fldCharType="end"/>
      </w:r>
      <w:r w:rsidR="009B6816">
        <w:fldChar w:fldCharType="begin"/>
      </w:r>
      <w:r w:rsidR="004E4366">
        <w:instrText xml:space="preserve"> SEQ EquationNumber \r0 \h \* MERGEFORMAT </w:instrText>
      </w:r>
      <w:r w:rsidR="009B6816">
        <w:fldChar w:fldCharType="end"/>
      </w:r>
      <w:r w:rsidR="009B6816">
        <w:fldChar w:fldCharType="begin"/>
      </w:r>
      <w:r w:rsidR="004E4366">
        <w:instrText xml:space="preserve"> SEQ TheoremNumber \r0 \h \* MERGEFORMAT </w:instrText>
      </w:r>
      <w:r w:rsidR="009B6816">
        <w:fldChar w:fldCharType="end"/>
      </w:r>
      <w:r w:rsidR="004E4366" w:rsidRPr="003B3D6F">
        <w:rPr>
          <w:vanish/>
        </w:rPr>
        <w:sym w:font="Wingdings" w:char="F0F6"/>
      </w:r>
      <w:r w:rsidR="009B6816">
        <w:fldChar w:fldCharType="end"/>
      </w:r>
      <w:bookmarkEnd w:id="124"/>
    </w:p>
    <w:p w:rsidR="004E4366" w:rsidRDefault="00927A2A" w:rsidP="00927A2A">
      <w:pPr>
        <w:pStyle w:val="Heading2"/>
      </w:pPr>
      <w:bookmarkStart w:id="125" w:name="_Toc351890033"/>
      <w:r>
        <w:t xml:space="preserve">Summary of </w:t>
      </w:r>
      <w:r w:rsidR="00196186">
        <w:t>Dissertation</w:t>
      </w:r>
      <w:bookmarkEnd w:id="125"/>
      <w:r w:rsidR="004E4366" w:rsidRPr="00854EE9">
        <w:t xml:space="preserve"> </w:t>
      </w:r>
    </w:p>
    <w:p w:rsidR="009C36BF" w:rsidRDefault="00E1221A" w:rsidP="00927A2A">
      <w:pPr>
        <w:numPr>
          <w:ilvl w:val="12"/>
          <w:numId w:val="0"/>
        </w:numPr>
        <w:spacing w:line="480" w:lineRule="auto"/>
        <w:ind w:firstLine="720"/>
      </w:pPr>
      <w:r>
        <w:t xml:space="preserve">The aim of this </w:t>
      </w:r>
      <w:r w:rsidR="00196186">
        <w:t>dissertation</w:t>
      </w:r>
      <w:r>
        <w:t xml:space="preserve"> was to evaluate the effect of recent PET reconstruction techniques on i</w:t>
      </w:r>
      <w:r w:rsidR="00744206">
        <w:t xml:space="preserve">mage quality, in the context of a </w:t>
      </w:r>
      <w:r w:rsidR="00725411">
        <w:t>defined</w:t>
      </w:r>
      <w:r w:rsidR="00744206">
        <w:t xml:space="preserve"> clinical task</w:t>
      </w:r>
      <w:r w:rsidR="001134DD">
        <w:t>.  This work</w:t>
      </w:r>
      <w:r w:rsidR="006A5B1F">
        <w:t xml:space="preserve"> has combined physics investigations with curre</w:t>
      </w:r>
      <w:r w:rsidR="00754697">
        <w:t xml:space="preserve">nt PET technology and </w:t>
      </w:r>
      <w:r w:rsidR="00B438D0">
        <w:t>clinical application</w:t>
      </w:r>
      <w:r w:rsidR="00754697">
        <w:t>.  Several techniques were used to accomplish the goals of this research.  These included:</w:t>
      </w:r>
      <w:r w:rsidR="003F59C5">
        <w:t xml:space="preserve"> </w:t>
      </w:r>
      <w:r w:rsidR="00725411">
        <w:t>p</w:t>
      </w:r>
      <w:r w:rsidR="00754697">
        <w:t>hantom experiments</w:t>
      </w:r>
      <w:r w:rsidR="00D90D30">
        <w:t xml:space="preserve">, resampling of </w:t>
      </w:r>
      <w:r w:rsidR="00BC6FFB">
        <w:t>list-mode</w:t>
      </w:r>
      <w:r w:rsidR="00D90D30">
        <w:t xml:space="preserve"> data, </w:t>
      </w:r>
      <w:r w:rsidR="00725411">
        <w:t xml:space="preserve">sinogram manipulation, </w:t>
      </w:r>
      <w:r w:rsidR="004F4C00">
        <w:t>analysis</w:t>
      </w:r>
      <w:r w:rsidR="00725411">
        <w:t xml:space="preserve"> of PET image </w:t>
      </w:r>
      <w:r w:rsidR="004F4C00">
        <w:t>variance</w:t>
      </w:r>
      <w:r w:rsidR="00725411">
        <w:t xml:space="preserve">, </w:t>
      </w:r>
      <w:r w:rsidR="003F59C5">
        <w:t xml:space="preserve">image filtering and Fourier processing, </w:t>
      </w:r>
      <w:r w:rsidR="004F4C00">
        <w:t>probability function modeling</w:t>
      </w:r>
      <w:r w:rsidR="00812161">
        <w:t>,</w:t>
      </w:r>
      <w:r w:rsidR="003F59C5">
        <w:t xml:space="preserve"> and</w:t>
      </w:r>
      <w:r w:rsidR="00812161">
        <w:t xml:space="preserve"> linear discriminant analysis</w:t>
      </w:r>
      <w:r w:rsidR="003F59C5">
        <w:t>.</w:t>
      </w:r>
      <w:r w:rsidR="00D53990">
        <w:t xml:space="preserve">  </w:t>
      </w:r>
      <w:r w:rsidR="004204F9">
        <w:t>Th</w:t>
      </w:r>
      <w:r w:rsidR="009C36BF">
        <w:t xml:space="preserve">is study </w:t>
      </w:r>
      <w:r w:rsidR="00812161">
        <w:t xml:space="preserve">required </w:t>
      </w:r>
      <w:r w:rsidR="00A40E57">
        <w:t>extensive</w:t>
      </w:r>
      <w:r w:rsidR="00E913CB">
        <w:t xml:space="preserve"> </w:t>
      </w:r>
      <w:r w:rsidR="009C36BF">
        <w:t>computational development</w:t>
      </w:r>
      <w:r w:rsidR="00D53990">
        <w:t xml:space="preserve"> of several tools</w:t>
      </w:r>
      <w:r w:rsidR="00C81953">
        <w:t xml:space="preserve">, necessary </w:t>
      </w:r>
      <w:r w:rsidR="009C36BF">
        <w:t xml:space="preserve">to frame </w:t>
      </w:r>
      <w:r w:rsidR="00D53990">
        <w:t>it</w:t>
      </w:r>
      <w:r w:rsidR="009C36BF">
        <w:t xml:space="preserve"> as a signal detection </w:t>
      </w:r>
      <w:r w:rsidR="00D44E8A">
        <w:t>experiment</w:t>
      </w:r>
      <w:r w:rsidR="009C36BF">
        <w:t>, applied to a realistic problem.</w:t>
      </w:r>
      <w:r w:rsidR="00D53990">
        <w:t xml:space="preserve">  These </w:t>
      </w:r>
      <w:r w:rsidR="009C36BF">
        <w:t xml:space="preserve">included: </w:t>
      </w:r>
      <w:r w:rsidR="00CB28F7">
        <w:t xml:space="preserve">scripts to reconstruct thousands of images with adaptive parameters, </w:t>
      </w:r>
      <w:r w:rsidR="009C36BF">
        <w:t xml:space="preserve">the image viewing platform for the physicians, </w:t>
      </w:r>
      <w:r w:rsidR="006126DC">
        <w:t xml:space="preserve">various </w:t>
      </w:r>
      <w:r w:rsidR="009C36BF">
        <w:t>numerical observer models, and the automated</w:t>
      </w:r>
      <w:r w:rsidR="00DF2CA5">
        <w:t xml:space="preserve"> quantification of</w:t>
      </w:r>
      <w:r w:rsidR="009C36BF">
        <w:t xml:space="preserve"> </w:t>
      </w:r>
      <w:r w:rsidR="008E1863">
        <w:t xml:space="preserve">performance in </w:t>
      </w:r>
      <w:r w:rsidR="009C36BF">
        <w:t>detection and localization</w:t>
      </w:r>
      <w:r w:rsidR="00DF2CA5">
        <w:t xml:space="preserve"> </w:t>
      </w:r>
      <w:r w:rsidR="008E1863">
        <w:t>tasks</w:t>
      </w:r>
      <w:r w:rsidR="009C36BF">
        <w:t>.</w:t>
      </w:r>
      <w:r w:rsidR="00D53990">
        <w:t xml:space="preserve">  These tools were developed in various </w:t>
      </w:r>
      <w:r w:rsidR="00B125FD">
        <w:t>languages</w:t>
      </w:r>
      <w:r w:rsidR="00D53990">
        <w:t xml:space="preserve"> including </w:t>
      </w:r>
      <w:r w:rsidR="009C36BF">
        <w:t>C, IDL, and MATLAB</w:t>
      </w:r>
      <w:r w:rsidR="00D53990">
        <w:t xml:space="preserve">.  </w:t>
      </w:r>
    </w:p>
    <w:p w:rsidR="0091223E" w:rsidRDefault="0091223E" w:rsidP="00927A2A">
      <w:pPr>
        <w:numPr>
          <w:ilvl w:val="12"/>
          <w:numId w:val="0"/>
        </w:numPr>
        <w:spacing w:line="480" w:lineRule="auto"/>
        <w:ind w:firstLine="720"/>
      </w:pPr>
      <w:r>
        <w:t xml:space="preserve">The </w:t>
      </w:r>
      <w:r w:rsidR="00196186">
        <w:t>dissertation</w:t>
      </w:r>
      <w:r>
        <w:t xml:space="preserve"> began with an introduction to PET, including</w:t>
      </w:r>
      <w:r w:rsidR="00F05B0B">
        <w:t xml:space="preserve"> its origin and its evolution </w:t>
      </w:r>
      <w:r w:rsidR="00B03315">
        <w:t xml:space="preserve">as a </w:t>
      </w:r>
      <w:r w:rsidR="00F05B0B">
        <w:t xml:space="preserve">clinical </w:t>
      </w:r>
      <w:r w:rsidR="00B03315">
        <w:t>tool</w:t>
      </w:r>
      <w:r w:rsidR="00F05B0B">
        <w:t xml:space="preserve">.  </w:t>
      </w:r>
      <w:r w:rsidR="003C2512">
        <w:t xml:space="preserve">The underlying physics of </w:t>
      </w:r>
      <w:r w:rsidR="000C4171">
        <w:t>the</w:t>
      </w:r>
      <w:r w:rsidR="003C2512">
        <w:t xml:space="preserve"> modality</w:t>
      </w:r>
      <w:r w:rsidR="000175DC">
        <w:t xml:space="preserve"> followed</w:t>
      </w:r>
      <w:r w:rsidR="003C2512">
        <w:t xml:space="preserve"> in Chapter 2</w:t>
      </w:r>
      <w:r w:rsidR="000175DC">
        <w:t>, including the statistical corrections necessary to accurately quantize PET images</w:t>
      </w:r>
      <w:r w:rsidR="003C2512">
        <w:t xml:space="preserve">.  The two reconstruction techniques investigated in this work, time-of-flight and point spread </w:t>
      </w:r>
      <w:r w:rsidR="003C2512">
        <w:lastRenderedPageBreak/>
        <w:t>function modeling, were introduced at the end of th</w:t>
      </w:r>
      <w:r w:rsidR="00B20463">
        <w:t>e</w:t>
      </w:r>
      <w:r w:rsidR="003C2512">
        <w:t xml:space="preserve"> chapter.  </w:t>
      </w:r>
      <w:r w:rsidR="00AF172E">
        <w:t xml:space="preserve">These algorithms were evaluated </w:t>
      </w:r>
      <w:r w:rsidR="00E56A4A">
        <w:t>by various observers in a signal detection task, and</w:t>
      </w:r>
      <w:r w:rsidR="00AF172E">
        <w:t xml:space="preserve"> </w:t>
      </w:r>
      <w:r w:rsidR="00E56E29">
        <w:t>C</w:t>
      </w:r>
      <w:r w:rsidR="00AF172E">
        <w:t xml:space="preserve">hapter 3 </w:t>
      </w:r>
      <w:r w:rsidR="00E56A4A">
        <w:t>covered</w:t>
      </w:r>
      <w:r w:rsidR="00AF172E">
        <w:t xml:space="preserve"> the basis of signal detection theory.  The receiver operating characteristic </w:t>
      </w:r>
      <w:r w:rsidR="00E56A4A">
        <w:t xml:space="preserve">and localization receiver operating characteristic methodologies, used to quantify observer performance, were discussed in this chapter, along with their foundations in </w:t>
      </w:r>
      <w:r w:rsidR="00BD1618">
        <w:t>the model of</w:t>
      </w:r>
      <w:r w:rsidR="00E7235A">
        <w:t xml:space="preserve"> the </w:t>
      </w:r>
      <w:r w:rsidR="00E56A4A">
        <w:t xml:space="preserve">psychophysical </w:t>
      </w:r>
      <w:r w:rsidR="00E7235A">
        <w:t>response of an observer</w:t>
      </w:r>
      <w:r w:rsidR="00E56E29">
        <w:t xml:space="preserve">.  </w:t>
      </w:r>
      <w:r w:rsidR="00B5404B">
        <w:t>The chapter concluded with an explanation of th</w:t>
      </w:r>
      <w:r w:rsidR="00196BAF">
        <w:t xml:space="preserve">e maximum likelihood </w:t>
      </w:r>
      <w:r w:rsidR="00A37B75">
        <w:t>algorithm used to estimate density functions from the observer data</w:t>
      </w:r>
      <w:r w:rsidR="00BA03BE">
        <w:t>.  Chapter 4 continued by discuss</w:t>
      </w:r>
      <w:r w:rsidR="00262645">
        <w:t xml:space="preserve">ing </w:t>
      </w:r>
      <w:r w:rsidR="00694885">
        <w:t xml:space="preserve">linear </w:t>
      </w:r>
      <w:r w:rsidR="002F66F0">
        <w:t>mathematical</w:t>
      </w:r>
      <w:r w:rsidR="00262645">
        <w:t xml:space="preserve"> observer models and their </w:t>
      </w:r>
      <w:r w:rsidR="00772C8B">
        <w:t>performance relative</w:t>
      </w:r>
      <w:r w:rsidR="00262645">
        <w:t xml:space="preserve"> to human observers.</w:t>
      </w:r>
      <w:r w:rsidR="002F66F0">
        <w:t xml:space="preserve">  Two </w:t>
      </w:r>
      <w:r w:rsidR="001042BC">
        <w:t xml:space="preserve">numerical </w:t>
      </w:r>
      <w:r w:rsidR="002F66F0">
        <w:t xml:space="preserve">schemas were used in this work, non-prewhitening and Hotelling.  NPW used only the </w:t>
      </w:r>
      <w:r w:rsidR="00BA0F74">
        <w:t>first-order moments</w:t>
      </w:r>
      <w:r w:rsidR="002F66F0">
        <w:t xml:space="preserve"> of the observer statistics to define the linear discriminant while the Hotelling </w:t>
      </w:r>
      <w:r w:rsidR="007B315B">
        <w:t xml:space="preserve">also </w:t>
      </w:r>
      <w:r w:rsidR="002F66F0">
        <w:t>took into account the second-order properties o</w:t>
      </w:r>
      <w:r w:rsidR="00A40E57">
        <w:t>f the statistical distributions.  Channelized filters</w:t>
      </w:r>
      <w:r w:rsidR="008545B0">
        <w:t>,</w:t>
      </w:r>
      <w:r w:rsidR="00A40E57">
        <w:t xml:space="preserve"> used to extract the important signal information from the image</w:t>
      </w:r>
      <w:r w:rsidR="003936B9">
        <w:t>s</w:t>
      </w:r>
      <w:r w:rsidR="008545B0">
        <w:t>,</w:t>
      </w:r>
      <w:r w:rsidR="003936B9">
        <w:t xml:space="preserve"> were reviewed at the end of th</w:t>
      </w:r>
      <w:r w:rsidR="00B20463">
        <w:t>e</w:t>
      </w:r>
      <w:r w:rsidR="003936B9">
        <w:t xml:space="preserve"> chapter.</w:t>
      </w:r>
    </w:p>
    <w:p w:rsidR="00FC6DE9" w:rsidRDefault="003E6BFA" w:rsidP="00FC6DE9">
      <w:pPr>
        <w:numPr>
          <w:ilvl w:val="12"/>
          <w:numId w:val="0"/>
        </w:numPr>
        <w:spacing w:line="480" w:lineRule="auto"/>
        <w:ind w:firstLine="720"/>
      </w:pPr>
      <w:r>
        <w:t xml:space="preserve">The main topic and description of the </w:t>
      </w:r>
      <w:r w:rsidR="00196186">
        <w:t>dissertation</w:t>
      </w:r>
      <w:r w:rsidR="00777F8D">
        <w:t xml:space="preserve"> work</w:t>
      </w:r>
      <w:r>
        <w:t xml:space="preserve"> </w:t>
      </w:r>
      <w:r w:rsidR="00A13FE8">
        <w:t>was covered</w:t>
      </w:r>
      <w:r w:rsidR="00B04911">
        <w:t xml:space="preserve"> in</w:t>
      </w:r>
      <w:r>
        <w:t xml:space="preserve"> Chapter 5</w:t>
      </w:r>
      <w:r w:rsidR="008545B0">
        <w:t xml:space="preserve">: </w:t>
      </w:r>
      <w:r w:rsidR="002C21EA">
        <w:t>a</w:t>
      </w:r>
      <w:r w:rsidR="008545B0">
        <w:t xml:space="preserve"> </w:t>
      </w:r>
      <w:r w:rsidR="002C21EA">
        <w:t xml:space="preserve">rigorous </w:t>
      </w:r>
      <w:r w:rsidR="00A13FE8">
        <w:t>investigation</w:t>
      </w:r>
      <w:r w:rsidR="008545B0">
        <w:t xml:space="preserve"> of lesion detection</w:t>
      </w:r>
      <w:r w:rsidR="00293AB8">
        <w:t xml:space="preserve"> and localization</w:t>
      </w:r>
      <w:r w:rsidR="008545B0">
        <w:t xml:space="preserve"> performance of PSF and TOF reconstructions in </w:t>
      </w:r>
      <w:r w:rsidR="001350A2">
        <w:t xml:space="preserve">clinical </w:t>
      </w:r>
      <w:r w:rsidR="008545B0">
        <w:t>PET</w:t>
      </w:r>
      <w:r>
        <w:t>.  Th</w:t>
      </w:r>
      <w:r w:rsidR="0007521B">
        <w:t>e</w:t>
      </w:r>
      <w:r>
        <w:t xml:space="preserve"> chapter </w:t>
      </w:r>
      <w:r w:rsidR="00777F8D">
        <w:t>addressed</w:t>
      </w:r>
      <w:r>
        <w:t xml:space="preserve"> previo</w:t>
      </w:r>
      <w:r w:rsidR="00402701">
        <w:t>us work in the field and</w:t>
      </w:r>
      <w:r w:rsidR="00A13FE8">
        <w:t xml:space="preserve"> noted the lack of quantified clinical evaluation, giving</w:t>
      </w:r>
      <w:r w:rsidR="008545B0">
        <w:t xml:space="preserve"> the motivation for the</w:t>
      </w:r>
      <w:r w:rsidR="00A13FE8">
        <w:t xml:space="preserve"> current</w:t>
      </w:r>
      <w:r w:rsidR="008545B0">
        <w:t xml:space="preserve"> </w:t>
      </w:r>
      <w:r w:rsidR="00A13FE8">
        <w:t>study.</w:t>
      </w:r>
      <w:r w:rsidR="00663910">
        <w:t xml:space="preserve">  </w:t>
      </w:r>
      <w:r w:rsidR="00E37088">
        <w:t xml:space="preserve">Phantom scans </w:t>
      </w:r>
      <w:r w:rsidR="00AF4CBB">
        <w:t>and</w:t>
      </w:r>
      <w:r w:rsidR="00E37088">
        <w:t xml:space="preserve"> clinical PET data</w:t>
      </w:r>
      <w:r w:rsidR="00AF4CBB">
        <w:t xml:space="preserve"> were used to</w:t>
      </w:r>
      <w:r w:rsidR="0064140E">
        <w:t xml:space="preserve"> simulate small, focal disease in otherwise normal images.  </w:t>
      </w:r>
      <w:r w:rsidR="009D0DEB">
        <w:t>Four i</w:t>
      </w:r>
      <w:r w:rsidR="0064140E">
        <w:t>terative reconstruction</w:t>
      </w:r>
      <w:r w:rsidR="001B67B7">
        <w:t>s</w:t>
      </w:r>
      <w:r w:rsidR="0064140E">
        <w:t xml:space="preserve"> </w:t>
      </w:r>
      <w:r w:rsidR="009D0DEB">
        <w:t>were</w:t>
      </w:r>
      <w:r w:rsidR="0064140E">
        <w:t xml:space="preserve"> used</w:t>
      </w:r>
      <w:r w:rsidR="009D0DEB">
        <w:t>,</w:t>
      </w:r>
      <w:r w:rsidR="0064140E">
        <w:t xml:space="preserve"> and </w:t>
      </w:r>
      <w:r w:rsidR="009D0DEB">
        <w:t xml:space="preserve">each </w:t>
      </w:r>
      <w:r w:rsidR="001B67B7">
        <w:t xml:space="preserve">scheme </w:t>
      </w:r>
      <w:r w:rsidR="009D0DEB">
        <w:t xml:space="preserve">was </w:t>
      </w:r>
      <w:r w:rsidR="0064140E">
        <w:t xml:space="preserve">optimized based on </w:t>
      </w:r>
      <w:r w:rsidR="00586AF5">
        <w:t>numerical</w:t>
      </w:r>
      <w:r w:rsidR="00EF1C1F">
        <w:t xml:space="preserve"> </w:t>
      </w:r>
      <w:r w:rsidR="0064140E">
        <w:t>observer SNR.</w:t>
      </w:r>
      <w:r w:rsidR="009D0DEB">
        <w:t xml:space="preserve">  </w:t>
      </w:r>
      <w:r w:rsidR="00153475">
        <w:t>Images reconstructed by these parameters were presented to several certified physicians</w:t>
      </w:r>
      <w:r w:rsidR="003E4545">
        <w:t>, and their performance</w:t>
      </w:r>
      <w:r w:rsidR="00506BED">
        <w:t>s</w:t>
      </w:r>
      <w:r w:rsidR="003E4545">
        <w:t xml:space="preserve"> </w:t>
      </w:r>
      <w:r w:rsidR="00506BED">
        <w:t>were</w:t>
      </w:r>
      <w:r w:rsidR="00FD0064">
        <w:t xml:space="preserve"> quantified by </w:t>
      </w:r>
      <w:r w:rsidR="00FD0064">
        <w:lastRenderedPageBreak/>
        <w:t xml:space="preserve">ROC and LROC analyses.  </w:t>
      </w:r>
      <w:r w:rsidR="00A31B50">
        <w:t>Several</w:t>
      </w:r>
      <w:r w:rsidR="004E6737">
        <w:t xml:space="preserve"> numerical observers were subjected to the same localization task</w:t>
      </w:r>
      <w:r w:rsidR="00F229CB">
        <w:t>,</w:t>
      </w:r>
      <w:r w:rsidR="004E6737">
        <w:t xml:space="preserve"> and these results were compared to those of the human observers.</w:t>
      </w:r>
    </w:p>
    <w:p w:rsidR="004E4366" w:rsidRDefault="00637684" w:rsidP="008B6DBB">
      <w:pPr>
        <w:numPr>
          <w:ilvl w:val="12"/>
          <w:numId w:val="0"/>
        </w:numPr>
        <w:spacing w:line="480" w:lineRule="auto"/>
        <w:ind w:firstLine="720"/>
      </w:pPr>
      <w:r>
        <w:t xml:space="preserve">This </w:t>
      </w:r>
      <w:r w:rsidR="00927A2A">
        <w:t xml:space="preserve">work is the </w:t>
      </w:r>
      <w:r>
        <w:t>first</w:t>
      </w:r>
      <w:r w:rsidR="00663910">
        <w:t xml:space="preserve"> study</w:t>
      </w:r>
      <w:r w:rsidR="00927A2A">
        <w:t xml:space="preserve"> to evaluate PSF and TOF</w:t>
      </w:r>
      <w:r w:rsidR="00927A2A" w:rsidRPr="00A91BBC">
        <w:t xml:space="preserve"> </w:t>
      </w:r>
      <w:r w:rsidR="00927A2A">
        <w:t xml:space="preserve">in a simulated clinical task, while comparing the performance of experienced nuclear medicine physicians to that of an array of numerical observer models.  </w:t>
      </w:r>
      <w:r w:rsidR="00FC6DE9">
        <w:t xml:space="preserve">The </w:t>
      </w:r>
      <w:r w:rsidR="00857731">
        <w:t>investigations</w:t>
      </w:r>
      <w:r w:rsidR="00FC6DE9">
        <w:t xml:space="preserve"> presented here </w:t>
      </w:r>
      <w:r w:rsidR="00857731">
        <w:t>were</w:t>
      </w:r>
      <w:r w:rsidR="00FC6DE9">
        <w:t xml:space="preserve"> </w:t>
      </w:r>
      <w:r w:rsidR="00857731">
        <w:t>conducted</w:t>
      </w:r>
      <w:r w:rsidR="00FC6DE9">
        <w:t xml:space="preserve"> </w:t>
      </w:r>
      <w:r w:rsidR="00BE59CF">
        <w:t>independently;</w:t>
      </w:r>
      <w:r w:rsidR="00FC6DE9">
        <w:t xml:space="preserve"> </w:t>
      </w:r>
      <w:r w:rsidR="00523BCD">
        <w:t>and</w:t>
      </w:r>
      <w:r w:rsidR="00A009A1">
        <w:t xml:space="preserve"> many of</w:t>
      </w:r>
      <w:r w:rsidR="00FC6DE9">
        <w:t xml:space="preserve"> the results show strong agreement with</w:t>
      </w:r>
      <w:r w:rsidR="00BE59CF">
        <w:t xml:space="preserve"> those of</w:t>
      </w:r>
      <w:r w:rsidR="00FC6DE9">
        <w:t xml:space="preserve"> </w:t>
      </w:r>
      <w:r w:rsidR="005902C2">
        <w:t>related</w:t>
      </w:r>
      <w:r w:rsidR="00074588">
        <w:t xml:space="preserve"> works</w:t>
      </w:r>
      <w:r w:rsidR="00FC6DE9">
        <w:t xml:space="preserve"> </w:t>
      </w:r>
      <w:r w:rsidR="00BE59CF">
        <w:t>by</w:t>
      </w:r>
      <w:r w:rsidR="00FC6DE9">
        <w:t xml:space="preserve"> other groups.  The analyses show a </w:t>
      </w:r>
      <w:r w:rsidR="009864EA">
        <w:t>large</w:t>
      </w:r>
      <w:r w:rsidR="00FC6DE9">
        <w:t xml:space="preserve"> benefit for lesion detection and localization when using the combination of TOF and PSF simultaneously.</w:t>
      </w:r>
    </w:p>
    <w:p w:rsidR="00766638" w:rsidRDefault="00E37088" w:rsidP="00766638">
      <w:pPr>
        <w:pStyle w:val="Heading2"/>
      </w:pPr>
      <w:bookmarkStart w:id="126" w:name="_Toc351890034"/>
      <w:r>
        <w:t>Research Contributions</w:t>
      </w:r>
      <w:bookmarkEnd w:id="126"/>
    </w:p>
    <w:p w:rsidR="00E37088" w:rsidRDefault="00181F7A" w:rsidP="00766638">
      <w:pPr>
        <w:numPr>
          <w:ilvl w:val="12"/>
          <w:numId w:val="0"/>
        </w:numPr>
        <w:spacing w:line="480" w:lineRule="auto"/>
        <w:ind w:firstLine="720"/>
      </w:pPr>
      <w:r>
        <w:t>Modern clinical tools are able to assist doctors like never before; t</w:t>
      </w:r>
      <w:r w:rsidR="00514354">
        <w:t>he evolution of PET image reconstruction, from the early analytic methods to the recent algorithms covered here, is indicative of the overall progress in the molecular imaging field</w:t>
      </w:r>
      <w:r w:rsidR="0084176B">
        <w:t xml:space="preserve">.  </w:t>
      </w:r>
      <w:r w:rsidR="00CD75CD">
        <w:t>O</w:t>
      </w:r>
      <w:r w:rsidR="00F55F65">
        <w:t xml:space="preserve">ngoing translational work is </w:t>
      </w:r>
      <w:r w:rsidR="00A53970">
        <w:t>necessary</w:t>
      </w:r>
      <w:r w:rsidR="00F55F65">
        <w:t xml:space="preserve"> to evaluate the benefits and limitations of new developments in th</w:t>
      </w:r>
      <w:r w:rsidR="00CD75CD">
        <w:t>e medical setting</w:t>
      </w:r>
      <w:r w:rsidR="00AF5856">
        <w:t>, in this case TOF and PSF</w:t>
      </w:r>
      <w:r w:rsidR="00F55F65">
        <w:t xml:space="preserve">.  </w:t>
      </w:r>
      <w:r w:rsidR="00CD75CD">
        <w:t>T</w:t>
      </w:r>
      <w:r w:rsidR="00AF5856">
        <w:t xml:space="preserve">hese </w:t>
      </w:r>
      <w:r w:rsidR="00CD75CD">
        <w:t xml:space="preserve">reconstructions are relatively new and not routinely used in </w:t>
      </w:r>
      <w:r w:rsidR="00D76834">
        <w:t>most</w:t>
      </w:r>
      <w:r w:rsidR="00CD75CD">
        <w:t xml:space="preserve"> clinical institutions.  </w:t>
      </w:r>
      <w:r w:rsidR="00D76834">
        <w:t xml:space="preserve">This work </w:t>
      </w:r>
      <w:r w:rsidR="00E6593E">
        <w:t>analyze</w:t>
      </w:r>
      <w:r w:rsidR="00866FB5">
        <w:t>d the image quality of these techniques in the context of the physician</w:t>
      </w:r>
      <w:r w:rsidR="00E6593E">
        <w:t>’</w:t>
      </w:r>
      <w:r w:rsidR="00866FB5">
        <w:t>s ability to differentiate diseased from normal tissue.  The results presented here suggest</w:t>
      </w:r>
      <w:r w:rsidR="009864EA">
        <w:t xml:space="preserve"> that patient management can be significantly improved</w:t>
      </w:r>
      <w:r w:rsidR="000E7408">
        <w:t>,</w:t>
      </w:r>
      <w:r w:rsidR="009864EA">
        <w:t xml:space="preserve"> </w:t>
      </w:r>
      <w:r w:rsidR="00AF5856">
        <w:t xml:space="preserve">and </w:t>
      </w:r>
      <w:r w:rsidR="0084176B">
        <w:t>these data</w:t>
      </w:r>
      <w:r w:rsidR="005B1979">
        <w:t xml:space="preserve"> may</w:t>
      </w:r>
      <w:r w:rsidR="0084176B">
        <w:t xml:space="preserve"> </w:t>
      </w:r>
      <w:r w:rsidR="000E7408">
        <w:t>help</w:t>
      </w:r>
      <w:r w:rsidR="009864EA">
        <w:t xml:space="preserve"> </w:t>
      </w:r>
      <w:r w:rsidR="00B5229E">
        <w:t>support change</w:t>
      </w:r>
      <w:r w:rsidR="00F80630">
        <w:t>s</w:t>
      </w:r>
      <w:r w:rsidR="00B5229E">
        <w:t xml:space="preserve"> to </w:t>
      </w:r>
      <w:r w:rsidR="009864EA">
        <w:t xml:space="preserve">current </w:t>
      </w:r>
      <w:r w:rsidR="00AF3AD9">
        <w:t>imag</w:t>
      </w:r>
      <w:r w:rsidR="006250D7">
        <w:t>e processing</w:t>
      </w:r>
      <w:r w:rsidR="008B775E">
        <w:t xml:space="preserve"> proc</w:t>
      </w:r>
      <w:r w:rsidR="009864EA">
        <w:t>edures</w:t>
      </w:r>
      <w:r w:rsidR="00B5229E">
        <w:t xml:space="preserve">. </w:t>
      </w:r>
      <w:r w:rsidR="00D76834">
        <w:t xml:space="preserve">  </w:t>
      </w:r>
    </w:p>
    <w:p w:rsidR="008124EC" w:rsidRDefault="00CB5D09" w:rsidP="002817EB">
      <w:pPr>
        <w:numPr>
          <w:ilvl w:val="12"/>
          <w:numId w:val="0"/>
        </w:numPr>
        <w:spacing w:line="480" w:lineRule="auto"/>
        <w:ind w:firstLine="720"/>
      </w:pPr>
      <w:r>
        <w:t xml:space="preserve">At the core of this study lies a signal detection experiment.  </w:t>
      </w:r>
      <w:r w:rsidR="00B54773">
        <w:t xml:space="preserve">In this respect, the value of this research is twofold: to evaluate the performance of experienced human observers, and to cross-validate these </w:t>
      </w:r>
      <w:r w:rsidR="00D231A1">
        <w:t>findings</w:t>
      </w:r>
      <w:r w:rsidR="008124EC">
        <w:t xml:space="preserve"> with</w:t>
      </w:r>
      <w:r w:rsidR="00D231A1">
        <w:t xml:space="preserve"> those from</w:t>
      </w:r>
      <w:r w:rsidR="008124EC">
        <w:t xml:space="preserve"> various numerical models.  </w:t>
      </w:r>
      <w:r w:rsidR="008124EC">
        <w:lastRenderedPageBreak/>
        <w:t xml:space="preserve">It is difficult to </w:t>
      </w:r>
      <w:r w:rsidR="00E528F7">
        <w:t>reduce</w:t>
      </w:r>
      <w:r w:rsidR="00FD13FE">
        <w:t xml:space="preserve"> </w:t>
      </w:r>
      <w:r w:rsidR="008124EC">
        <w:t xml:space="preserve">the human observers’ response to stimuli </w:t>
      </w:r>
      <w:r w:rsidR="00E528F7">
        <w:t>to</w:t>
      </w:r>
      <w:r w:rsidR="008124EC">
        <w:t xml:space="preserve"> a single metric</w:t>
      </w:r>
      <w:r w:rsidR="00407104">
        <w:t>,</w:t>
      </w:r>
      <w:r w:rsidR="008124EC">
        <w:t xml:space="preserve"> such as </w:t>
      </w:r>
      <w:r w:rsidR="00407104">
        <w:t>observer</w:t>
      </w:r>
      <w:r w:rsidR="008124EC">
        <w:t xml:space="preserve"> SNR.  However, with the proper constraints, this process can be effectively surveyed, characterized, and modeled.  </w:t>
      </w:r>
      <w:r w:rsidR="00076470">
        <w:t>In the medical setting</w:t>
      </w:r>
      <w:r w:rsidR="005E20BE">
        <w:t>,</w:t>
      </w:r>
      <w:r w:rsidR="00076470">
        <w:t xml:space="preserve"> c</w:t>
      </w:r>
      <w:r w:rsidR="008124EC">
        <w:t>omputer observers are designed to predict human performance</w:t>
      </w:r>
      <w:r w:rsidR="00076470">
        <w:t xml:space="preserve"> when large amounts of data </w:t>
      </w:r>
      <w:r w:rsidR="00411AFB">
        <w:t>need</w:t>
      </w:r>
      <w:r w:rsidR="00076470">
        <w:t xml:space="preserve"> to be processed.  </w:t>
      </w:r>
      <w:r w:rsidR="001709A7">
        <w:t xml:space="preserve">These </w:t>
      </w:r>
      <w:r w:rsidR="0080632C">
        <w:t>numerical models</w:t>
      </w:r>
      <w:r w:rsidR="001709A7">
        <w:t xml:space="preserve"> are generally divided into 2 classes, based on the presumed ability</w:t>
      </w:r>
      <w:r w:rsidR="00965285">
        <w:t xml:space="preserve"> (or inability)</w:t>
      </w:r>
      <w:r w:rsidR="00055C4A">
        <w:t xml:space="preserve"> of the</w:t>
      </w:r>
      <w:r w:rsidR="001709A7">
        <w:t xml:space="preserve"> human observer to </w:t>
      </w:r>
      <w:r w:rsidR="00CB0DF2">
        <w:t xml:space="preserve">whiten </w:t>
      </w:r>
      <w:r w:rsidR="001709A7">
        <w:t>correlate</w:t>
      </w:r>
      <w:r w:rsidR="00CB0DF2">
        <w:t>d</w:t>
      </w:r>
      <w:r w:rsidR="001709A7">
        <w:t xml:space="preserve"> noise within the test</w:t>
      </w:r>
      <w:r w:rsidR="00965285">
        <w:t xml:space="preserve"> </w:t>
      </w:r>
      <w:r w:rsidR="00CB3D0A">
        <w:t>images</w:t>
      </w:r>
      <w:r w:rsidR="00055C4A">
        <w:t xml:space="preserve">.  </w:t>
      </w:r>
      <w:r w:rsidR="00037AE4">
        <w:t>Usually</w:t>
      </w:r>
      <w:r w:rsidR="00AA0E9D">
        <w:t>, a</w:t>
      </w:r>
      <w:r w:rsidR="000A1151">
        <w:t xml:space="preserve"> </w:t>
      </w:r>
      <w:r w:rsidR="00AA0E9D">
        <w:t>study</w:t>
      </w:r>
      <w:r w:rsidR="000A1151">
        <w:t xml:space="preserve"> will </w:t>
      </w:r>
      <w:r w:rsidR="006252BD">
        <w:t>implement</w:t>
      </w:r>
      <w:r w:rsidR="000A1151">
        <w:t xml:space="preserve"> one type for all analyses</w:t>
      </w:r>
      <w:r w:rsidR="00037AE4">
        <w:t xml:space="preserve">; the </w:t>
      </w:r>
      <w:r w:rsidR="0036539F">
        <w:t>current study</w:t>
      </w:r>
      <w:r w:rsidR="0066251B">
        <w:t xml:space="preserve"> </w:t>
      </w:r>
      <w:r w:rsidR="00B92804">
        <w:t>investigated</w:t>
      </w:r>
      <w:r w:rsidR="005B6858">
        <w:t xml:space="preserve"> </w:t>
      </w:r>
      <w:r w:rsidR="000A1151">
        <w:t xml:space="preserve">both, using </w:t>
      </w:r>
      <w:r w:rsidR="009F312D">
        <w:t>several</w:t>
      </w:r>
      <w:r w:rsidR="000A1151">
        <w:t xml:space="preserve"> configurat</w:t>
      </w:r>
      <w:r w:rsidR="008C647F">
        <w:t>ions of the channelized filters</w:t>
      </w:r>
      <w:r w:rsidR="009B0A67">
        <w:t xml:space="preserve"> in each</w:t>
      </w:r>
      <w:r w:rsidR="008C647F">
        <w:t xml:space="preserve">.  </w:t>
      </w:r>
      <w:r w:rsidR="003A068F">
        <w:t xml:space="preserve">The data </w:t>
      </w:r>
      <w:r w:rsidR="00901003">
        <w:t xml:space="preserve">are </w:t>
      </w:r>
      <w:r w:rsidR="003A068F">
        <w:t>valuable, as they show a comparison of numerical observer performances in a</w:t>
      </w:r>
      <w:r w:rsidR="00B91143">
        <w:t xml:space="preserve"> realistic </w:t>
      </w:r>
      <w:r w:rsidR="00901003">
        <w:t xml:space="preserve">localization </w:t>
      </w:r>
      <w:r w:rsidR="00B91143">
        <w:t xml:space="preserve">task.  </w:t>
      </w:r>
      <w:r w:rsidR="00901003">
        <w:t>Moreover,</w:t>
      </w:r>
      <w:r w:rsidR="005921C5">
        <w:t xml:space="preserve"> this</w:t>
      </w:r>
      <w:r w:rsidR="00901003">
        <w:t xml:space="preserve"> evaluation show</w:t>
      </w:r>
      <w:r w:rsidR="006215DB">
        <w:t>ed</w:t>
      </w:r>
      <w:r w:rsidR="00901003">
        <w:t xml:space="preserve"> that the selection of the filter </w:t>
      </w:r>
      <w:r w:rsidR="006215DB">
        <w:t>was</w:t>
      </w:r>
      <w:r w:rsidR="00901003">
        <w:t xml:space="preserve"> more important than the </w:t>
      </w:r>
      <w:r w:rsidR="00FE5B5E">
        <w:t xml:space="preserve">inclusion of the </w:t>
      </w:r>
      <w:r w:rsidR="0036539F">
        <w:t xml:space="preserve">whitening operation.  </w:t>
      </w:r>
      <w:r w:rsidR="00973CCD">
        <w:t>In the future, t</w:t>
      </w:r>
      <w:r w:rsidR="0036539F">
        <w:t>his work may serve as a reference for researchers</w:t>
      </w:r>
      <w:r w:rsidR="0035184C">
        <w:t xml:space="preserve"> interested in </w:t>
      </w:r>
      <w:r w:rsidR="009820BC">
        <w:t xml:space="preserve">choosing an appropriate numerical model for </w:t>
      </w:r>
      <w:r w:rsidR="00F8321A">
        <w:t xml:space="preserve">their </w:t>
      </w:r>
      <w:r w:rsidR="009820BC">
        <w:t>observer tasks.</w:t>
      </w:r>
    </w:p>
    <w:p w:rsidR="00E21039" w:rsidRDefault="007F4AAB" w:rsidP="00E21039">
      <w:pPr>
        <w:numPr>
          <w:ilvl w:val="12"/>
          <w:numId w:val="0"/>
        </w:numPr>
        <w:spacing w:line="480" w:lineRule="auto"/>
        <w:ind w:firstLine="720"/>
      </w:pPr>
      <w:r>
        <w:t xml:space="preserve">The tools </w:t>
      </w:r>
      <w:r w:rsidR="00E21039">
        <w:t>developed</w:t>
      </w:r>
      <w:r>
        <w:t xml:space="preserve"> for this study </w:t>
      </w:r>
      <w:r w:rsidR="00B81E70">
        <w:t>will</w:t>
      </w:r>
      <w:r>
        <w:t xml:space="preserve"> be used in future studies as well.  The MATLAB viewing program </w:t>
      </w:r>
      <w:r w:rsidR="00E97FF7">
        <w:t>can be adapted to present images</w:t>
      </w:r>
      <w:r w:rsidR="00D9436C">
        <w:t xml:space="preserve"> and record decision data</w:t>
      </w:r>
      <w:r w:rsidR="00E97FF7">
        <w:t xml:space="preserve"> for any human observer study.  </w:t>
      </w:r>
      <w:r w:rsidR="00D9436C">
        <w:t xml:space="preserve">This program has been extended to include </w:t>
      </w:r>
      <w:r w:rsidR="00E97FF7">
        <w:t xml:space="preserve">FROC </w:t>
      </w:r>
      <w:r w:rsidR="00D9436C">
        <w:t>mode</w:t>
      </w:r>
      <w:r w:rsidR="00E97FF7">
        <w:t xml:space="preserve">, which allows multiple </w:t>
      </w:r>
      <w:r w:rsidR="00DD3A50">
        <w:t xml:space="preserve">viewer </w:t>
      </w:r>
      <w:r w:rsidR="00E97FF7">
        <w:t xml:space="preserve">choices within </w:t>
      </w:r>
      <w:r w:rsidR="00887DB9">
        <w:t>each</w:t>
      </w:r>
      <w:r w:rsidR="00D9436C">
        <w:t xml:space="preserve"> image</w:t>
      </w:r>
      <w:r w:rsidR="00DD7789">
        <w:t xml:space="preserve">.  The same </w:t>
      </w:r>
      <w:r w:rsidR="008D2F4E">
        <w:t>numerical observer models</w:t>
      </w:r>
      <w:r w:rsidR="00261598">
        <w:t xml:space="preserve"> designed for this research</w:t>
      </w:r>
      <w:r w:rsidR="00DD7789">
        <w:t xml:space="preserve"> are </w:t>
      </w:r>
      <w:r w:rsidR="00261598">
        <w:t>now</w:t>
      </w:r>
      <w:r w:rsidR="008D2F4E">
        <w:t xml:space="preserve"> being used to investigate the performances of various PET reconstructions </w:t>
      </w:r>
      <w:r w:rsidR="00DD7789">
        <w:t>in the detection of myocardial defects.</w:t>
      </w:r>
      <w:r w:rsidR="002D2B0F">
        <w:t xml:space="preserve">  </w:t>
      </w:r>
      <w:r w:rsidR="000B2F80">
        <w:t>The</w:t>
      </w:r>
      <w:r w:rsidR="001B7A1D">
        <w:t xml:space="preserve"> </w:t>
      </w:r>
      <w:r w:rsidR="00800F60">
        <w:t xml:space="preserve">code used for </w:t>
      </w:r>
      <w:r w:rsidR="000B2F80">
        <w:t xml:space="preserve">anatomical organ </w:t>
      </w:r>
      <w:r w:rsidR="001B7A1D">
        <w:t>segmentation</w:t>
      </w:r>
      <w:r w:rsidR="000B2F80">
        <w:t xml:space="preserve"> </w:t>
      </w:r>
      <w:r w:rsidR="001B7A1D">
        <w:t>will also be useful in future</w:t>
      </w:r>
      <w:r w:rsidR="00B82F9F">
        <w:t xml:space="preserve"> work</w:t>
      </w:r>
      <w:r w:rsidR="000B2F80">
        <w:t>.</w:t>
      </w:r>
      <w:r w:rsidR="00E21039" w:rsidRPr="00E21039">
        <w:t xml:space="preserve"> </w:t>
      </w:r>
    </w:p>
    <w:p w:rsidR="00E21039" w:rsidRDefault="00E21039" w:rsidP="00E21039">
      <w:pPr>
        <w:pStyle w:val="Heading2"/>
      </w:pPr>
      <w:bookmarkStart w:id="127" w:name="_Toc351890035"/>
      <w:r>
        <w:lastRenderedPageBreak/>
        <w:t>PET in the Future</w:t>
      </w:r>
      <w:bookmarkEnd w:id="127"/>
    </w:p>
    <w:p w:rsidR="004D586E" w:rsidRDefault="00205A70" w:rsidP="00E21039">
      <w:pPr>
        <w:numPr>
          <w:ilvl w:val="12"/>
          <w:numId w:val="0"/>
        </w:numPr>
        <w:spacing w:line="480" w:lineRule="auto"/>
        <w:ind w:firstLine="720"/>
      </w:pPr>
      <w:r>
        <w:t xml:space="preserve">Despite its relatively brief lifetime, </w:t>
      </w:r>
      <w:r w:rsidR="00B86BBF">
        <w:t>clinical PET</w:t>
      </w:r>
      <w:r w:rsidR="0036017D">
        <w:t xml:space="preserve"> </w:t>
      </w:r>
      <w:r>
        <w:t xml:space="preserve">is an indispensable </w:t>
      </w:r>
      <w:r w:rsidR="007D515F">
        <w:t>diagnostic tool</w:t>
      </w:r>
      <w:r>
        <w:t>, used in many branches of medicine</w:t>
      </w:r>
      <w:r w:rsidR="007D515F">
        <w:t xml:space="preserve">.  </w:t>
      </w:r>
      <w:r w:rsidR="004349B6">
        <w:t xml:space="preserve">Naturally, its integration into clinical practice will only increase </w:t>
      </w:r>
      <w:r w:rsidR="00D14055">
        <w:t>with time and technological improvements</w:t>
      </w:r>
      <w:r w:rsidR="004349B6">
        <w:t xml:space="preserve">.  </w:t>
      </w:r>
    </w:p>
    <w:p w:rsidR="00C32DB7" w:rsidRDefault="00C32DB7" w:rsidP="00E21039">
      <w:pPr>
        <w:numPr>
          <w:ilvl w:val="12"/>
          <w:numId w:val="0"/>
        </w:numPr>
        <w:spacing w:line="480" w:lineRule="auto"/>
        <w:ind w:firstLine="720"/>
      </w:pPr>
      <w:r>
        <w:t>The addition of the CT to PET, creating the new modality PET/CT, marked one of the most significant developments in the field.  This had a huge impact on reimbursement policies</w:t>
      </w:r>
      <w:r w:rsidR="00C05115">
        <w:t xml:space="preserve"> and</w:t>
      </w:r>
      <w:r>
        <w:t xml:space="preserve"> was arguably the largest catalyst for clinical integration.  Various new hybrid modalities will </w:t>
      </w:r>
      <w:r w:rsidR="00E835ED">
        <w:t xml:space="preserve">be spawned following this model, </w:t>
      </w:r>
      <w:r w:rsidR="00C34F54">
        <w:t>just</w:t>
      </w:r>
      <w:r w:rsidR="00E835ED">
        <w:t xml:space="preserve"> as SPECT/CT</w:t>
      </w:r>
      <w:r w:rsidR="00C34F54">
        <w:t xml:space="preserve"> was</w:t>
      </w:r>
      <w:r w:rsidR="007815C8">
        <w:t>;</w:t>
      </w:r>
      <w:r w:rsidR="00E835ED">
        <w:t xml:space="preserve"> PET/MR is one such recently developed </w:t>
      </w:r>
      <w:r w:rsidR="005D65DC">
        <w:t>modality</w:t>
      </w:r>
      <w:r w:rsidR="00E835ED">
        <w:t>.  While its routine applications have yet to be established, this</w:t>
      </w:r>
      <w:r w:rsidR="005D65DC">
        <w:t xml:space="preserve"> sophisticated</w:t>
      </w:r>
      <w:r w:rsidR="00E835ED">
        <w:t xml:space="preserve"> </w:t>
      </w:r>
      <w:r w:rsidR="005D65DC">
        <w:t>instrument has potential to be a very powerful clinical tool.</w:t>
      </w:r>
    </w:p>
    <w:p w:rsidR="00896705" w:rsidRDefault="00374085" w:rsidP="00896705">
      <w:pPr>
        <w:numPr>
          <w:ilvl w:val="12"/>
          <w:numId w:val="0"/>
        </w:numPr>
        <w:spacing w:line="480" w:lineRule="auto"/>
        <w:ind w:firstLine="720"/>
      </w:pPr>
      <w:r>
        <w:t xml:space="preserve">The transition from linear to iterative reconstructions in the last decade significantly </w:t>
      </w:r>
      <w:r w:rsidR="004D586E">
        <w:t>enhanced</w:t>
      </w:r>
      <w:r w:rsidR="007172EA">
        <w:t xml:space="preserve"> image quality</w:t>
      </w:r>
      <w:r w:rsidR="001014DA">
        <w:t xml:space="preserve">.  </w:t>
      </w:r>
      <w:r w:rsidR="00D74DE8">
        <w:t xml:space="preserve">New methods to correct motion, scatter, and other sources of noise from the acquisition </w:t>
      </w:r>
      <w:r w:rsidR="003A3FE8">
        <w:t xml:space="preserve">process </w:t>
      </w:r>
      <w:r w:rsidR="00D74DE8">
        <w:t xml:space="preserve">are being investigated and will further </w:t>
      </w:r>
      <w:r w:rsidR="00E54E9E">
        <w:t>benefit</w:t>
      </w:r>
      <w:r w:rsidR="00D74DE8">
        <w:t xml:space="preserve"> the quality of PET images.  </w:t>
      </w:r>
      <w:r w:rsidR="007172EA">
        <w:t xml:space="preserve">Incorporation of TOF </w:t>
      </w:r>
      <w:r w:rsidR="00C677D5">
        <w:t>measurements</w:t>
      </w:r>
      <w:r w:rsidR="007172EA">
        <w:t xml:space="preserve"> is one of the latest major advancement</w:t>
      </w:r>
      <w:r w:rsidR="00E05BC6">
        <w:t>s</w:t>
      </w:r>
      <w:r w:rsidR="007172EA">
        <w:t>, and</w:t>
      </w:r>
      <w:r>
        <w:t xml:space="preserve"> as detector performance </w:t>
      </w:r>
      <w:r w:rsidR="00AA684B">
        <w:t>advances</w:t>
      </w:r>
      <w:r>
        <w:t xml:space="preserve">, </w:t>
      </w:r>
      <w:r w:rsidR="00D74DE8">
        <w:t>performance</w:t>
      </w:r>
      <w:r>
        <w:t xml:space="preserve"> will continually </w:t>
      </w:r>
      <w:r w:rsidR="004D586E">
        <w:t>improve</w:t>
      </w:r>
      <w:r>
        <w:t xml:space="preserve">.  </w:t>
      </w:r>
      <w:r w:rsidR="002C15B3">
        <w:t>The</w:t>
      </w:r>
      <w:r w:rsidR="007172EA">
        <w:t xml:space="preserve"> electronics</w:t>
      </w:r>
      <w:r w:rsidR="002C15B3">
        <w:t xml:space="preserve"> on today’s PET systems</w:t>
      </w:r>
      <w:r w:rsidR="007172EA">
        <w:t xml:space="preserve"> </w:t>
      </w:r>
      <w:r w:rsidR="002C15B3">
        <w:t>can</w:t>
      </w:r>
      <w:r w:rsidR="007172EA">
        <w:t xml:space="preserve"> achieve </w:t>
      </w:r>
      <w:r w:rsidR="002C15B3">
        <w:t>timin</w:t>
      </w:r>
      <w:r w:rsidR="005B1A38">
        <w:t>g resolution of 78 pico</w:t>
      </w:r>
      <w:r w:rsidR="002C15B3">
        <w:t xml:space="preserve">seconds.  However, since current </w:t>
      </w:r>
      <w:r w:rsidR="000F1382">
        <w:t>detector hardware</w:t>
      </w:r>
      <w:r w:rsidR="002C15B3">
        <w:t xml:space="preserve"> is based on scintillating crys</w:t>
      </w:r>
      <w:r w:rsidR="001E71A3">
        <w:t>tals coupled to photo</w:t>
      </w:r>
      <w:r w:rsidR="002C15B3">
        <w:t xml:space="preserve">multiplier tubes, the conversion of gamma energy to light, </w:t>
      </w:r>
      <w:r w:rsidR="00601A5E">
        <w:t xml:space="preserve">and then </w:t>
      </w:r>
      <w:r w:rsidR="002C15B3">
        <w:t>to electronic pulse</w:t>
      </w:r>
      <w:r w:rsidR="00601A5E">
        <w:t>,</w:t>
      </w:r>
      <w:r w:rsidR="002C15B3">
        <w:t xml:space="preserve"> degrades this resolution by a factor of about 7.  </w:t>
      </w:r>
      <w:r w:rsidR="001E71A3">
        <w:t xml:space="preserve">The detection systems will see a transition to solid-state detectors, improving energy and timing resolutions.  </w:t>
      </w:r>
      <w:r w:rsidR="00FC3928">
        <w:t>Although a distant goal, i</w:t>
      </w:r>
      <w:r w:rsidR="00D14055">
        <w:t xml:space="preserve">n the future a PET system </w:t>
      </w:r>
      <w:r w:rsidR="00C84092">
        <w:t>may</w:t>
      </w:r>
      <w:r w:rsidR="00D14055">
        <w:t xml:space="preserve"> be able to </w:t>
      </w:r>
      <w:r w:rsidR="00C95F4F">
        <w:t>pinpoint</w:t>
      </w:r>
      <w:r w:rsidR="00D14055">
        <w:t xml:space="preserve"> the location of </w:t>
      </w:r>
      <w:r w:rsidR="001450C1">
        <w:t>every</w:t>
      </w:r>
      <w:r w:rsidR="00D14055">
        <w:t xml:space="preserve"> annihilation, </w:t>
      </w:r>
      <w:r>
        <w:t xml:space="preserve">directly placing each </w:t>
      </w:r>
      <w:r w:rsidR="004D586E">
        <w:t xml:space="preserve">registered </w:t>
      </w:r>
      <w:r>
        <w:t xml:space="preserve">count in its </w:t>
      </w:r>
      <w:r>
        <w:lastRenderedPageBreak/>
        <w:t xml:space="preserve">respective pixel, </w:t>
      </w:r>
      <w:r w:rsidR="00D14055">
        <w:t>eliminating the reconstruction process altogether.</w:t>
      </w:r>
      <w:r w:rsidR="00021394">
        <w:t xml:space="preserve">  </w:t>
      </w:r>
      <w:r w:rsidR="00CA2306">
        <w:t>This would allow the spatial resol</w:t>
      </w:r>
      <w:r w:rsidR="00C84092">
        <w:t>ution to approach the intrinsic limit</w:t>
      </w:r>
      <w:r w:rsidR="00CA2306">
        <w:t xml:space="preserve"> of PET, </w:t>
      </w:r>
      <w:r w:rsidR="00C84092">
        <w:t>which is currently restricted</w:t>
      </w:r>
      <w:r w:rsidR="00CA2306">
        <w:t xml:space="preserve"> </w:t>
      </w:r>
      <w:r w:rsidR="003D15EA">
        <w:t>(</w:t>
      </w:r>
      <w:r w:rsidR="00C84092">
        <w:t>in clinical systems</w:t>
      </w:r>
      <w:r w:rsidR="003D15EA">
        <w:t>)</w:t>
      </w:r>
      <w:r w:rsidR="00C84092">
        <w:t xml:space="preserve"> </w:t>
      </w:r>
      <w:r w:rsidR="00CA2306">
        <w:t xml:space="preserve">by the </w:t>
      </w:r>
      <w:r w:rsidR="001A2A1A">
        <w:t>acolinearity of the coincident photons.</w:t>
      </w:r>
    </w:p>
    <w:p w:rsidR="001014DA" w:rsidRDefault="00846A11" w:rsidP="00896705">
      <w:pPr>
        <w:numPr>
          <w:ilvl w:val="12"/>
          <w:numId w:val="0"/>
        </w:numPr>
        <w:spacing w:line="480" w:lineRule="auto"/>
        <w:ind w:firstLine="720"/>
      </w:pPr>
      <w:r>
        <w:t>Furthermore, t</w:t>
      </w:r>
      <w:r w:rsidR="001014DA">
        <w:t>he current paradigm of reconstructing PET data to produce static images may also change in the future.  Fully quantitative methods such as dynamic PET and tracer kinetic analysis a</w:t>
      </w:r>
      <w:r w:rsidR="00075957">
        <w:t>re capable of providing more valuable inform</w:t>
      </w:r>
      <w:r w:rsidR="008D2830">
        <w:t xml:space="preserve">ation of physiological processes than conventional </w:t>
      </w:r>
      <w:r w:rsidR="001014DA">
        <w:t>“snap shots” of tracer uptake</w:t>
      </w:r>
      <w:r w:rsidR="0083147F">
        <w:t>.  However, the</w:t>
      </w:r>
      <w:r w:rsidR="00D74DE8">
        <w:t>se techniques are limited in the clinic by the need for long scan times, limited reconstruction performance, and technologically cumbersome procedures.  Many groups are investigating reconstructions that directly generate</w:t>
      </w:r>
      <w:r w:rsidR="00C32DB7">
        <w:t xml:space="preserve"> parameter</w:t>
      </w:r>
      <w:r w:rsidR="00D74DE8">
        <w:t xml:space="preserve"> images </w:t>
      </w:r>
      <w:r w:rsidR="00C32DB7">
        <w:t xml:space="preserve">from the raw PET data.  These </w:t>
      </w:r>
      <w:r w:rsidR="00585CEB">
        <w:t>parameterized</w:t>
      </w:r>
      <w:r w:rsidR="00C32DB7">
        <w:t xml:space="preserve"> images show a complete map of tracer rate constants for every pixel, </w:t>
      </w:r>
      <w:r w:rsidR="005B1A38">
        <w:t>and could provide</w:t>
      </w:r>
      <w:r w:rsidR="00C32DB7">
        <w:t xml:space="preserve"> more physiologically relevant information to physicians. </w:t>
      </w:r>
    </w:p>
    <w:p w:rsidR="005271BA" w:rsidRPr="00F920F6" w:rsidRDefault="00D17384" w:rsidP="005271BA">
      <w:pPr>
        <w:numPr>
          <w:ilvl w:val="12"/>
          <w:numId w:val="0"/>
        </w:numPr>
        <w:spacing w:line="480" w:lineRule="auto"/>
        <w:ind w:firstLine="720"/>
      </w:pPr>
      <w:r>
        <w:t>The most important advances</w:t>
      </w:r>
      <w:r w:rsidR="009E261A">
        <w:t xml:space="preserve"> to emission tomography</w:t>
      </w:r>
      <w:r>
        <w:t>, however, may not lie in the tomograph</w:t>
      </w:r>
      <w:r w:rsidR="009E261A">
        <w:t>s</w:t>
      </w:r>
      <w:r>
        <w:t xml:space="preserve">, but rather in the development of new </w:t>
      </w:r>
      <w:r w:rsidR="006658AB">
        <w:t>biomarkers</w:t>
      </w:r>
      <w:r>
        <w:t xml:space="preserve">.   </w:t>
      </w:r>
      <w:r w:rsidR="006658AB">
        <w:t xml:space="preserve">FDG is by far the most commonly used tracer in PET because it tracks cellular metabolism, and is sensitive to many </w:t>
      </w:r>
      <w:r w:rsidR="00B9639A">
        <w:t>pathologic processes</w:t>
      </w:r>
      <w:r w:rsidR="006658AB">
        <w:t xml:space="preserve">.  </w:t>
      </w:r>
      <w:r w:rsidR="002D61E0">
        <w:t xml:space="preserve">This </w:t>
      </w:r>
      <w:r w:rsidR="00441801">
        <w:t>non-specificity</w:t>
      </w:r>
      <w:r w:rsidR="002D61E0">
        <w:t xml:space="preserve"> </w:t>
      </w:r>
      <w:r w:rsidR="00FA1AFB">
        <w:t xml:space="preserve">is its greatest strength, but </w:t>
      </w:r>
      <w:r w:rsidR="002D61E0">
        <w:t>is also i</w:t>
      </w:r>
      <w:r w:rsidR="00441801">
        <w:t xml:space="preserve">ts greatest </w:t>
      </w:r>
      <w:r w:rsidR="00D0727D">
        <w:t>weakness</w:t>
      </w:r>
      <w:r w:rsidR="00441801">
        <w:t>, as it reveals healthy</w:t>
      </w:r>
      <w:r w:rsidR="004D4F04">
        <w:t>,</w:t>
      </w:r>
      <w:r w:rsidR="00441801">
        <w:t xml:space="preserve"> </w:t>
      </w:r>
      <w:r w:rsidR="00D0727D">
        <w:t xml:space="preserve">energy-consuming </w:t>
      </w:r>
      <w:r w:rsidR="00441801">
        <w:t>tissue as well</w:t>
      </w:r>
      <w:r w:rsidR="00CD226B">
        <w:t xml:space="preserve">.  </w:t>
      </w:r>
      <w:r w:rsidR="00461ED7">
        <w:t xml:space="preserve">New tracers are being developed to </w:t>
      </w:r>
      <w:r w:rsidR="00A5118C">
        <w:t>take advantage of</w:t>
      </w:r>
      <w:r w:rsidR="00590E58">
        <w:t xml:space="preserve"> p</w:t>
      </w:r>
      <w:r w:rsidR="00562D54">
        <w:t>roperties</w:t>
      </w:r>
      <w:r w:rsidR="00CD5371">
        <w:t xml:space="preserve"> unique to</w:t>
      </w:r>
      <w:r w:rsidR="00461ED7">
        <w:t xml:space="preserve"> </w:t>
      </w:r>
      <w:r w:rsidR="00193BEF">
        <w:t>individual</w:t>
      </w:r>
      <w:r w:rsidR="00461ED7">
        <w:t xml:space="preserve"> </w:t>
      </w:r>
      <w:r w:rsidR="00CD5371">
        <w:t>pathology</w:t>
      </w:r>
      <w:r w:rsidR="00461ED7">
        <w:t xml:space="preserve">.  </w:t>
      </w:r>
      <w:r w:rsidR="0083147F">
        <w:t xml:space="preserve">A current example </w:t>
      </w:r>
      <w:r w:rsidR="00076C66">
        <w:t>is in</w:t>
      </w:r>
      <w:r w:rsidR="0083147F">
        <w:t xml:space="preserve"> the field of neurology, which</w:t>
      </w:r>
      <w:r w:rsidR="00CD226B">
        <w:t xml:space="preserve"> has been gaining much recent attention</w:t>
      </w:r>
      <w:r w:rsidR="002E354A">
        <w:t xml:space="preserve"> for PET</w:t>
      </w:r>
      <w:r w:rsidR="007F3A33">
        <w:t xml:space="preserve"> for t</w:t>
      </w:r>
      <w:r w:rsidR="0015127F">
        <w:t>he early</w:t>
      </w:r>
      <w:r w:rsidR="002E354A">
        <w:t xml:space="preserve"> diagnoses of Alzheimer’s disease</w:t>
      </w:r>
      <w:r w:rsidR="007F3A33">
        <w:t>.  This is</w:t>
      </w:r>
      <w:r w:rsidR="0015127F">
        <w:t xml:space="preserve"> becoming possible by exploiting </w:t>
      </w:r>
      <w:r w:rsidR="00163577">
        <w:t xml:space="preserve">the </w:t>
      </w:r>
      <w:r w:rsidR="00896F05">
        <w:t xml:space="preserve">neocortical </w:t>
      </w:r>
      <w:r w:rsidR="00CD059D">
        <w:t>binding of</w:t>
      </w:r>
      <w:r w:rsidR="0015127F">
        <w:t xml:space="preserve"> newly synthesized compound</w:t>
      </w:r>
      <w:r w:rsidR="00CD059D">
        <w:t>s</w:t>
      </w:r>
      <w:r w:rsidR="0015127F">
        <w:t xml:space="preserve"> to </w:t>
      </w:r>
      <w:r w:rsidR="0015127F">
        <w:lastRenderedPageBreak/>
        <w:t>a</w:t>
      </w:r>
      <w:r w:rsidR="00A52F16">
        <w:t>myloid plaque deposits</w:t>
      </w:r>
      <w:r w:rsidR="002E354A">
        <w:t>.</w:t>
      </w:r>
      <w:r w:rsidR="00461ED7">
        <w:t xml:space="preserve">  In the coming years, nuclear medicine will see </w:t>
      </w:r>
      <w:r w:rsidR="008036CE">
        <w:t xml:space="preserve">many </w:t>
      </w:r>
      <w:r w:rsidR="00461ED7">
        <w:t>new radiotracers emerge,</w:t>
      </w:r>
      <w:r w:rsidR="008D1253">
        <w:t xml:space="preserve"> specifically</w:t>
      </w:r>
      <w:r w:rsidR="00461ED7">
        <w:t xml:space="preserve"> tailored to </w:t>
      </w:r>
      <w:r w:rsidR="00584C45">
        <w:t xml:space="preserve">an </w:t>
      </w:r>
      <w:r w:rsidR="00E95D6A">
        <w:t>increasing</w:t>
      </w:r>
      <w:r w:rsidR="00584C45">
        <w:t xml:space="preserve"> number</w:t>
      </w:r>
      <w:r w:rsidR="00E66E0C">
        <w:t xml:space="preserve"> </w:t>
      </w:r>
      <w:r w:rsidR="00FB6301">
        <w:t>of</w:t>
      </w:r>
      <w:r w:rsidR="00461ED7">
        <w:t xml:space="preserve"> disease</w:t>
      </w:r>
      <w:r w:rsidR="002819DE">
        <w:t>s</w:t>
      </w:r>
      <w:r w:rsidR="00461ED7">
        <w:t xml:space="preserve">.  </w:t>
      </w:r>
    </w:p>
    <w:p w:rsidR="003D15EA" w:rsidRDefault="003D15EA">
      <w:pPr>
        <w:rPr>
          <w:b/>
          <w:bCs/>
        </w:rPr>
      </w:pPr>
      <w:r>
        <w:br w:type="page"/>
      </w:r>
    </w:p>
    <w:p w:rsidR="00236E6D" w:rsidRPr="00F920F6" w:rsidRDefault="00064371" w:rsidP="005E4C89">
      <w:pPr>
        <w:pStyle w:val="Heading1"/>
      </w:pPr>
      <w:bookmarkStart w:id="128" w:name="_Toc351890036"/>
      <w:r w:rsidRPr="00F920F6">
        <w:lastRenderedPageBreak/>
        <w:t xml:space="preserve">List </w:t>
      </w:r>
      <w:r>
        <w:t>o</w:t>
      </w:r>
      <w:r w:rsidRPr="00F920F6">
        <w:t>f References</w:t>
      </w:r>
      <w:r w:rsidR="009B6816">
        <w:fldChar w:fldCharType="begin"/>
      </w:r>
      <w:r w:rsidR="00876685">
        <w:instrText xml:space="preserve"> MACROBUTTON RemoveChapterIncreaseMark \* MERGEFORMAT </w:instrText>
      </w:r>
      <w:r w:rsidR="009B6816">
        <w:fldChar w:fldCharType="begin"/>
      </w:r>
      <w:r w:rsidR="00876685">
        <w:instrText xml:space="preserve"> SEQ EqnChapter \n \h \* MERGEFORMAT </w:instrText>
      </w:r>
      <w:r w:rsidR="009B6816">
        <w:fldChar w:fldCharType="end"/>
      </w:r>
      <w:r w:rsidR="009B6816">
        <w:fldChar w:fldCharType="begin"/>
      </w:r>
      <w:r w:rsidR="00876685">
        <w:instrText xml:space="preserve"> SEQ EquationNumber \r0 \h \* MERGEFORMAT </w:instrText>
      </w:r>
      <w:r w:rsidR="009B6816">
        <w:fldChar w:fldCharType="end"/>
      </w:r>
      <w:r w:rsidR="009B6816">
        <w:fldChar w:fldCharType="begin"/>
      </w:r>
      <w:r w:rsidR="00876685">
        <w:instrText xml:space="preserve"> SEQ TheoremNumber \r0 \h \* MERGEFORMAT </w:instrText>
      </w:r>
      <w:r w:rsidR="009B6816">
        <w:fldChar w:fldCharType="end"/>
      </w:r>
      <w:r w:rsidR="00876685" w:rsidRPr="00876685">
        <w:rPr>
          <w:vanish/>
        </w:rPr>
        <w:sym w:font="Wingdings" w:char="F0F6"/>
      </w:r>
      <w:r w:rsidR="009B6816">
        <w:fldChar w:fldCharType="end"/>
      </w:r>
      <w:bookmarkEnd w:id="128"/>
    </w:p>
    <w:p w:rsidR="00064371" w:rsidRDefault="00236E6D"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4371">
        <w:br w:type="page"/>
      </w:r>
    </w:p>
    <w:p w:rsidR="007704DB" w:rsidRDefault="009B6816" w:rsidP="007704DB">
      <w:pPr>
        <w:rPr>
          <w:noProof/>
        </w:rPr>
      </w:pPr>
      <w:r>
        <w:lastRenderedPageBreak/>
        <w:fldChar w:fldCharType="begin"/>
      </w:r>
      <w:r w:rsidR="009915AE">
        <w:instrText xml:space="preserve"> ADDIN EN.REFLIST </w:instrText>
      </w:r>
      <w:r>
        <w:fldChar w:fldCharType="separate"/>
      </w:r>
      <w:bookmarkStart w:id="129" w:name="_ENREF_1"/>
      <w:r w:rsidR="007704DB">
        <w:rPr>
          <w:noProof/>
        </w:rPr>
        <w:t xml:space="preserve">Abbey, C. and H. Barrett (2001). "Human-and model-observer performance in ramp-spectrum noise: effects of regularization and object variability." </w:t>
      </w:r>
      <w:r w:rsidR="007704DB" w:rsidRPr="007704DB">
        <w:rPr>
          <w:noProof/>
          <w:u w:val="single"/>
        </w:rPr>
        <w:t>JOSA A</w:t>
      </w:r>
      <w:r w:rsidR="007704DB">
        <w:rPr>
          <w:noProof/>
        </w:rPr>
        <w:t xml:space="preserve"> </w:t>
      </w:r>
      <w:r w:rsidR="007704DB" w:rsidRPr="007704DB">
        <w:rPr>
          <w:b/>
          <w:noProof/>
        </w:rPr>
        <w:t>18</w:t>
      </w:r>
      <w:r w:rsidR="007704DB">
        <w:rPr>
          <w:noProof/>
        </w:rPr>
        <w:t>(3): 473-488.</w:t>
      </w:r>
    </w:p>
    <w:p w:rsidR="007704DB" w:rsidRDefault="007704DB" w:rsidP="007704DB">
      <w:pPr>
        <w:ind w:left="720" w:hanging="720"/>
        <w:rPr>
          <w:noProof/>
        </w:rPr>
      </w:pPr>
      <w:r>
        <w:rPr>
          <w:noProof/>
        </w:rPr>
        <w:tab/>
      </w:r>
      <w:bookmarkEnd w:id="129"/>
    </w:p>
    <w:p w:rsidR="007704DB" w:rsidRDefault="007704DB" w:rsidP="007704DB">
      <w:pPr>
        <w:rPr>
          <w:noProof/>
        </w:rPr>
      </w:pPr>
      <w:bookmarkStart w:id="130" w:name="_ENREF_2"/>
      <w:r>
        <w:rPr>
          <w:noProof/>
        </w:rPr>
        <w:t>Abramowitz, M. and I. Stegun (1972). Bernoulli and Eulear Polynomials and the Euler-Maclaurin Formula, $23.1 in Handbook of Mathematical Functions with Formulas, Graphs, and Mathematical Tables, 9th printing, New York: Dover.</w:t>
      </w:r>
    </w:p>
    <w:p w:rsidR="007704DB" w:rsidRDefault="007704DB" w:rsidP="007704DB">
      <w:pPr>
        <w:ind w:left="720" w:hanging="720"/>
        <w:rPr>
          <w:noProof/>
        </w:rPr>
      </w:pPr>
      <w:r>
        <w:rPr>
          <w:noProof/>
        </w:rPr>
        <w:tab/>
      </w:r>
      <w:bookmarkEnd w:id="130"/>
    </w:p>
    <w:p w:rsidR="007704DB" w:rsidRDefault="007704DB" w:rsidP="007704DB">
      <w:pPr>
        <w:rPr>
          <w:noProof/>
        </w:rPr>
      </w:pPr>
      <w:bookmarkStart w:id="131" w:name="_ENREF_3"/>
      <w:r>
        <w:rPr>
          <w:noProof/>
        </w:rPr>
        <w:t xml:space="preserve">Allemand, R., C. Gresset, et al. (1980). "Potential advantages of a cesium fluoride scintillator for a time-of-flight positron camera." </w:t>
      </w:r>
      <w:r w:rsidRPr="007704DB">
        <w:rPr>
          <w:noProof/>
          <w:u w:val="single"/>
        </w:rPr>
        <w:t>Journal of Nuclear Medicine</w:t>
      </w:r>
      <w:r>
        <w:rPr>
          <w:noProof/>
        </w:rPr>
        <w:t xml:space="preserve"> </w:t>
      </w:r>
      <w:r w:rsidRPr="007704DB">
        <w:rPr>
          <w:b/>
          <w:noProof/>
        </w:rPr>
        <w:t>21</w:t>
      </w:r>
      <w:r>
        <w:rPr>
          <w:noProof/>
        </w:rPr>
        <w:t>(2): 153.</w:t>
      </w:r>
    </w:p>
    <w:p w:rsidR="007704DB" w:rsidRDefault="007704DB" w:rsidP="007704DB">
      <w:pPr>
        <w:ind w:left="720" w:hanging="720"/>
        <w:rPr>
          <w:noProof/>
        </w:rPr>
      </w:pPr>
      <w:r>
        <w:rPr>
          <w:noProof/>
        </w:rPr>
        <w:tab/>
      </w:r>
      <w:bookmarkEnd w:id="131"/>
    </w:p>
    <w:p w:rsidR="007704DB" w:rsidRDefault="007704DB" w:rsidP="007704DB">
      <w:pPr>
        <w:rPr>
          <w:noProof/>
        </w:rPr>
      </w:pPr>
      <w:bookmarkStart w:id="132" w:name="_ENREF_4"/>
      <w:r>
        <w:rPr>
          <w:noProof/>
        </w:rPr>
        <w:t xml:space="preserve">Armstrong, I. S., H. A. Williams, et al. (2011). </w:t>
      </w:r>
      <w:r w:rsidRPr="007704DB">
        <w:rPr>
          <w:noProof/>
          <w:u w:val="single"/>
        </w:rPr>
        <w:t>Accuracy and variability of quantitative measurements using PET with time-of-flight information and resolution modelling</w:t>
      </w:r>
      <w:r>
        <w:rPr>
          <w:noProof/>
        </w:rPr>
        <w:t>. Nuclear Science Symposium and Medical Imaging Conference (NSS/MIC), IEEE.</w:t>
      </w:r>
    </w:p>
    <w:p w:rsidR="007704DB" w:rsidRDefault="007704DB" w:rsidP="007704DB">
      <w:pPr>
        <w:ind w:left="720" w:hanging="720"/>
        <w:rPr>
          <w:noProof/>
        </w:rPr>
      </w:pPr>
      <w:r>
        <w:rPr>
          <w:noProof/>
        </w:rPr>
        <w:tab/>
      </w:r>
      <w:bookmarkEnd w:id="132"/>
    </w:p>
    <w:p w:rsidR="007704DB" w:rsidRDefault="007704DB" w:rsidP="007704DB">
      <w:pPr>
        <w:rPr>
          <w:noProof/>
        </w:rPr>
      </w:pPr>
      <w:bookmarkStart w:id="133" w:name="_ENREF_5"/>
      <w:r>
        <w:rPr>
          <w:noProof/>
        </w:rPr>
        <w:t xml:space="preserve">Bailey, D. and S. Meikle (1994). "A convolution-subtraction scatter correction method for 3D PET." </w:t>
      </w:r>
      <w:r w:rsidRPr="007704DB">
        <w:rPr>
          <w:noProof/>
          <w:u w:val="single"/>
        </w:rPr>
        <w:t>Physics in Medicine and Biology</w:t>
      </w:r>
      <w:r>
        <w:rPr>
          <w:noProof/>
        </w:rPr>
        <w:t xml:space="preserve"> </w:t>
      </w:r>
      <w:r w:rsidRPr="007704DB">
        <w:rPr>
          <w:b/>
          <w:noProof/>
        </w:rPr>
        <w:t>39</w:t>
      </w:r>
      <w:r>
        <w:rPr>
          <w:noProof/>
        </w:rPr>
        <w:t>: 411.</w:t>
      </w:r>
    </w:p>
    <w:p w:rsidR="007704DB" w:rsidRDefault="007704DB" w:rsidP="007704DB">
      <w:pPr>
        <w:ind w:left="720" w:hanging="720"/>
        <w:rPr>
          <w:noProof/>
        </w:rPr>
      </w:pPr>
      <w:r>
        <w:rPr>
          <w:noProof/>
        </w:rPr>
        <w:tab/>
      </w:r>
      <w:bookmarkEnd w:id="133"/>
    </w:p>
    <w:p w:rsidR="007704DB" w:rsidRDefault="007704DB" w:rsidP="007704DB">
      <w:pPr>
        <w:rPr>
          <w:noProof/>
        </w:rPr>
      </w:pPr>
      <w:bookmarkStart w:id="134" w:name="_ENREF_6"/>
      <w:r>
        <w:rPr>
          <w:noProof/>
        </w:rPr>
        <w:t xml:space="preserve">Barney, J., J. Rogers, et al. (1991). "Object shape dependent scatter simulations for PET." </w:t>
      </w:r>
      <w:r w:rsidRPr="007704DB">
        <w:rPr>
          <w:noProof/>
          <w:u w:val="single"/>
        </w:rPr>
        <w:t>Nuclear Science, IEEE Transactions on</w:t>
      </w:r>
      <w:r>
        <w:rPr>
          <w:noProof/>
        </w:rPr>
        <w:t xml:space="preserve"> </w:t>
      </w:r>
      <w:r w:rsidRPr="007704DB">
        <w:rPr>
          <w:b/>
          <w:noProof/>
        </w:rPr>
        <w:t>38</w:t>
      </w:r>
      <w:r>
        <w:rPr>
          <w:noProof/>
        </w:rPr>
        <w:t>(2): 719-725.</w:t>
      </w:r>
    </w:p>
    <w:p w:rsidR="007704DB" w:rsidRDefault="007704DB" w:rsidP="007704DB">
      <w:pPr>
        <w:ind w:left="720" w:hanging="720"/>
        <w:rPr>
          <w:noProof/>
        </w:rPr>
      </w:pPr>
      <w:r>
        <w:rPr>
          <w:noProof/>
        </w:rPr>
        <w:tab/>
      </w:r>
      <w:bookmarkEnd w:id="134"/>
    </w:p>
    <w:p w:rsidR="007704DB" w:rsidRDefault="007704DB" w:rsidP="007704DB">
      <w:pPr>
        <w:rPr>
          <w:noProof/>
        </w:rPr>
      </w:pPr>
      <w:bookmarkStart w:id="135" w:name="_ENREF_7"/>
      <w:r>
        <w:rPr>
          <w:noProof/>
        </w:rPr>
        <w:t xml:space="preserve">Barrett, H., J. Yao, et al. (1993). "Model observers for assessment of image quality." </w:t>
      </w:r>
      <w:r w:rsidRPr="007704DB">
        <w:rPr>
          <w:noProof/>
          <w:u w:val="single"/>
        </w:rPr>
        <w:t>Proceedings of the National Academy of Sciences of the United States of America</w:t>
      </w:r>
      <w:r>
        <w:rPr>
          <w:noProof/>
        </w:rPr>
        <w:t xml:space="preserve"> </w:t>
      </w:r>
      <w:r w:rsidRPr="007704DB">
        <w:rPr>
          <w:b/>
          <w:noProof/>
        </w:rPr>
        <w:t>90</w:t>
      </w:r>
      <w:r>
        <w:rPr>
          <w:noProof/>
        </w:rPr>
        <w:t>(21): 9758-9765.</w:t>
      </w:r>
    </w:p>
    <w:p w:rsidR="007704DB" w:rsidRDefault="007704DB" w:rsidP="007704DB">
      <w:pPr>
        <w:ind w:left="720" w:hanging="720"/>
        <w:rPr>
          <w:noProof/>
        </w:rPr>
      </w:pPr>
      <w:r>
        <w:rPr>
          <w:noProof/>
        </w:rPr>
        <w:tab/>
      </w:r>
      <w:bookmarkEnd w:id="135"/>
    </w:p>
    <w:p w:rsidR="007704DB" w:rsidRDefault="007704DB" w:rsidP="007704DB">
      <w:pPr>
        <w:rPr>
          <w:noProof/>
        </w:rPr>
      </w:pPr>
      <w:bookmarkStart w:id="136" w:name="_ENREF_8"/>
      <w:r>
        <w:rPr>
          <w:noProof/>
        </w:rPr>
        <w:t xml:space="preserve">Barrett, H. H., T. Gooley, et al. (1992). "Linear discriminants and image quality." </w:t>
      </w:r>
      <w:r w:rsidRPr="007704DB">
        <w:rPr>
          <w:noProof/>
          <w:u w:val="single"/>
        </w:rPr>
        <w:t>Image and Vision Computing</w:t>
      </w:r>
      <w:r>
        <w:rPr>
          <w:noProof/>
        </w:rPr>
        <w:t xml:space="preserve"> </w:t>
      </w:r>
      <w:r w:rsidRPr="007704DB">
        <w:rPr>
          <w:b/>
          <w:noProof/>
        </w:rPr>
        <w:t>10</w:t>
      </w:r>
      <w:r>
        <w:rPr>
          <w:noProof/>
        </w:rPr>
        <w:t>(6): 451-460.</w:t>
      </w:r>
    </w:p>
    <w:p w:rsidR="007704DB" w:rsidRDefault="007704DB" w:rsidP="007704DB">
      <w:pPr>
        <w:ind w:left="720" w:hanging="720"/>
        <w:rPr>
          <w:noProof/>
        </w:rPr>
      </w:pPr>
      <w:r>
        <w:rPr>
          <w:noProof/>
        </w:rPr>
        <w:tab/>
      </w:r>
      <w:bookmarkEnd w:id="136"/>
    </w:p>
    <w:p w:rsidR="007704DB" w:rsidRDefault="007704DB" w:rsidP="007704DB">
      <w:pPr>
        <w:rPr>
          <w:noProof/>
        </w:rPr>
      </w:pPr>
      <w:bookmarkStart w:id="137" w:name="_ENREF_9"/>
      <w:r>
        <w:rPr>
          <w:noProof/>
        </w:rPr>
        <w:t xml:space="preserve">Barrett, H. H. and K. J. Myers (2004). </w:t>
      </w:r>
      <w:r w:rsidRPr="007704DB">
        <w:rPr>
          <w:noProof/>
          <w:u w:val="single"/>
        </w:rPr>
        <w:t>Foundations of image science</w:t>
      </w:r>
      <w:r>
        <w:rPr>
          <w:noProof/>
        </w:rPr>
        <w:t>. Hoboken, NJ, Wiley.</w:t>
      </w:r>
    </w:p>
    <w:p w:rsidR="007704DB" w:rsidRDefault="007704DB" w:rsidP="007704DB">
      <w:pPr>
        <w:ind w:left="720" w:hanging="720"/>
        <w:rPr>
          <w:noProof/>
        </w:rPr>
      </w:pPr>
      <w:r>
        <w:rPr>
          <w:noProof/>
        </w:rPr>
        <w:tab/>
      </w:r>
      <w:bookmarkEnd w:id="137"/>
    </w:p>
    <w:p w:rsidR="007704DB" w:rsidRDefault="007704DB" w:rsidP="007704DB">
      <w:pPr>
        <w:rPr>
          <w:noProof/>
        </w:rPr>
      </w:pPr>
      <w:bookmarkStart w:id="138" w:name="_ENREF_10"/>
      <w:r>
        <w:rPr>
          <w:noProof/>
        </w:rPr>
        <w:t xml:space="preserve">Bendriem, B. and D. W. Townsend (1998). </w:t>
      </w:r>
      <w:r w:rsidRPr="007704DB">
        <w:rPr>
          <w:noProof/>
          <w:u w:val="single"/>
        </w:rPr>
        <w:t>The theory and practice of 3D PET</w:t>
      </w:r>
      <w:r>
        <w:rPr>
          <w:noProof/>
        </w:rPr>
        <w:t>, Springer.</w:t>
      </w:r>
    </w:p>
    <w:p w:rsidR="007704DB" w:rsidRDefault="007704DB" w:rsidP="007704DB">
      <w:pPr>
        <w:ind w:left="720" w:hanging="720"/>
        <w:rPr>
          <w:noProof/>
        </w:rPr>
      </w:pPr>
      <w:r>
        <w:rPr>
          <w:noProof/>
        </w:rPr>
        <w:tab/>
      </w:r>
      <w:bookmarkEnd w:id="138"/>
    </w:p>
    <w:p w:rsidR="007704DB" w:rsidRDefault="007704DB" w:rsidP="007704DB">
      <w:pPr>
        <w:rPr>
          <w:noProof/>
        </w:rPr>
      </w:pPr>
      <w:bookmarkStart w:id="139" w:name="_ENREF_11"/>
      <w:r>
        <w:rPr>
          <w:noProof/>
        </w:rPr>
        <w:t xml:space="preserve">Bergström, M., L. Eriksson, et al. (1983). "Correction for scattered radiation in a ring detector positron camera by integral transformation of the projections." </w:t>
      </w:r>
      <w:r w:rsidRPr="007704DB">
        <w:rPr>
          <w:noProof/>
          <w:u w:val="single"/>
        </w:rPr>
        <w:t>Journal of Computer Assisted Tomography</w:t>
      </w:r>
      <w:r>
        <w:rPr>
          <w:noProof/>
        </w:rPr>
        <w:t xml:space="preserve"> </w:t>
      </w:r>
      <w:r w:rsidRPr="007704DB">
        <w:rPr>
          <w:b/>
          <w:noProof/>
        </w:rPr>
        <w:t>7</w:t>
      </w:r>
      <w:r>
        <w:rPr>
          <w:noProof/>
        </w:rPr>
        <w:t>(1): 42.</w:t>
      </w:r>
    </w:p>
    <w:p w:rsidR="007704DB" w:rsidRDefault="007704DB" w:rsidP="007704DB">
      <w:pPr>
        <w:ind w:left="720" w:hanging="720"/>
        <w:rPr>
          <w:noProof/>
        </w:rPr>
      </w:pPr>
      <w:r>
        <w:rPr>
          <w:noProof/>
        </w:rPr>
        <w:tab/>
      </w:r>
      <w:bookmarkEnd w:id="139"/>
    </w:p>
    <w:p w:rsidR="007704DB" w:rsidRDefault="007704DB" w:rsidP="007704DB">
      <w:pPr>
        <w:rPr>
          <w:noProof/>
        </w:rPr>
      </w:pPr>
      <w:bookmarkStart w:id="140" w:name="_ENREF_12"/>
      <w:r>
        <w:rPr>
          <w:noProof/>
        </w:rPr>
        <w:t xml:space="preserve">Beyer, T., P. Kinahan, et al. (1994). </w:t>
      </w:r>
      <w:r w:rsidRPr="007704DB">
        <w:rPr>
          <w:noProof/>
          <w:u w:val="single"/>
        </w:rPr>
        <w:t>The use of X-ray CT for attenuation correction of PET data</w:t>
      </w:r>
      <w:r>
        <w:rPr>
          <w:noProof/>
        </w:rPr>
        <w:t>, IEEE.</w:t>
      </w:r>
    </w:p>
    <w:p w:rsidR="007704DB" w:rsidRDefault="007704DB" w:rsidP="007704DB">
      <w:pPr>
        <w:ind w:left="720" w:hanging="720"/>
        <w:rPr>
          <w:noProof/>
        </w:rPr>
      </w:pPr>
      <w:r>
        <w:rPr>
          <w:noProof/>
        </w:rPr>
        <w:tab/>
      </w:r>
      <w:bookmarkEnd w:id="140"/>
    </w:p>
    <w:p w:rsidR="007704DB" w:rsidRDefault="007704DB" w:rsidP="007704DB">
      <w:pPr>
        <w:rPr>
          <w:noProof/>
        </w:rPr>
      </w:pPr>
      <w:bookmarkStart w:id="141" w:name="_ENREF_13"/>
      <w:r>
        <w:rPr>
          <w:noProof/>
        </w:rPr>
        <w:t xml:space="preserve">Beyer, T., D. Townsend, et al. (2000). "A combined PET/CT scanner for clinical oncology." </w:t>
      </w:r>
      <w:r w:rsidRPr="007704DB">
        <w:rPr>
          <w:noProof/>
          <w:u w:val="single"/>
        </w:rPr>
        <w:t>Journal of Nuclear Medicine</w:t>
      </w:r>
      <w:r>
        <w:rPr>
          <w:noProof/>
        </w:rPr>
        <w:t xml:space="preserve"> </w:t>
      </w:r>
      <w:r w:rsidRPr="007704DB">
        <w:rPr>
          <w:b/>
          <w:noProof/>
        </w:rPr>
        <w:t>41</w:t>
      </w:r>
      <w:r>
        <w:rPr>
          <w:noProof/>
        </w:rPr>
        <w:t>(8): 1369.</w:t>
      </w:r>
    </w:p>
    <w:p w:rsidR="007704DB" w:rsidRDefault="007704DB" w:rsidP="007704DB">
      <w:pPr>
        <w:ind w:left="720" w:hanging="720"/>
        <w:rPr>
          <w:noProof/>
        </w:rPr>
      </w:pPr>
      <w:r>
        <w:rPr>
          <w:noProof/>
        </w:rPr>
        <w:tab/>
      </w:r>
      <w:bookmarkEnd w:id="141"/>
    </w:p>
    <w:p w:rsidR="007704DB" w:rsidRDefault="007704DB" w:rsidP="007704DB">
      <w:pPr>
        <w:rPr>
          <w:noProof/>
        </w:rPr>
      </w:pPr>
      <w:bookmarkStart w:id="142" w:name="_ENREF_14"/>
      <w:r>
        <w:rPr>
          <w:noProof/>
        </w:rPr>
        <w:t xml:space="preserve">Bietendorf, J. (2004). "FDG PET Reimbursement." </w:t>
      </w:r>
      <w:r w:rsidRPr="007704DB">
        <w:rPr>
          <w:noProof/>
          <w:u w:val="single"/>
        </w:rPr>
        <w:t>Journal of Nuclear Medicine Technology</w:t>
      </w:r>
      <w:r>
        <w:rPr>
          <w:noProof/>
        </w:rPr>
        <w:t xml:space="preserve"> </w:t>
      </w:r>
      <w:r w:rsidRPr="007704DB">
        <w:rPr>
          <w:b/>
          <w:noProof/>
        </w:rPr>
        <w:t>32</w:t>
      </w:r>
      <w:r>
        <w:rPr>
          <w:noProof/>
        </w:rPr>
        <w:t>(1): 33.</w:t>
      </w:r>
    </w:p>
    <w:p w:rsidR="007704DB" w:rsidRDefault="007704DB" w:rsidP="007704DB">
      <w:pPr>
        <w:ind w:left="720" w:hanging="720"/>
        <w:rPr>
          <w:noProof/>
        </w:rPr>
      </w:pPr>
      <w:r>
        <w:rPr>
          <w:noProof/>
        </w:rPr>
        <w:lastRenderedPageBreak/>
        <w:tab/>
      </w:r>
      <w:bookmarkEnd w:id="142"/>
    </w:p>
    <w:p w:rsidR="007704DB" w:rsidRDefault="007704DB" w:rsidP="007704DB">
      <w:pPr>
        <w:rPr>
          <w:noProof/>
        </w:rPr>
      </w:pPr>
      <w:bookmarkStart w:id="143" w:name="_ENREF_15"/>
      <w:r>
        <w:rPr>
          <w:noProof/>
        </w:rPr>
        <w:t xml:space="preserve">Brownell, G. and W. Sweet (1953). "Localization of brain tumors with positron emitters." </w:t>
      </w:r>
      <w:r w:rsidRPr="007704DB">
        <w:rPr>
          <w:noProof/>
          <w:u w:val="single"/>
        </w:rPr>
        <w:t>Nucleonics</w:t>
      </w:r>
      <w:r>
        <w:rPr>
          <w:noProof/>
        </w:rPr>
        <w:t xml:space="preserve"> </w:t>
      </w:r>
      <w:r w:rsidRPr="007704DB">
        <w:rPr>
          <w:b/>
          <w:noProof/>
        </w:rPr>
        <w:t>11</w:t>
      </w:r>
      <w:r>
        <w:rPr>
          <w:noProof/>
        </w:rPr>
        <w:t>(11): 40-45.</w:t>
      </w:r>
    </w:p>
    <w:p w:rsidR="007704DB" w:rsidRDefault="007704DB" w:rsidP="007704DB">
      <w:pPr>
        <w:ind w:left="720" w:hanging="720"/>
        <w:rPr>
          <w:noProof/>
        </w:rPr>
      </w:pPr>
      <w:r>
        <w:rPr>
          <w:noProof/>
        </w:rPr>
        <w:tab/>
      </w:r>
      <w:bookmarkEnd w:id="143"/>
    </w:p>
    <w:p w:rsidR="007704DB" w:rsidRDefault="007704DB" w:rsidP="007704DB">
      <w:pPr>
        <w:rPr>
          <w:noProof/>
        </w:rPr>
      </w:pPr>
      <w:bookmarkStart w:id="144" w:name="_ENREF_16"/>
      <w:r>
        <w:rPr>
          <w:noProof/>
        </w:rPr>
        <w:t xml:space="preserve">Budinger, T. (1983). "Time-of-flight positron emission tomography: status relative to conventional PET." </w:t>
      </w:r>
      <w:r w:rsidRPr="007704DB">
        <w:rPr>
          <w:noProof/>
          <w:u w:val="single"/>
        </w:rPr>
        <w:t>Journal of Nuclear Medicine</w:t>
      </w:r>
      <w:r>
        <w:rPr>
          <w:noProof/>
        </w:rPr>
        <w:t xml:space="preserve"> </w:t>
      </w:r>
      <w:r w:rsidRPr="007704DB">
        <w:rPr>
          <w:b/>
          <w:noProof/>
        </w:rPr>
        <w:t>24</w:t>
      </w:r>
      <w:r>
        <w:rPr>
          <w:noProof/>
        </w:rPr>
        <w:t>(1): 73-78.</w:t>
      </w:r>
    </w:p>
    <w:p w:rsidR="007704DB" w:rsidRDefault="007704DB" w:rsidP="007704DB">
      <w:pPr>
        <w:ind w:left="720" w:hanging="720"/>
        <w:rPr>
          <w:noProof/>
        </w:rPr>
      </w:pPr>
      <w:r>
        <w:rPr>
          <w:noProof/>
        </w:rPr>
        <w:tab/>
      </w:r>
      <w:bookmarkEnd w:id="144"/>
    </w:p>
    <w:p w:rsidR="007704DB" w:rsidRDefault="007704DB" w:rsidP="007704DB">
      <w:pPr>
        <w:rPr>
          <w:noProof/>
        </w:rPr>
      </w:pPr>
      <w:bookmarkStart w:id="145" w:name="_ENREF_17"/>
      <w:r>
        <w:rPr>
          <w:noProof/>
        </w:rPr>
        <w:t xml:space="preserve">Burgess, A. (1985). "Effect of quantization noise on visual signal detection in noisy images." </w:t>
      </w:r>
      <w:r w:rsidRPr="007704DB">
        <w:rPr>
          <w:noProof/>
          <w:u w:val="single"/>
        </w:rPr>
        <w:t>JOSA A</w:t>
      </w:r>
      <w:r>
        <w:rPr>
          <w:noProof/>
        </w:rPr>
        <w:t xml:space="preserve"> </w:t>
      </w:r>
      <w:r w:rsidRPr="007704DB">
        <w:rPr>
          <w:b/>
          <w:noProof/>
        </w:rPr>
        <w:t>2</w:t>
      </w:r>
      <w:r>
        <w:rPr>
          <w:noProof/>
        </w:rPr>
        <w:t>(9): 1424-1428.</w:t>
      </w:r>
    </w:p>
    <w:p w:rsidR="007704DB" w:rsidRDefault="007704DB" w:rsidP="007704DB">
      <w:pPr>
        <w:ind w:left="720" w:hanging="720"/>
        <w:rPr>
          <w:noProof/>
        </w:rPr>
      </w:pPr>
      <w:r>
        <w:rPr>
          <w:noProof/>
        </w:rPr>
        <w:tab/>
      </w:r>
      <w:bookmarkEnd w:id="145"/>
    </w:p>
    <w:p w:rsidR="007704DB" w:rsidRDefault="007704DB" w:rsidP="007704DB">
      <w:pPr>
        <w:rPr>
          <w:noProof/>
        </w:rPr>
      </w:pPr>
      <w:bookmarkStart w:id="146" w:name="_ENREF_18"/>
      <w:r>
        <w:rPr>
          <w:noProof/>
        </w:rPr>
        <w:t xml:space="preserve">Burgess, A. and B. Colborne (1988). "Visual signal detection. IV. Observer inconsistency." </w:t>
      </w:r>
      <w:r w:rsidRPr="007704DB">
        <w:rPr>
          <w:noProof/>
          <w:u w:val="single"/>
        </w:rPr>
        <w:t>Journal of the Optical Society of America A</w:t>
      </w:r>
      <w:r>
        <w:rPr>
          <w:noProof/>
        </w:rPr>
        <w:t xml:space="preserve"> </w:t>
      </w:r>
      <w:r w:rsidRPr="007704DB">
        <w:rPr>
          <w:b/>
          <w:noProof/>
        </w:rPr>
        <w:t>5</w:t>
      </w:r>
      <w:r>
        <w:rPr>
          <w:noProof/>
        </w:rPr>
        <w:t>(4): 617-627.</w:t>
      </w:r>
    </w:p>
    <w:p w:rsidR="007704DB" w:rsidRDefault="007704DB" w:rsidP="007704DB">
      <w:pPr>
        <w:ind w:left="720" w:hanging="720"/>
        <w:rPr>
          <w:noProof/>
        </w:rPr>
      </w:pPr>
      <w:r>
        <w:rPr>
          <w:noProof/>
        </w:rPr>
        <w:tab/>
      </w:r>
      <w:bookmarkEnd w:id="146"/>
    </w:p>
    <w:p w:rsidR="007704DB" w:rsidRDefault="007704DB" w:rsidP="007704DB">
      <w:pPr>
        <w:rPr>
          <w:noProof/>
        </w:rPr>
      </w:pPr>
      <w:bookmarkStart w:id="147" w:name="_ENREF_19"/>
      <w:r>
        <w:rPr>
          <w:noProof/>
        </w:rPr>
        <w:t xml:space="preserve">Burgess, A., R. Shaw, et al. (1999). "Noise in imaging systems and human vision." </w:t>
      </w:r>
      <w:r w:rsidRPr="007704DB">
        <w:rPr>
          <w:noProof/>
          <w:u w:val="single"/>
        </w:rPr>
        <w:t>JOSA A</w:t>
      </w:r>
      <w:r>
        <w:rPr>
          <w:noProof/>
        </w:rPr>
        <w:t xml:space="preserve"> </w:t>
      </w:r>
      <w:r w:rsidRPr="007704DB">
        <w:rPr>
          <w:b/>
          <w:noProof/>
        </w:rPr>
        <w:t>16</w:t>
      </w:r>
      <w:r>
        <w:rPr>
          <w:noProof/>
        </w:rPr>
        <w:t>(3): 618.</w:t>
      </w:r>
    </w:p>
    <w:p w:rsidR="007704DB" w:rsidRDefault="007704DB" w:rsidP="007704DB">
      <w:pPr>
        <w:ind w:left="720" w:hanging="720"/>
        <w:rPr>
          <w:noProof/>
        </w:rPr>
      </w:pPr>
      <w:r>
        <w:rPr>
          <w:noProof/>
        </w:rPr>
        <w:tab/>
      </w:r>
      <w:bookmarkEnd w:id="147"/>
    </w:p>
    <w:p w:rsidR="007704DB" w:rsidRDefault="007704DB" w:rsidP="007704DB">
      <w:pPr>
        <w:rPr>
          <w:noProof/>
        </w:rPr>
      </w:pPr>
      <w:bookmarkStart w:id="148" w:name="_ENREF_20"/>
      <w:r>
        <w:rPr>
          <w:noProof/>
        </w:rPr>
        <w:t xml:space="preserve">Campbell, F. and J. Robson (1968). "Application of Fourier analysis to the visibility of gratings." </w:t>
      </w:r>
      <w:r w:rsidRPr="007704DB">
        <w:rPr>
          <w:noProof/>
          <w:u w:val="single"/>
        </w:rPr>
        <w:t>The Journal of Physiology</w:t>
      </w:r>
      <w:r>
        <w:rPr>
          <w:noProof/>
        </w:rPr>
        <w:t xml:space="preserve"> </w:t>
      </w:r>
      <w:r w:rsidRPr="007704DB">
        <w:rPr>
          <w:b/>
          <w:noProof/>
        </w:rPr>
        <w:t>197</w:t>
      </w:r>
      <w:r>
        <w:rPr>
          <w:noProof/>
        </w:rPr>
        <w:t>(3): 551.</w:t>
      </w:r>
    </w:p>
    <w:p w:rsidR="007704DB" w:rsidRDefault="007704DB" w:rsidP="007704DB">
      <w:pPr>
        <w:ind w:left="720" w:hanging="720"/>
        <w:rPr>
          <w:noProof/>
        </w:rPr>
      </w:pPr>
      <w:r>
        <w:rPr>
          <w:noProof/>
        </w:rPr>
        <w:tab/>
      </w:r>
      <w:bookmarkEnd w:id="148"/>
    </w:p>
    <w:p w:rsidR="007704DB" w:rsidRDefault="007704DB" w:rsidP="007704DB">
      <w:pPr>
        <w:rPr>
          <w:noProof/>
        </w:rPr>
      </w:pPr>
      <w:bookmarkStart w:id="149" w:name="_ENREF_21"/>
      <w:r>
        <w:rPr>
          <w:noProof/>
        </w:rPr>
        <w:t xml:space="preserve">Carson, R., M. Daube-Witherspoon, et al. (1988). "A method for postinjection PET transmission measurements with a rotating source." </w:t>
      </w:r>
      <w:r w:rsidRPr="007704DB">
        <w:rPr>
          <w:noProof/>
          <w:u w:val="single"/>
        </w:rPr>
        <w:t>Journal of Nuclear Medicine</w:t>
      </w:r>
      <w:r>
        <w:rPr>
          <w:noProof/>
        </w:rPr>
        <w:t xml:space="preserve"> </w:t>
      </w:r>
      <w:r w:rsidRPr="007704DB">
        <w:rPr>
          <w:b/>
          <w:noProof/>
        </w:rPr>
        <w:t>29</w:t>
      </w:r>
      <w:r>
        <w:rPr>
          <w:noProof/>
        </w:rPr>
        <w:t>(9): 1558.</w:t>
      </w:r>
    </w:p>
    <w:p w:rsidR="007704DB" w:rsidRDefault="007704DB" w:rsidP="007704DB">
      <w:pPr>
        <w:ind w:left="720" w:hanging="720"/>
        <w:rPr>
          <w:noProof/>
        </w:rPr>
      </w:pPr>
      <w:r>
        <w:rPr>
          <w:noProof/>
        </w:rPr>
        <w:tab/>
      </w:r>
      <w:bookmarkEnd w:id="149"/>
    </w:p>
    <w:p w:rsidR="007704DB" w:rsidRDefault="007704DB" w:rsidP="007704DB">
      <w:pPr>
        <w:rPr>
          <w:noProof/>
        </w:rPr>
      </w:pPr>
      <w:bookmarkStart w:id="150" w:name="_ENREF_22"/>
      <w:r>
        <w:rPr>
          <w:noProof/>
        </w:rPr>
        <w:t xml:space="preserve">Casey, M. (2007). "Point spread function reconstruction in PET." </w:t>
      </w:r>
      <w:r w:rsidRPr="007704DB">
        <w:rPr>
          <w:noProof/>
          <w:u w:val="single"/>
        </w:rPr>
        <w:t>Siemens Medical Solution, Knoxville, USA</w:t>
      </w:r>
      <w:r>
        <w:rPr>
          <w:noProof/>
        </w:rPr>
        <w:t>.</w:t>
      </w:r>
    </w:p>
    <w:p w:rsidR="007704DB" w:rsidRDefault="007704DB" w:rsidP="007704DB">
      <w:pPr>
        <w:ind w:left="720" w:hanging="720"/>
        <w:rPr>
          <w:noProof/>
        </w:rPr>
      </w:pPr>
      <w:r>
        <w:rPr>
          <w:noProof/>
        </w:rPr>
        <w:tab/>
      </w:r>
      <w:bookmarkEnd w:id="150"/>
    </w:p>
    <w:p w:rsidR="007704DB" w:rsidRDefault="007704DB" w:rsidP="007704DB">
      <w:pPr>
        <w:rPr>
          <w:noProof/>
        </w:rPr>
      </w:pPr>
      <w:bookmarkStart w:id="151" w:name="_ENREF_23"/>
      <w:r>
        <w:rPr>
          <w:noProof/>
        </w:rPr>
        <w:t xml:space="preserve">Casey, M. (2008). "Improving PET With HD•PET + Time of Flight." </w:t>
      </w:r>
      <w:r w:rsidRPr="007704DB">
        <w:rPr>
          <w:noProof/>
          <w:u w:val="single"/>
        </w:rPr>
        <w:t>Siemens Medical Solution, Knoxville, USA</w:t>
      </w:r>
      <w:r>
        <w:rPr>
          <w:noProof/>
        </w:rPr>
        <w:t>.</w:t>
      </w:r>
    </w:p>
    <w:p w:rsidR="007704DB" w:rsidRDefault="007704DB" w:rsidP="007704DB">
      <w:pPr>
        <w:ind w:left="720" w:hanging="720"/>
        <w:rPr>
          <w:noProof/>
        </w:rPr>
      </w:pPr>
      <w:r>
        <w:rPr>
          <w:noProof/>
        </w:rPr>
        <w:tab/>
      </w:r>
      <w:bookmarkEnd w:id="151"/>
    </w:p>
    <w:p w:rsidR="007704DB" w:rsidRDefault="007704DB" w:rsidP="007704DB">
      <w:pPr>
        <w:rPr>
          <w:noProof/>
        </w:rPr>
      </w:pPr>
      <w:bookmarkStart w:id="152" w:name="_ENREF_24"/>
      <w:r>
        <w:rPr>
          <w:noProof/>
        </w:rPr>
        <w:t xml:space="preserve">Casey, M. and R. Nutt (1986). "A multicrystal two dimensional BGO detector system for positron emission tomography." </w:t>
      </w:r>
      <w:r w:rsidRPr="007704DB">
        <w:rPr>
          <w:noProof/>
          <w:u w:val="single"/>
        </w:rPr>
        <w:t>IEEE Trans. Nucl. Sci</w:t>
      </w:r>
      <w:r>
        <w:rPr>
          <w:noProof/>
        </w:rPr>
        <w:t xml:space="preserve"> </w:t>
      </w:r>
      <w:r w:rsidRPr="007704DB">
        <w:rPr>
          <w:b/>
          <w:noProof/>
        </w:rPr>
        <w:t>33</w:t>
      </w:r>
      <w:r>
        <w:rPr>
          <w:noProof/>
        </w:rPr>
        <w:t>(1): 460-463.</w:t>
      </w:r>
    </w:p>
    <w:p w:rsidR="007704DB" w:rsidRDefault="007704DB" w:rsidP="007704DB">
      <w:pPr>
        <w:ind w:left="720" w:hanging="720"/>
        <w:rPr>
          <w:noProof/>
        </w:rPr>
      </w:pPr>
      <w:r>
        <w:rPr>
          <w:noProof/>
        </w:rPr>
        <w:tab/>
      </w:r>
      <w:bookmarkEnd w:id="152"/>
    </w:p>
    <w:p w:rsidR="007704DB" w:rsidRDefault="007704DB" w:rsidP="007704DB">
      <w:pPr>
        <w:rPr>
          <w:noProof/>
        </w:rPr>
      </w:pPr>
      <w:bookmarkStart w:id="153" w:name="_ENREF_25"/>
      <w:r>
        <w:rPr>
          <w:noProof/>
        </w:rPr>
        <w:t xml:space="preserve">Chan, H., K. Doi, et al. (1990). "Improvement in radiologists' detection of clustered microcalcifications on mammograms: the potential of computer-aided diagnosis." </w:t>
      </w:r>
      <w:r w:rsidRPr="007704DB">
        <w:rPr>
          <w:noProof/>
          <w:u w:val="single"/>
        </w:rPr>
        <w:t>Investigative Radiology</w:t>
      </w:r>
      <w:r>
        <w:rPr>
          <w:noProof/>
        </w:rPr>
        <w:t xml:space="preserve"> </w:t>
      </w:r>
      <w:r w:rsidRPr="007704DB">
        <w:rPr>
          <w:b/>
          <w:noProof/>
        </w:rPr>
        <w:t>25</w:t>
      </w:r>
      <w:r>
        <w:rPr>
          <w:noProof/>
        </w:rPr>
        <w:t>(10): 1102.</w:t>
      </w:r>
    </w:p>
    <w:p w:rsidR="007704DB" w:rsidRDefault="007704DB" w:rsidP="007704DB">
      <w:pPr>
        <w:ind w:left="720" w:hanging="720"/>
        <w:rPr>
          <w:noProof/>
        </w:rPr>
      </w:pPr>
      <w:r>
        <w:rPr>
          <w:noProof/>
        </w:rPr>
        <w:tab/>
      </w:r>
      <w:bookmarkEnd w:id="153"/>
    </w:p>
    <w:p w:rsidR="007704DB" w:rsidRDefault="007704DB" w:rsidP="007704DB">
      <w:pPr>
        <w:rPr>
          <w:noProof/>
        </w:rPr>
      </w:pPr>
      <w:bookmarkStart w:id="154" w:name="_ENREF_26"/>
      <w:r>
        <w:rPr>
          <w:noProof/>
        </w:rPr>
        <w:t xml:space="preserve">Cherry, S., M. Dahlbom, et al. (1991). "3D PET using a conventional multislice tomograph without septa." </w:t>
      </w:r>
      <w:r w:rsidRPr="007704DB">
        <w:rPr>
          <w:noProof/>
          <w:u w:val="single"/>
        </w:rPr>
        <w:t>Journal of Computer Assisted Tomography</w:t>
      </w:r>
      <w:r>
        <w:rPr>
          <w:noProof/>
        </w:rPr>
        <w:t xml:space="preserve"> </w:t>
      </w:r>
      <w:r w:rsidRPr="007704DB">
        <w:rPr>
          <w:b/>
          <w:noProof/>
        </w:rPr>
        <w:t>15</w:t>
      </w:r>
      <w:r>
        <w:rPr>
          <w:noProof/>
        </w:rPr>
        <w:t>(4): 655.</w:t>
      </w:r>
    </w:p>
    <w:p w:rsidR="007704DB" w:rsidRDefault="007704DB" w:rsidP="007704DB">
      <w:pPr>
        <w:ind w:left="720" w:hanging="720"/>
        <w:rPr>
          <w:noProof/>
        </w:rPr>
      </w:pPr>
      <w:r>
        <w:rPr>
          <w:noProof/>
        </w:rPr>
        <w:tab/>
      </w:r>
      <w:bookmarkEnd w:id="154"/>
    </w:p>
    <w:p w:rsidR="007704DB" w:rsidRDefault="007704DB" w:rsidP="007704DB">
      <w:pPr>
        <w:rPr>
          <w:noProof/>
        </w:rPr>
      </w:pPr>
      <w:bookmarkStart w:id="155" w:name="_ENREF_27"/>
      <w:r>
        <w:rPr>
          <w:noProof/>
        </w:rPr>
        <w:t xml:space="preserve">Conti, M., B. Bendriem, et al. (2005). "First experimental results of time-of-flight reconstruction on an LSO PET scanner." </w:t>
      </w:r>
      <w:r w:rsidRPr="007704DB">
        <w:rPr>
          <w:noProof/>
          <w:u w:val="single"/>
        </w:rPr>
        <w:t>Physics in Medicine and Biology</w:t>
      </w:r>
      <w:r>
        <w:rPr>
          <w:noProof/>
        </w:rPr>
        <w:t xml:space="preserve"> </w:t>
      </w:r>
      <w:r w:rsidRPr="007704DB">
        <w:rPr>
          <w:b/>
          <w:noProof/>
        </w:rPr>
        <w:t>50</w:t>
      </w:r>
      <w:r>
        <w:rPr>
          <w:noProof/>
        </w:rPr>
        <w:t>: 4507-4526.</w:t>
      </w:r>
    </w:p>
    <w:p w:rsidR="007704DB" w:rsidRDefault="007704DB" w:rsidP="007704DB">
      <w:pPr>
        <w:ind w:left="720" w:hanging="720"/>
        <w:rPr>
          <w:noProof/>
        </w:rPr>
      </w:pPr>
      <w:r>
        <w:rPr>
          <w:noProof/>
        </w:rPr>
        <w:tab/>
      </w:r>
      <w:bookmarkEnd w:id="155"/>
    </w:p>
    <w:p w:rsidR="007704DB" w:rsidRDefault="007704DB" w:rsidP="007704DB">
      <w:pPr>
        <w:rPr>
          <w:noProof/>
        </w:rPr>
      </w:pPr>
      <w:bookmarkStart w:id="156" w:name="_ENREF_28"/>
      <w:r>
        <w:rPr>
          <w:noProof/>
        </w:rPr>
        <w:lastRenderedPageBreak/>
        <w:t xml:space="preserve">Daube-Witherspoon, M. E., S. Matej, et al. (2011). </w:t>
      </w:r>
      <w:r w:rsidRPr="007704DB">
        <w:rPr>
          <w:noProof/>
          <w:u w:val="single"/>
        </w:rPr>
        <w:t>Impact of resolution modeling on accuracy and precision of lesion contrast measurements</w:t>
      </w:r>
      <w:r>
        <w:rPr>
          <w:noProof/>
        </w:rPr>
        <w:t>. Nuclear Science Symposium and Medical Imaging Conference (NSS/MIC), IEEE.</w:t>
      </w:r>
    </w:p>
    <w:p w:rsidR="007704DB" w:rsidRDefault="007704DB" w:rsidP="007704DB">
      <w:pPr>
        <w:ind w:left="720" w:hanging="720"/>
        <w:rPr>
          <w:noProof/>
        </w:rPr>
      </w:pPr>
      <w:r>
        <w:rPr>
          <w:noProof/>
        </w:rPr>
        <w:tab/>
      </w:r>
      <w:bookmarkEnd w:id="156"/>
    </w:p>
    <w:p w:rsidR="007704DB" w:rsidRDefault="007704DB" w:rsidP="007704DB">
      <w:pPr>
        <w:rPr>
          <w:noProof/>
        </w:rPr>
      </w:pPr>
      <w:bookmarkStart w:id="157" w:name="_ENREF_29"/>
      <w:r>
        <w:rPr>
          <w:noProof/>
        </w:rPr>
        <w:t xml:space="preserve">Doi, K., M. Giger, et al. (1992). "Computer-aided diagnosis: development of automated schemes for quantitative analysis of radiographic images." </w:t>
      </w:r>
      <w:r w:rsidRPr="007704DB">
        <w:rPr>
          <w:noProof/>
          <w:u w:val="single"/>
        </w:rPr>
        <w:t>Semin Ultrasound CT MR</w:t>
      </w:r>
      <w:r>
        <w:rPr>
          <w:noProof/>
        </w:rPr>
        <w:t xml:space="preserve"> </w:t>
      </w:r>
      <w:r w:rsidRPr="007704DB">
        <w:rPr>
          <w:b/>
          <w:noProof/>
        </w:rPr>
        <w:t>13</w:t>
      </w:r>
      <w:r>
        <w:rPr>
          <w:noProof/>
        </w:rPr>
        <w:t>(2): 140–152.</w:t>
      </w:r>
    </w:p>
    <w:p w:rsidR="007704DB" w:rsidRDefault="007704DB" w:rsidP="007704DB">
      <w:pPr>
        <w:ind w:left="720" w:hanging="720"/>
        <w:rPr>
          <w:noProof/>
        </w:rPr>
      </w:pPr>
      <w:r>
        <w:rPr>
          <w:noProof/>
        </w:rPr>
        <w:tab/>
      </w:r>
      <w:bookmarkEnd w:id="157"/>
    </w:p>
    <w:p w:rsidR="007704DB" w:rsidRDefault="007704DB" w:rsidP="007704DB">
      <w:pPr>
        <w:rPr>
          <w:noProof/>
        </w:rPr>
      </w:pPr>
      <w:bookmarkStart w:id="158" w:name="_ENREF_30"/>
      <w:r>
        <w:rPr>
          <w:noProof/>
        </w:rPr>
        <w:t xml:space="preserve">El Fakhri, G., P. A. Santos, et al. (2007). "Impact of Acquisition Geometry, Image Processing, and Patient Size on Lesion Detection in Whole-Body 18F-FDG PET." </w:t>
      </w:r>
      <w:r w:rsidRPr="007704DB">
        <w:rPr>
          <w:noProof/>
          <w:u w:val="single"/>
        </w:rPr>
        <w:t>Journal of Nuclear Medicine</w:t>
      </w:r>
      <w:r>
        <w:rPr>
          <w:noProof/>
        </w:rPr>
        <w:t xml:space="preserve"> </w:t>
      </w:r>
      <w:r w:rsidRPr="007704DB">
        <w:rPr>
          <w:b/>
          <w:noProof/>
        </w:rPr>
        <w:t>48</w:t>
      </w:r>
      <w:r>
        <w:rPr>
          <w:noProof/>
        </w:rPr>
        <w:t>(12): 1951-1960.</w:t>
      </w:r>
    </w:p>
    <w:p w:rsidR="007704DB" w:rsidRDefault="007704DB" w:rsidP="007704DB">
      <w:pPr>
        <w:ind w:left="720" w:hanging="720"/>
        <w:rPr>
          <w:noProof/>
        </w:rPr>
      </w:pPr>
      <w:r>
        <w:rPr>
          <w:noProof/>
        </w:rPr>
        <w:tab/>
      </w:r>
      <w:bookmarkEnd w:id="158"/>
    </w:p>
    <w:p w:rsidR="007704DB" w:rsidRDefault="007704DB" w:rsidP="007704DB">
      <w:pPr>
        <w:rPr>
          <w:noProof/>
        </w:rPr>
      </w:pPr>
      <w:bookmarkStart w:id="159" w:name="_ENREF_31"/>
      <w:r>
        <w:rPr>
          <w:noProof/>
        </w:rPr>
        <w:t xml:space="preserve">El Fakhri, G., S. Surti, et al. (2011). "Improvement in lesion detection with whole-body oncologic time-of-flight PET." </w:t>
      </w:r>
      <w:r w:rsidRPr="007704DB">
        <w:rPr>
          <w:noProof/>
          <w:u w:val="single"/>
        </w:rPr>
        <w:t>Journal of Nuclear Medicine</w:t>
      </w:r>
      <w:r>
        <w:rPr>
          <w:noProof/>
        </w:rPr>
        <w:t xml:space="preserve"> </w:t>
      </w:r>
      <w:r w:rsidRPr="007704DB">
        <w:rPr>
          <w:b/>
          <w:noProof/>
        </w:rPr>
        <w:t>52</w:t>
      </w:r>
      <w:r>
        <w:rPr>
          <w:noProof/>
        </w:rPr>
        <w:t>(3): 347-353.</w:t>
      </w:r>
    </w:p>
    <w:p w:rsidR="007704DB" w:rsidRDefault="007704DB" w:rsidP="007704DB">
      <w:pPr>
        <w:ind w:left="720" w:hanging="720"/>
        <w:rPr>
          <w:noProof/>
        </w:rPr>
      </w:pPr>
      <w:r>
        <w:rPr>
          <w:noProof/>
        </w:rPr>
        <w:tab/>
      </w:r>
      <w:bookmarkEnd w:id="159"/>
    </w:p>
    <w:p w:rsidR="007704DB" w:rsidRDefault="007704DB" w:rsidP="007704DB">
      <w:pPr>
        <w:rPr>
          <w:noProof/>
        </w:rPr>
      </w:pPr>
      <w:bookmarkStart w:id="160" w:name="_ENREF_32"/>
      <w:r>
        <w:rPr>
          <w:noProof/>
        </w:rPr>
        <w:t xml:space="preserve">Fiete, R., H. Barrett, et al. (1987). "Hotelling trace criterion and its correlation with human-observer performance." </w:t>
      </w:r>
      <w:r w:rsidRPr="007704DB">
        <w:rPr>
          <w:noProof/>
          <w:u w:val="single"/>
        </w:rPr>
        <w:t>JOSA A</w:t>
      </w:r>
      <w:r>
        <w:rPr>
          <w:noProof/>
        </w:rPr>
        <w:t xml:space="preserve"> </w:t>
      </w:r>
      <w:r w:rsidRPr="007704DB">
        <w:rPr>
          <w:b/>
          <w:noProof/>
        </w:rPr>
        <w:t>4</w:t>
      </w:r>
      <w:r>
        <w:rPr>
          <w:noProof/>
        </w:rPr>
        <w:t>(5): 945-953.</w:t>
      </w:r>
    </w:p>
    <w:p w:rsidR="007704DB" w:rsidRDefault="007704DB" w:rsidP="007704DB">
      <w:pPr>
        <w:ind w:left="720" w:hanging="720"/>
        <w:rPr>
          <w:noProof/>
        </w:rPr>
      </w:pPr>
      <w:r>
        <w:rPr>
          <w:noProof/>
        </w:rPr>
        <w:tab/>
      </w:r>
      <w:bookmarkEnd w:id="160"/>
    </w:p>
    <w:p w:rsidR="007704DB" w:rsidRDefault="007704DB" w:rsidP="007704DB">
      <w:pPr>
        <w:rPr>
          <w:noProof/>
        </w:rPr>
      </w:pPr>
      <w:bookmarkStart w:id="161" w:name="_ENREF_33"/>
      <w:r>
        <w:rPr>
          <w:noProof/>
        </w:rPr>
        <w:t xml:space="preserve">Fisher, R. (1936). "The use of multiple measures in taxonomic problems." </w:t>
      </w:r>
      <w:r w:rsidRPr="007704DB">
        <w:rPr>
          <w:noProof/>
          <w:u w:val="single"/>
        </w:rPr>
        <w:t>Ann. Eugenics</w:t>
      </w:r>
      <w:r>
        <w:rPr>
          <w:noProof/>
        </w:rPr>
        <w:t xml:space="preserve"> </w:t>
      </w:r>
      <w:r w:rsidRPr="007704DB">
        <w:rPr>
          <w:b/>
          <w:noProof/>
        </w:rPr>
        <w:t>7</w:t>
      </w:r>
      <w:r>
        <w:rPr>
          <w:noProof/>
        </w:rPr>
        <w:t>: 179-188.</w:t>
      </w:r>
    </w:p>
    <w:p w:rsidR="007704DB" w:rsidRDefault="007704DB" w:rsidP="007704DB">
      <w:pPr>
        <w:ind w:left="720" w:hanging="720"/>
        <w:rPr>
          <w:noProof/>
        </w:rPr>
      </w:pPr>
      <w:r>
        <w:rPr>
          <w:noProof/>
        </w:rPr>
        <w:tab/>
      </w:r>
      <w:bookmarkEnd w:id="161"/>
    </w:p>
    <w:p w:rsidR="007704DB" w:rsidRDefault="007704DB" w:rsidP="007704DB">
      <w:pPr>
        <w:rPr>
          <w:noProof/>
        </w:rPr>
      </w:pPr>
      <w:bookmarkStart w:id="162" w:name="_ENREF_34"/>
      <w:r>
        <w:rPr>
          <w:noProof/>
        </w:rPr>
        <w:t xml:space="preserve">Gifford, H., P. Kinahan, et al. (2007). "Evaluation of multiclass model observers in PET LROC studies." </w:t>
      </w:r>
      <w:r w:rsidRPr="007704DB">
        <w:rPr>
          <w:noProof/>
          <w:u w:val="single"/>
        </w:rPr>
        <w:t>IEEE transactions on nuclear science</w:t>
      </w:r>
      <w:r>
        <w:rPr>
          <w:noProof/>
        </w:rPr>
        <w:t xml:space="preserve"> </w:t>
      </w:r>
      <w:r w:rsidRPr="007704DB">
        <w:rPr>
          <w:b/>
          <w:noProof/>
        </w:rPr>
        <w:t>54</w:t>
      </w:r>
      <w:r>
        <w:rPr>
          <w:noProof/>
        </w:rPr>
        <w:t>(1 Part 1): 116-123.</w:t>
      </w:r>
    </w:p>
    <w:p w:rsidR="007704DB" w:rsidRDefault="007704DB" w:rsidP="007704DB">
      <w:pPr>
        <w:ind w:left="720" w:hanging="720"/>
        <w:rPr>
          <w:noProof/>
        </w:rPr>
      </w:pPr>
      <w:r>
        <w:rPr>
          <w:noProof/>
        </w:rPr>
        <w:tab/>
      </w:r>
      <w:bookmarkEnd w:id="162"/>
    </w:p>
    <w:p w:rsidR="007704DB" w:rsidRDefault="007704DB" w:rsidP="007704DB">
      <w:pPr>
        <w:rPr>
          <w:noProof/>
        </w:rPr>
      </w:pPr>
      <w:bookmarkStart w:id="163" w:name="_ENREF_35"/>
      <w:r>
        <w:rPr>
          <w:noProof/>
        </w:rPr>
        <w:t xml:space="preserve">Gifford, H., M. King, et al. (2000). "Channelized Hotelling and human observer correlation for lesion detection in hepatic SPECT imaging." </w:t>
      </w:r>
      <w:r w:rsidRPr="007704DB">
        <w:rPr>
          <w:noProof/>
          <w:u w:val="single"/>
        </w:rPr>
        <w:t>Journal of Nuclear Medicine</w:t>
      </w:r>
      <w:r>
        <w:rPr>
          <w:noProof/>
        </w:rPr>
        <w:t xml:space="preserve"> </w:t>
      </w:r>
      <w:r w:rsidRPr="007704DB">
        <w:rPr>
          <w:b/>
          <w:noProof/>
        </w:rPr>
        <w:t>41</w:t>
      </w:r>
      <w:r>
        <w:rPr>
          <w:noProof/>
        </w:rPr>
        <w:t>(3): 514-521.</w:t>
      </w:r>
    </w:p>
    <w:p w:rsidR="007704DB" w:rsidRDefault="007704DB" w:rsidP="007704DB">
      <w:pPr>
        <w:ind w:left="720" w:hanging="720"/>
        <w:rPr>
          <w:noProof/>
        </w:rPr>
      </w:pPr>
      <w:r>
        <w:rPr>
          <w:noProof/>
        </w:rPr>
        <w:tab/>
      </w:r>
      <w:bookmarkEnd w:id="163"/>
    </w:p>
    <w:p w:rsidR="007704DB" w:rsidRDefault="007704DB" w:rsidP="007704DB">
      <w:pPr>
        <w:rPr>
          <w:noProof/>
        </w:rPr>
      </w:pPr>
      <w:bookmarkStart w:id="164" w:name="_ENREF_36"/>
      <w:r>
        <w:rPr>
          <w:noProof/>
        </w:rPr>
        <w:t xml:space="preserve">Gifford, H., M. King, et al. (2005). "A comparison of human and model observers in multislice LROC studies." </w:t>
      </w:r>
      <w:r w:rsidRPr="007704DB">
        <w:rPr>
          <w:noProof/>
          <w:u w:val="single"/>
        </w:rPr>
        <w:t>IEEE transactions on medical imaging</w:t>
      </w:r>
      <w:r>
        <w:rPr>
          <w:noProof/>
        </w:rPr>
        <w:t xml:space="preserve"> </w:t>
      </w:r>
      <w:r w:rsidRPr="007704DB">
        <w:rPr>
          <w:b/>
          <w:noProof/>
        </w:rPr>
        <w:t>24</w:t>
      </w:r>
      <w:r>
        <w:rPr>
          <w:noProof/>
        </w:rPr>
        <w:t>(2): 160-169.</w:t>
      </w:r>
    </w:p>
    <w:p w:rsidR="007704DB" w:rsidRDefault="007704DB" w:rsidP="007704DB">
      <w:pPr>
        <w:ind w:left="720" w:hanging="720"/>
        <w:rPr>
          <w:noProof/>
        </w:rPr>
      </w:pPr>
      <w:r>
        <w:rPr>
          <w:noProof/>
        </w:rPr>
        <w:tab/>
      </w:r>
      <w:bookmarkEnd w:id="164"/>
    </w:p>
    <w:p w:rsidR="007704DB" w:rsidRDefault="007704DB" w:rsidP="007704DB">
      <w:pPr>
        <w:rPr>
          <w:noProof/>
        </w:rPr>
      </w:pPr>
      <w:bookmarkStart w:id="165" w:name="_ENREF_37"/>
      <w:r>
        <w:rPr>
          <w:noProof/>
        </w:rPr>
        <w:t xml:space="preserve">Giger, M. L. and K. Doi (1987). "Effect of pixel size on detectability of low-contrast signals in digital radiography." </w:t>
      </w:r>
      <w:r w:rsidRPr="007704DB">
        <w:rPr>
          <w:noProof/>
          <w:u w:val="single"/>
        </w:rPr>
        <w:t>JOSA A</w:t>
      </w:r>
      <w:r>
        <w:rPr>
          <w:noProof/>
        </w:rPr>
        <w:t xml:space="preserve"> </w:t>
      </w:r>
      <w:r w:rsidRPr="007704DB">
        <w:rPr>
          <w:b/>
          <w:noProof/>
        </w:rPr>
        <w:t>4</w:t>
      </w:r>
      <w:r>
        <w:rPr>
          <w:noProof/>
        </w:rPr>
        <w:t>(5): 966-975.</w:t>
      </w:r>
    </w:p>
    <w:p w:rsidR="007704DB" w:rsidRDefault="007704DB" w:rsidP="007704DB">
      <w:pPr>
        <w:ind w:left="720" w:hanging="720"/>
        <w:rPr>
          <w:noProof/>
        </w:rPr>
      </w:pPr>
      <w:r>
        <w:rPr>
          <w:noProof/>
        </w:rPr>
        <w:tab/>
      </w:r>
      <w:bookmarkEnd w:id="165"/>
    </w:p>
    <w:p w:rsidR="007704DB" w:rsidRDefault="007704DB" w:rsidP="007704DB">
      <w:pPr>
        <w:rPr>
          <w:noProof/>
        </w:rPr>
      </w:pPr>
      <w:bookmarkStart w:id="166" w:name="_ENREF_38"/>
      <w:r>
        <w:rPr>
          <w:noProof/>
        </w:rPr>
        <w:t xml:space="preserve">Grootoonk, S., T. Spinks, et al. (1996). "Correction for scatter in 3D brain PET using a dual energy window method." </w:t>
      </w:r>
      <w:r w:rsidRPr="007704DB">
        <w:rPr>
          <w:noProof/>
          <w:u w:val="single"/>
        </w:rPr>
        <w:t>Physics in Medicine and Biology</w:t>
      </w:r>
      <w:r>
        <w:rPr>
          <w:noProof/>
        </w:rPr>
        <w:t xml:space="preserve"> </w:t>
      </w:r>
      <w:r w:rsidRPr="007704DB">
        <w:rPr>
          <w:b/>
          <w:noProof/>
        </w:rPr>
        <w:t>41</w:t>
      </w:r>
      <w:r>
        <w:rPr>
          <w:noProof/>
        </w:rPr>
        <w:t>: 2757.</w:t>
      </w:r>
    </w:p>
    <w:p w:rsidR="007704DB" w:rsidRDefault="007704DB" w:rsidP="007704DB">
      <w:pPr>
        <w:ind w:left="720" w:hanging="720"/>
        <w:rPr>
          <w:noProof/>
        </w:rPr>
      </w:pPr>
      <w:r>
        <w:rPr>
          <w:noProof/>
        </w:rPr>
        <w:tab/>
      </w:r>
      <w:bookmarkEnd w:id="166"/>
    </w:p>
    <w:p w:rsidR="007704DB" w:rsidRDefault="007704DB" w:rsidP="007704DB">
      <w:pPr>
        <w:rPr>
          <w:noProof/>
        </w:rPr>
      </w:pPr>
      <w:bookmarkStart w:id="167" w:name="_ENREF_39"/>
      <w:r>
        <w:rPr>
          <w:noProof/>
        </w:rPr>
        <w:t xml:space="preserve">Hoffman, E., M. Phelps, et al. (1976). "Design and performance characteristics of a whole-body positron transaxial tomograph." </w:t>
      </w:r>
      <w:r w:rsidRPr="007704DB">
        <w:rPr>
          <w:noProof/>
          <w:u w:val="single"/>
        </w:rPr>
        <w:t>Journal of Nuclear Medicine</w:t>
      </w:r>
      <w:r>
        <w:rPr>
          <w:noProof/>
        </w:rPr>
        <w:t xml:space="preserve"> </w:t>
      </w:r>
      <w:r w:rsidRPr="007704DB">
        <w:rPr>
          <w:b/>
          <w:noProof/>
        </w:rPr>
        <w:t>17</w:t>
      </w:r>
      <w:r>
        <w:rPr>
          <w:noProof/>
        </w:rPr>
        <w:t>(6): 493.</w:t>
      </w:r>
    </w:p>
    <w:p w:rsidR="007704DB" w:rsidRDefault="007704DB" w:rsidP="007704DB">
      <w:pPr>
        <w:ind w:left="720" w:hanging="720"/>
        <w:rPr>
          <w:noProof/>
        </w:rPr>
      </w:pPr>
      <w:r>
        <w:rPr>
          <w:noProof/>
        </w:rPr>
        <w:tab/>
      </w:r>
      <w:bookmarkEnd w:id="167"/>
    </w:p>
    <w:p w:rsidR="007704DB" w:rsidRDefault="007704DB" w:rsidP="007704DB">
      <w:pPr>
        <w:rPr>
          <w:noProof/>
        </w:rPr>
      </w:pPr>
      <w:bookmarkStart w:id="168" w:name="_ENREF_40"/>
      <w:r>
        <w:rPr>
          <w:noProof/>
        </w:rPr>
        <w:t xml:space="preserve">Hotelling, H. (1931). "The generalization of Student's ratio." </w:t>
      </w:r>
      <w:r w:rsidRPr="007704DB">
        <w:rPr>
          <w:noProof/>
          <w:u w:val="single"/>
        </w:rPr>
        <w:t>The Annals of Mathematical Statistics</w:t>
      </w:r>
      <w:r>
        <w:rPr>
          <w:noProof/>
        </w:rPr>
        <w:t>: 360-378.</w:t>
      </w:r>
    </w:p>
    <w:p w:rsidR="007704DB" w:rsidRDefault="007704DB" w:rsidP="007704DB">
      <w:pPr>
        <w:ind w:left="720" w:hanging="720"/>
        <w:rPr>
          <w:noProof/>
        </w:rPr>
      </w:pPr>
      <w:r>
        <w:rPr>
          <w:noProof/>
        </w:rPr>
        <w:tab/>
      </w:r>
      <w:bookmarkEnd w:id="168"/>
    </w:p>
    <w:p w:rsidR="007704DB" w:rsidRDefault="007704DB" w:rsidP="007704DB">
      <w:pPr>
        <w:rPr>
          <w:noProof/>
        </w:rPr>
      </w:pPr>
      <w:bookmarkStart w:id="169" w:name="_ENREF_41"/>
      <w:r>
        <w:rPr>
          <w:noProof/>
        </w:rPr>
        <w:lastRenderedPageBreak/>
        <w:t xml:space="preserve">Hounsfield, G. (1973). "Computerized transverse axial scanning (tomography): Part 1. Description of system." </w:t>
      </w:r>
      <w:r w:rsidRPr="007704DB">
        <w:rPr>
          <w:noProof/>
          <w:u w:val="single"/>
        </w:rPr>
        <w:t>British Journal of Radiology</w:t>
      </w:r>
      <w:r>
        <w:rPr>
          <w:noProof/>
        </w:rPr>
        <w:t xml:space="preserve"> </w:t>
      </w:r>
      <w:r w:rsidRPr="007704DB">
        <w:rPr>
          <w:b/>
          <w:noProof/>
        </w:rPr>
        <w:t>46</w:t>
      </w:r>
      <w:r>
        <w:rPr>
          <w:noProof/>
        </w:rPr>
        <w:t>(552): 1016.</w:t>
      </w:r>
    </w:p>
    <w:p w:rsidR="007704DB" w:rsidRDefault="007704DB" w:rsidP="007704DB">
      <w:pPr>
        <w:ind w:left="720" w:hanging="720"/>
        <w:rPr>
          <w:noProof/>
        </w:rPr>
      </w:pPr>
      <w:r>
        <w:rPr>
          <w:noProof/>
        </w:rPr>
        <w:tab/>
      </w:r>
      <w:bookmarkEnd w:id="169"/>
    </w:p>
    <w:p w:rsidR="007704DB" w:rsidRDefault="007704DB" w:rsidP="007704DB">
      <w:pPr>
        <w:rPr>
          <w:noProof/>
        </w:rPr>
      </w:pPr>
      <w:bookmarkStart w:id="170" w:name="_ENREF_42"/>
      <w:r>
        <w:rPr>
          <w:noProof/>
        </w:rPr>
        <w:t xml:space="preserve">Hubbell, J. and U. S. N. B. o. Standards (1969). </w:t>
      </w:r>
      <w:r w:rsidRPr="007704DB">
        <w:rPr>
          <w:noProof/>
          <w:u w:val="single"/>
        </w:rPr>
        <w:t>Photon cross sections, attenuation coefficients, and energy absorption coefficients from 10 keV to 100 GeV</w:t>
      </w:r>
      <w:r>
        <w:rPr>
          <w:noProof/>
        </w:rPr>
        <w:t>, US National Bureau of Standards; for sale by the Supt. of Docs., US Govt. Print. Off.</w:t>
      </w:r>
    </w:p>
    <w:p w:rsidR="007704DB" w:rsidRDefault="007704DB" w:rsidP="007704DB">
      <w:pPr>
        <w:ind w:left="720" w:hanging="720"/>
        <w:rPr>
          <w:noProof/>
        </w:rPr>
      </w:pPr>
      <w:r>
        <w:rPr>
          <w:noProof/>
        </w:rPr>
        <w:tab/>
      </w:r>
      <w:bookmarkEnd w:id="170"/>
    </w:p>
    <w:p w:rsidR="007704DB" w:rsidRDefault="007704DB" w:rsidP="007704DB">
      <w:pPr>
        <w:rPr>
          <w:noProof/>
        </w:rPr>
      </w:pPr>
      <w:bookmarkStart w:id="171" w:name="_ENREF_43"/>
      <w:r>
        <w:rPr>
          <w:noProof/>
        </w:rPr>
        <w:t>Jakoby, B., Y. Bercier, et al. (2008). "Performance investigation of a time-of-flight PET/CT scanner."</w:t>
      </w:r>
    </w:p>
    <w:p w:rsidR="007704DB" w:rsidRDefault="007704DB" w:rsidP="007704DB">
      <w:pPr>
        <w:ind w:left="720" w:hanging="720"/>
        <w:rPr>
          <w:noProof/>
        </w:rPr>
      </w:pPr>
      <w:r>
        <w:rPr>
          <w:noProof/>
        </w:rPr>
        <w:tab/>
      </w:r>
      <w:bookmarkEnd w:id="171"/>
    </w:p>
    <w:p w:rsidR="007704DB" w:rsidRDefault="007704DB" w:rsidP="007704DB">
      <w:pPr>
        <w:rPr>
          <w:noProof/>
        </w:rPr>
      </w:pPr>
      <w:bookmarkStart w:id="172" w:name="_ENREF_44"/>
      <w:r>
        <w:rPr>
          <w:noProof/>
        </w:rPr>
        <w:t xml:space="preserve">Judy, P. F., R. G. Swensson, et al. (1981). "Lesion detection and signal–to–noise ratio in CT images." </w:t>
      </w:r>
      <w:r w:rsidRPr="007704DB">
        <w:rPr>
          <w:noProof/>
          <w:u w:val="single"/>
        </w:rPr>
        <w:t>Medical Physics</w:t>
      </w:r>
      <w:r>
        <w:rPr>
          <w:noProof/>
        </w:rPr>
        <w:t xml:space="preserve"> </w:t>
      </w:r>
      <w:r w:rsidRPr="007704DB">
        <w:rPr>
          <w:b/>
          <w:noProof/>
        </w:rPr>
        <w:t>8</w:t>
      </w:r>
      <w:r>
        <w:rPr>
          <w:noProof/>
        </w:rPr>
        <w:t>: 13.</w:t>
      </w:r>
    </w:p>
    <w:p w:rsidR="007704DB" w:rsidRDefault="007704DB" w:rsidP="007704DB">
      <w:pPr>
        <w:ind w:left="720" w:hanging="720"/>
        <w:rPr>
          <w:noProof/>
        </w:rPr>
      </w:pPr>
      <w:r>
        <w:rPr>
          <w:noProof/>
        </w:rPr>
        <w:tab/>
      </w:r>
      <w:bookmarkEnd w:id="172"/>
    </w:p>
    <w:p w:rsidR="007704DB" w:rsidRDefault="007704DB" w:rsidP="007704DB">
      <w:pPr>
        <w:rPr>
          <w:noProof/>
        </w:rPr>
      </w:pPr>
      <w:bookmarkStart w:id="173" w:name="_ENREF_45"/>
      <w:r>
        <w:rPr>
          <w:noProof/>
        </w:rPr>
        <w:t xml:space="preserve">Kadrmas, D. J., M. E. Casey, et al. (2009). "Experimental comparison of lesion detectability for four fully-3D PET reconstruction schemes." </w:t>
      </w:r>
      <w:r w:rsidRPr="007704DB">
        <w:rPr>
          <w:noProof/>
          <w:u w:val="single"/>
        </w:rPr>
        <w:t>IEEE Trans Med Imaging</w:t>
      </w:r>
      <w:r>
        <w:rPr>
          <w:noProof/>
        </w:rPr>
        <w:t xml:space="preserve"> </w:t>
      </w:r>
      <w:r w:rsidRPr="007704DB">
        <w:rPr>
          <w:b/>
          <w:noProof/>
        </w:rPr>
        <w:t>28</w:t>
      </w:r>
      <w:r>
        <w:rPr>
          <w:noProof/>
        </w:rPr>
        <w:t>(4): 523-534.</w:t>
      </w:r>
    </w:p>
    <w:p w:rsidR="007704DB" w:rsidRDefault="007704DB" w:rsidP="007704DB">
      <w:pPr>
        <w:ind w:left="720" w:hanging="720"/>
        <w:rPr>
          <w:noProof/>
        </w:rPr>
      </w:pPr>
      <w:r>
        <w:rPr>
          <w:noProof/>
        </w:rPr>
        <w:tab/>
      </w:r>
      <w:bookmarkEnd w:id="173"/>
    </w:p>
    <w:p w:rsidR="007704DB" w:rsidRDefault="007704DB" w:rsidP="007704DB">
      <w:pPr>
        <w:rPr>
          <w:noProof/>
        </w:rPr>
      </w:pPr>
      <w:bookmarkStart w:id="174" w:name="_ENREF_46"/>
      <w:r>
        <w:rPr>
          <w:noProof/>
        </w:rPr>
        <w:t xml:space="preserve">Kadrmas, D. J., M. E. Casey, et al. (2009). "Impact of Time-of-Flight on PET Tumor Detection." </w:t>
      </w:r>
      <w:r w:rsidRPr="007704DB">
        <w:rPr>
          <w:noProof/>
          <w:u w:val="single"/>
        </w:rPr>
        <w:t>Journal of Nuclear Medicine</w:t>
      </w:r>
      <w:r>
        <w:rPr>
          <w:noProof/>
        </w:rPr>
        <w:t xml:space="preserve"> </w:t>
      </w:r>
      <w:r w:rsidRPr="007704DB">
        <w:rPr>
          <w:b/>
          <w:noProof/>
        </w:rPr>
        <w:t>50</w:t>
      </w:r>
      <w:r>
        <w:rPr>
          <w:noProof/>
        </w:rPr>
        <w:t>(8): 1315-1323.</w:t>
      </w:r>
    </w:p>
    <w:p w:rsidR="007704DB" w:rsidRDefault="007704DB" w:rsidP="007704DB">
      <w:pPr>
        <w:ind w:left="720" w:hanging="720"/>
        <w:rPr>
          <w:noProof/>
        </w:rPr>
      </w:pPr>
      <w:r>
        <w:rPr>
          <w:noProof/>
        </w:rPr>
        <w:tab/>
      </w:r>
      <w:bookmarkEnd w:id="174"/>
    </w:p>
    <w:p w:rsidR="007704DB" w:rsidRDefault="007704DB" w:rsidP="007704DB">
      <w:pPr>
        <w:rPr>
          <w:noProof/>
        </w:rPr>
      </w:pPr>
      <w:bookmarkStart w:id="175" w:name="_ENREF_47"/>
      <w:r>
        <w:rPr>
          <w:noProof/>
        </w:rPr>
        <w:t xml:space="preserve">Kadrmas, D. J., M. B. Oktay, et al. (2012). "Effect of Scan Time on Oncologic Lesion Detection in Whole-Body PET." </w:t>
      </w:r>
      <w:r w:rsidRPr="007704DB">
        <w:rPr>
          <w:noProof/>
          <w:u w:val="single"/>
        </w:rPr>
        <w:t>Nuclear Science, IEEE Transactions on</w:t>
      </w:r>
      <w:r>
        <w:rPr>
          <w:noProof/>
        </w:rPr>
        <w:t xml:space="preserve"> </w:t>
      </w:r>
      <w:r w:rsidRPr="007704DB">
        <w:rPr>
          <w:b/>
          <w:noProof/>
        </w:rPr>
        <w:t>59</w:t>
      </w:r>
      <w:r>
        <w:rPr>
          <w:noProof/>
        </w:rPr>
        <w:t>(5): 1940-1947.</w:t>
      </w:r>
    </w:p>
    <w:p w:rsidR="007704DB" w:rsidRDefault="007704DB" w:rsidP="007704DB">
      <w:pPr>
        <w:ind w:left="720" w:hanging="720"/>
        <w:rPr>
          <w:noProof/>
        </w:rPr>
      </w:pPr>
      <w:r>
        <w:rPr>
          <w:noProof/>
        </w:rPr>
        <w:tab/>
      </w:r>
      <w:bookmarkEnd w:id="175"/>
    </w:p>
    <w:p w:rsidR="007704DB" w:rsidRDefault="007704DB" w:rsidP="007704DB">
      <w:pPr>
        <w:rPr>
          <w:noProof/>
        </w:rPr>
      </w:pPr>
      <w:bookmarkStart w:id="176" w:name="_ENREF_48"/>
      <w:r>
        <w:rPr>
          <w:noProof/>
        </w:rPr>
        <w:t xml:space="preserve">Karp, J. S., S. Surti, et al. (2008). "Benefit of Time-of-Flight in PET: Experimental and Clinical Results." </w:t>
      </w:r>
      <w:r w:rsidRPr="007704DB">
        <w:rPr>
          <w:noProof/>
          <w:u w:val="single"/>
        </w:rPr>
        <w:t>Journal of Nuclear Medicine</w:t>
      </w:r>
      <w:r>
        <w:rPr>
          <w:noProof/>
        </w:rPr>
        <w:t xml:space="preserve"> </w:t>
      </w:r>
      <w:r w:rsidRPr="007704DB">
        <w:rPr>
          <w:b/>
          <w:noProof/>
        </w:rPr>
        <w:t>49</w:t>
      </w:r>
      <w:r>
        <w:rPr>
          <w:noProof/>
        </w:rPr>
        <w:t>(3): 462-470.</w:t>
      </w:r>
    </w:p>
    <w:p w:rsidR="007704DB" w:rsidRDefault="007704DB" w:rsidP="007704DB">
      <w:pPr>
        <w:ind w:left="720" w:hanging="720"/>
        <w:rPr>
          <w:noProof/>
        </w:rPr>
      </w:pPr>
      <w:r>
        <w:rPr>
          <w:noProof/>
        </w:rPr>
        <w:tab/>
      </w:r>
      <w:bookmarkEnd w:id="176"/>
    </w:p>
    <w:p w:rsidR="007704DB" w:rsidRDefault="007704DB" w:rsidP="007704DB">
      <w:pPr>
        <w:rPr>
          <w:noProof/>
        </w:rPr>
      </w:pPr>
      <w:bookmarkStart w:id="177" w:name="_ENREF_49"/>
      <w:r>
        <w:rPr>
          <w:noProof/>
        </w:rPr>
        <w:t xml:space="preserve">Karshenboim, S. G. (2003). "Precision study of positronium: testing bound state QED theory." </w:t>
      </w:r>
      <w:r w:rsidRPr="007704DB">
        <w:rPr>
          <w:noProof/>
          <w:u w:val="single"/>
        </w:rPr>
        <w:t>Arxiv preprint hep-ph/0310099</w:t>
      </w:r>
      <w:r>
        <w:rPr>
          <w:noProof/>
        </w:rPr>
        <w:t>.</w:t>
      </w:r>
    </w:p>
    <w:p w:rsidR="007704DB" w:rsidRDefault="007704DB" w:rsidP="007704DB">
      <w:pPr>
        <w:ind w:left="720" w:hanging="720"/>
        <w:rPr>
          <w:noProof/>
        </w:rPr>
      </w:pPr>
      <w:r>
        <w:rPr>
          <w:noProof/>
        </w:rPr>
        <w:tab/>
      </w:r>
      <w:bookmarkEnd w:id="177"/>
    </w:p>
    <w:p w:rsidR="007704DB" w:rsidRDefault="007704DB" w:rsidP="007704DB">
      <w:pPr>
        <w:rPr>
          <w:noProof/>
        </w:rPr>
      </w:pPr>
      <w:bookmarkStart w:id="178" w:name="_ENREF_50"/>
      <w:r>
        <w:rPr>
          <w:noProof/>
        </w:rPr>
        <w:t xml:space="preserve">Kinahan, P., D. Townsend, et al. (1998). "Attenuation correction for a combined 3D PET/CT scanner." </w:t>
      </w:r>
      <w:r w:rsidRPr="007704DB">
        <w:rPr>
          <w:noProof/>
          <w:u w:val="single"/>
        </w:rPr>
        <w:t>Medical Physics</w:t>
      </w:r>
      <w:r>
        <w:rPr>
          <w:noProof/>
        </w:rPr>
        <w:t xml:space="preserve"> </w:t>
      </w:r>
      <w:r w:rsidRPr="007704DB">
        <w:rPr>
          <w:b/>
          <w:noProof/>
        </w:rPr>
        <w:t>25</w:t>
      </w:r>
      <w:r>
        <w:rPr>
          <w:noProof/>
        </w:rPr>
        <w:t>: 2046.</w:t>
      </w:r>
    </w:p>
    <w:p w:rsidR="007704DB" w:rsidRDefault="007704DB" w:rsidP="007704DB">
      <w:pPr>
        <w:ind w:left="720" w:hanging="720"/>
        <w:rPr>
          <w:noProof/>
        </w:rPr>
      </w:pPr>
      <w:r>
        <w:rPr>
          <w:noProof/>
        </w:rPr>
        <w:tab/>
      </w:r>
      <w:bookmarkEnd w:id="178"/>
    </w:p>
    <w:p w:rsidR="007704DB" w:rsidRDefault="007704DB" w:rsidP="007704DB">
      <w:pPr>
        <w:rPr>
          <w:noProof/>
        </w:rPr>
      </w:pPr>
      <w:bookmarkStart w:id="179" w:name="_ENREF_51"/>
      <w:r>
        <w:rPr>
          <w:noProof/>
        </w:rPr>
        <w:t xml:space="preserve">Lois, C., B. W. Jakoby, et al. (2010). "An Assessment of the Impact of Incorporating Time-of-Flight Information into Clinical PET/CT Imaging." </w:t>
      </w:r>
      <w:r w:rsidRPr="007704DB">
        <w:rPr>
          <w:noProof/>
          <w:u w:val="single"/>
        </w:rPr>
        <w:t>Journal of Nuclear Medicine</w:t>
      </w:r>
      <w:r>
        <w:rPr>
          <w:noProof/>
        </w:rPr>
        <w:t xml:space="preserve"> </w:t>
      </w:r>
      <w:r w:rsidRPr="007704DB">
        <w:rPr>
          <w:b/>
          <w:noProof/>
        </w:rPr>
        <w:t>51</w:t>
      </w:r>
      <w:r>
        <w:rPr>
          <w:noProof/>
        </w:rPr>
        <w:t>(2): 237-245.</w:t>
      </w:r>
    </w:p>
    <w:p w:rsidR="007704DB" w:rsidRDefault="007704DB" w:rsidP="007704DB">
      <w:pPr>
        <w:ind w:left="720" w:hanging="720"/>
        <w:rPr>
          <w:noProof/>
        </w:rPr>
      </w:pPr>
      <w:r>
        <w:rPr>
          <w:noProof/>
        </w:rPr>
        <w:tab/>
      </w:r>
      <w:bookmarkEnd w:id="179"/>
    </w:p>
    <w:p w:rsidR="007704DB" w:rsidRDefault="007704DB" w:rsidP="007704DB">
      <w:pPr>
        <w:rPr>
          <w:noProof/>
        </w:rPr>
      </w:pPr>
      <w:bookmarkStart w:id="180" w:name="_ENREF_52"/>
      <w:r>
        <w:rPr>
          <w:noProof/>
        </w:rPr>
        <w:t xml:space="preserve">Loo, L., K. Doi, et al. (1984). "A comparison of physical image quality indices and observer performance in the radiographic detection of nylon beads." </w:t>
      </w:r>
      <w:r w:rsidRPr="007704DB">
        <w:rPr>
          <w:noProof/>
          <w:u w:val="single"/>
        </w:rPr>
        <w:t>Physics in Medicine and Biology</w:t>
      </w:r>
      <w:r>
        <w:rPr>
          <w:noProof/>
        </w:rPr>
        <w:t xml:space="preserve"> </w:t>
      </w:r>
      <w:r w:rsidRPr="007704DB">
        <w:rPr>
          <w:b/>
          <w:noProof/>
        </w:rPr>
        <w:t>29</w:t>
      </w:r>
      <w:r>
        <w:rPr>
          <w:noProof/>
        </w:rPr>
        <w:t>: 837.</w:t>
      </w:r>
    </w:p>
    <w:p w:rsidR="007704DB" w:rsidRDefault="007704DB" w:rsidP="007704DB">
      <w:pPr>
        <w:ind w:left="720" w:hanging="720"/>
        <w:rPr>
          <w:noProof/>
        </w:rPr>
      </w:pPr>
      <w:r>
        <w:rPr>
          <w:noProof/>
        </w:rPr>
        <w:tab/>
      </w:r>
      <w:bookmarkEnd w:id="180"/>
    </w:p>
    <w:p w:rsidR="007704DB" w:rsidRDefault="007704DB" w:rsidP="007704DB">
      <w:pPr>
        <w:rPr>
          <w:noProof/>
        </w:rPr>
      </w:pPr>
      <w:bookmarkStart w:id="181" w:name="_ENREF_53"/>
      <w:r>
        <w:rPr>
          <w:noProof/>
        </w:rPr>
        <w:t xml:space="preserve">Melcher, C. and J. Schweitzer (1992). "A promising new scintillator: cerium-doped lutetium oxyorthosilicate." </w:t>
      </w:r>
      <w:r w:rsidRPr="007704DB">
        <w:rPr>
          <w:noProof/>
          <w:u w:val="single"/>
        </w:rPr>
        <w:t xml:space="preserve">Nuclear Instruments and Methods in Physics Research </w:t>
      </w:r>
      <w:r w:rsidRPr="007704DB">
        <w:rPr>
          <w:noProof/>
          <w:u w:val="single"/>
        </w:rPr>
        <w:lastRenderedPageBreak/>
        <w:t>Section A: Accelerators, Spectrometers, Detectors and Associated Equipment</w:t>
      </w:r>
      <w:r>
        <w:rPr>
          <w:noProof/>
        </w:rPr>
        <w:t xml:space="preserve"> </w:t>
      </w:r>
      <w:r w:rsidRPr="007704DB">
        <w:rPr>
          <w:b/>
          <w:noProof/>
        </w:rPr>
        <w:t>314</w:t>
      </w:r>
      <w:r>
        <w:rPr>
          <w:noProof/>
        </w:rPr>
        <w:t>(1): 212-214.</w:t>
      </w:r>
    </w:p>
    <w:p w:rsidR="007704DB" w:rsidRDefault="007704DB" w:rsidP="007704DB">
      <w:pPr>
        <w:ind w:left="720" w:hanging="720"/>
        <w:rPr>
          <w:noProof/>
        </w:rPr>
      </w:pPr>
      <w:r>
        <w:rPr>
          <w:noProof/>
        </w:rPr>
        <w:tab/>
      </w:r>
      <w:bookmarkEnd w:id="181"/>
    </w:p>
    <w:p w:rsidR="007704DB" w:rsidRDefault="007704DB" w:rsidP="007704DB">
      <w:pPr>
        <w:rPr>
          <w:noProof/>
        </w:rPr>
      </w:pPr>
      <w:bookmarkStart w:id="182" w:name="_ENREF_54"/>
      <w:r>
        <w:rPr>
          <w:noProof/>
        </w:rPr>
        <w:t xml:space="preserve">Michel, C., M. Sibomana, et al. (1998). </w:t>
      </w:r>
      <w:r w:rsidRPr="007704DB">
        <w:rPr>
          <w:noProof/>
          <w:u w:val="single"/>
        </w:rPr>
        <w:t>Preserving Poisson characteristics of PET data with weighted OSEM reconstruction</w:t>
      </w:r>
      <w:r>
        <w:rPr>
          <w:noProof/>
        </w:rPr>
        <w:t>. Nuclear Science Symposium, 1998. Conference Record. 1998 IEEE, IEEE.</w:t>
      </w:r>
    </w:p>
    <w:p w:rsidR="007704DB" w:rsidRDefault="007704DB" w:rsidP="007704DB">
      <w:pPr>
        <w:ind w:left="720" w:hanging="720"/>
        <w:rPr>
          <w:noProof/>
        </w:rPr>
      </w:pPr>
      <w:r>
        <w:rPr>
          <w:noProof/>
        </w:rPr>
        <w:tab/>
      </w:r>
      <w:bookmarkEnd w:id="182"/>
    </w:p>
    <w:p w:rsidR="007704DB" w:rsidRDefault="007704DB" w:rsidP="007704DB">
      <w:pPr>
        <w:rPr>
          <w:noProof/>
        </w:rPr>
      </w:pPr>
      <w:bookmarkStart w:id="183" w:name="_ENREF_55"/>
      <w:r>
        <w:rPr>
          <w:noProof/>
        </w:rPr>
        <w:t xml:space="preserve">Mullani, N., J. Markham, et al. (1980). "Feasibility of time-of-flight reconstruction in positron emission tomography." </w:t>
      </w:r>
      <w:r w:rsidRPr="007704DB">
        <w:rPr>
          <w:noProof/>
          <w:u w:val="single"/>
        </w:rPr>
        <w:t>Journal of Nuclear Medicine</w:t>
      </w:r>
      <w:r>
        <w:rPr>
          <w:noProof/>
        </w:rPr>
        <w:t xml:space="preserve"> </w:t>
      </w:r>
      <w:r w:rsidRPr="007704DB">
        <w:rPr>
          <w:b/>
          <w:noProof/>
        </w:rPr>
        <w:t>21</w:t>
      </w:r>
      <w:r>
        <w:rPr>
          <w:noProof/>
        </w:rPr>
        <w:t>(11): 1095.</w:t>
      </w:r>
    </w:p>
    <w:p w:rsidR="007704DB" w:rsidRDefault="007704DB" w:rsidP="007704DB">
      <w:pPr>
        <w:ind w:left="720" w:hanging="720"/>
        <w:rPr>
          <w:noProof/>
        </w:rPr>
      </w:pPr>
      <w:r>
        <w:rPr>
          <w:noProof/>
        </w:rPr>
        <w:tab/>
      </w:r>
      <w:bookmarkEnd w:id="183"/>
    </w:p>
    <w:p w:rsidR="007704DB" w:rsidRDefault="007704DB" w:rsidP="007704DB">
      <w:pPr>
        <w:rPr>
          <w:noProof/>
        </w:rPr>
      </w:pPr>
      <w:bookmarkStart w:id="184" w:name="_ENREF_56"/>
      <w:r>
        <w:rPr>
          <w:noProof/>
        </w:rPr>
        <w:t xml:space="preserve">Mumcuoglu, E., R. Leahy, et al. (1996). "Bayesian reconstruction of PET images: methodology and performance analysis." </w:t>
      </w:r>
      <w:r w:rsidRPr="007704DB">
        <w:rPr>
          <w:noProof/>
          <w:u w:val="single"/>
        </w:rPr>
        <w:t>Physics in Medicine and Biology</w:t>
      </w:r>
      <w:r>
        <w:rPr>
          <w:noProof/>
        </w:rPr>
        <w:t xml:space="preserve"> </w:t>
      </w:r>
      <w:r w:rsidRPr="007704DB">
        <w:rPr>
          <w:b/>
          <w:noProof/>
        </w:rPr>
        <w:t>41</w:t>
      </w:r>
      <w:r>
        <w:rPr>
          <w:noProof/>
        </w:rPr>
        <w:t>: 1777.</w:t>
      </w:r>
    </w:p>
    <w:p w:rsidR="007704DB" w:rsidRDefault="007704DB" w:rsidP="007704DB">
      <w:pPr>
        <w:ind w:left="720" w:hanging="720"/>
        <w:rPr>
          <w:noProof/>
        </w:rPr>
      </w:pPr>
      <w:r>
        <w:rPr>
          <w:noProof/>
        </w:rPr>
        <w:tab/>
      </w:r>
      <w:bookmarkEnd w:id="184"/>
    </w:p>
    <w:p w:rsidR="007704DB" w:rsidRDefault="007704DB" w:rsidP="007704DB">
      <w:pPr>
        <w:rPr>
          <w:noProof/>
        </w:rPr>
      </w:pPr>
      <w:bookmarkStart w:id="185" w:name="_ENREF_57"/>
      <w:r>
        <w:rPr>
          <w:noProof/>
        </w:rPr>
        <w:t xml:space="preserve">Myers, K., H. Barrett, et al. (1985). "Effect of noise correlation on detectability of disk signals in medical imaging." </w:t>
      </w:r>
      <w:r w:rsidRPr="007704DB">
        <w:rPr>
          <w:noProof/>
          <w:u w:val="single"/>
        </w:rPr>
        <w:t>Journal of the Optical Society of America A</w:t>
      </w:r>
      <w:r>
        <w:rPr>
          <w:noProof/>
        </w:rPr>
        <w:t xml:space="preserve"> </w:t>
      </w:r>
      <w:r w:rsidRPr="007704DB">
        <w:rPr>
          <w:b/>
          <w:noProof/>
        </w:rPr>
        <w:t>2</w:t>
      </w:r>
      <w:r>
        <w:rPr>
          <w:noProof/>
        </w:rPr>
        <w:t>(10): 1752-1759.</w:t>
      </w:r>
    </w:p>
    <w:p w:rsidR="007704DB" w:rsidRDefault="007704DB" w:rsidP="007704DB">
      <w:pPr>
        <w:ind w:left="720" w:hanging="720"/>
        <w:rPr>
          <w:noProof/>
        </w:rPr>
      </w:pPr>
      <w:r>
        <w:rPr>
          <w:noProof/>
        </w:rPr>
        <w:tab/>
      </w:r>
      <w:bookmarkEnd w:id="185"/>
    </w:p>
    <w:p w:rsidR="007704DB" w:rsidRDefault="007704DB" w:rsidP="007704DB">
      <w:pPr>
        <w:rPr>
          <w:noProof/>
        </w:rPr>
      </w:pPr>
      <w:bookmarkStart w:id="186" w:name="_ENREF_58"/>
      <w:r>
        <w:rPr>
          <w:noProof/>
        </w:rPr>
        <w:t xml:space="preserve">Myers, K. J. and H. H. Barrett (1987). "Addition of a channel mechanism to the ideal-observer model." </w:t>
      </w:r>
      <w:r w:rsidRPr="007704DB">
        <w:rPr>
          <w:noProof/>
          <w:u w:val="single"/>
        </w:rPr>
        <w:t>JOSA A</w:t>
      </w:r>
      <w:r>
        <w:rPr>
          <w:noProof/>
        </w:rPr>
        <w:t xml:space="preserve"> </w:t>
      </w:r>
      <w:r w:rsidRPr="007704DB">
        <w:rPr>
          <w:b/>
          <w:noProof/>
        </w:rPr>
        <w:t>4</w:t>
      </w:r>
      <w:r>
        <w:rPr>
          <w:noProof/>
        </w:rPr>
        <w:t>(12): 2447-2457.</w:t>
      </w:r>
    </w:p>
    <w:p w:rsidR="007704DB" w:rsidRDefault="007704DB" w:rsidP="007704DB">
      <w:pPr>
        <w:ind w:left="720" w:hanging="720"/>
        <w:rPr>
          <w:noProof/>
        </w:rPr>
      </w:pPr>
      <w:r>
        <w:rPr>
          <w:noProof/>
        </w:rPr>
        <w:tab/>
      </w:r>
      <w:bookmarkEnd w:id="186"/>
    </w:p>
    <w:p w:rsidR="007704DB" w:rsidRDefault="007704DB" w:rsidP="007704DB">
      <w:pPr>
        <w:rPr>
          <w:noProof/>
        </w:rPr>
      </w:pPr>
      <w:bookmarkStart w:id="187" w:name="_ENREF_59"/>
      <w:r>
        <w:rPr>
          <w:noProof/>
        </w:rPr>
        <w:t xml:space="preserve">Ollinger, J. (1996). "Model-based scatter correction for fully 3D PET." </w:t>
      </w:r>
      <w:r w:rsidRPr="007704DB">
        <w:rPr>
          <w:noProof/>
          <w:u w:val="single"/>
        </w:rPr>
        <w:t>Physics in Medicine and Biology</w:t>
      </w:r>
      <w:r>
        <w:rPr>
          <w:noProof/>
        </w:rPr>
        <w:t xml:space="preserve"> </w:t>
      </w:r>
      <w:r w:rsidRPr="007704DB">
        <w:rPr>
          <w:b/>
          <w:noProof/>
        </w:rPr>
        <w:t>41</w:t>
      </w:r>
      <w:r>
        <w:rPr>
          <w:noProof/>
        </w:rPr>
        <w:t>: 153.</w:t>
      </w:r>
    </w:p>
    <w:p w:rsidR="007704DB" w:rsidRDefault="007704DB" w:rsidP="007704DB">
      <w:pPr>
        <w:ind w:left="720" w:hanging="720"/>
        <w:rPr>
          <w:noProof/>
        </w:rPr>
      </w:pPr>
      <w:r>
        <w:rPr>
          <w:noProof/>
        </w:rPr>
        <w:tab/>
      </w:r>
      <w:bookmarkEnd w:id="187"/>
    </w:p>
    <w:p w:rsidR="007704DB" w:rsidRDefault="007704DB" w:rsidP="007704DB">
      <w:pPr>
        <w:rPr>
          <w:noProof/>
        </w:rPr>
      </w:pPr>
      <w:bookmarkStart w:id="188" w:name="_ENREF_60"/>
      <w:r>
        <w:rPr>
          <w:noProof/>
        </w:rPr>
        <w:t xml:space="preserve">Panin, V. Y., F. Kehren, et al. (2006). "Fully 3-D PET reconstruction with system matrix derived from point source measurements." </w:t>
      </w:r>
      <w:r w:rsidRPr="007704DB">
        <w:rPr>
          <w:noProof/>
          <w:u w:val="single"/>
        </w:rPr>
        <w:t>Medical Imaging, IEEE Transactions on</w:t>
      </w:r>
      <w:r>
        <w:rPr>
          <w:noProof/>
        </w:rPr>
        <w:t xml:space="preserve"> </w:t>
      </w:r>
      <w:r w:rsidRPr="007704DB">
        <w:rPr>
          <w:b/>
          <w:noProof/>
        </w:rPr>
        <w:t>25</w:t>
      </w:r>
      <w:r>
        <w:rPr>
          <w:noProof/>
        </w:rPr>
        <w:t>(7): 907-921.</w:t>
      </w:r>
    </w:p>
    <w:p w:rsidR="007704DB" w:rsidRDefault="007704DB" w:rsidP="007704DB">
      <w:pPr>
        <w:ind w:left="720" w:hanging="720"/>
        <w:rPr>
          <w:noProof/>
        </w:rPr>
      </w:pPr>
      <w:r>
        <w:rPr>
          <w:noProof/>
        </w:rPr>
        <w:tab/>
      </w:r>
      <w:bookmarkEnd w:id="188"/>
    </w:p>
    <w:p w:rsidR="007704DB" w:rsidRDefault="007704DB" w:rsidP="007704DB">
      <w:pPr>
        <w:rPr>
          <w:noProof/>
        </w:rPr>
      </w:pPr>
      <w:bookmarkStart w:id="189" w:name="_ENREF_61"/>
      <w:r>
        <w:rPr>
          <w:noProof/>
        </w:rPr>
        <w:t xml:space="preserve">Patlak, C., R. Blasberg, et al. (1983). "Graphical evaluation of blood-to-brain transfer constants from multiple-time uptake data." </w:t>
      </w:r>
      <w:r w:rsidRPr="007704DB">
        <w:rPr>
          <w:noProof/>
          <w:u w:val="single"/>
        </w:rPr>
        <w:t>J Cereb Blood Flow Metab</w:t>
      </w:r>
      <w:r>
        <w:rPr>
          <w:noProof/>
        </w:rPr>
        <w:t xml:space="preserve"> </w:t>
      </w:r>
      <w:r w:rsidRPr="007704DB">
        <w:rPr>
          <w:b/>
          <w:noProof/>
        </w:rPr>
        <w:t>3</w:t>
      </w:r>
      <w:r>
        <w:rPr>
          <w:noProof/>
        </w:rPr>
        <w:t>(1): 1-7.</w:t>
      </w:r>
    </w:p>
    <w:p w:rsidR="007704DB" w:rsidRDefault="007704DB" w:rsidP="007704DB">
      <w:pPr>
        <w:ind w:left="720" w:hanging="720"/>
        <w:rPr>
          <w:noProof/>
        </w:rPr>
      </w:pPr>
      <w:r>
        <w:rPr>
          <w:noProof/>
        </w:rPr>
        <w:tab/>
      </w:r>
      <w:bookmarkEnd w:id="189"/>
    </w:p>
    <w:p w:rsidR="007704DB" w:rsidRDefault="007704DB" w:rsidP="007704DB">
      <w:pPr>
        <w:rPr>
          <w:noProof/>
        </w:rPr>
      </w:pPr>
      <w:bookmarkStart w:id="190" w:name="_ENREF_62"/>
      <w:r>
        <w:rPr>
          <w:noProof/>
        </w:rPr>
        <w:t xml:space="preserve">Phelps, M., K. E., et al. (1981). "Metabolic mapping of the brain's response to visual stimulation: studies in man." </w:t>
      </w:r>
      <w:r w:rsidRPr="007704DB">
        <w:rPr>
          <w:noProof/>
          <w:u w:val="single"/>
        </w:rPr>
        <w:t>Science</w:t>
      </w:r>
      <w:r>
        <w:rPr>
          <w:noProof/>
        </w:rPr>
        <w:t xml:space="preserve"> </w:t>
      </w:r>
      <w:r w:rsidRPr="007704DB">
        <w:rPr>
          <w:b/>
          <w:noProof/>
        </w:rPr>
        <w:t>211</w:t>
      </w:r>
      <w:r>
        <w:rPr>
          <w:noProof/>
        </w:rPr>
        <w:t>: 1445-1448.</w:t>
      </w:r>
    </w:p>
    <w:p w:rsidR="007704DB" w:rsidRDefault="007704DB" w:rsidP="007704DB">
      <w:pPr>
        <w:ind w:left="720" w:hanging="720"/>
        <w:rPr>
          <w:noProof/>
        </w:rPr>
      </w:pPr>
      <w:r>
        <w:rPr>
          <w:noProof/>
        </w:rPr>
        <w:tab/>
      </w:r>
      <w:bookmarkEnd w:id="190"/>
    </w:p>
    <w:p w:rsidR="007704DB" w:rsidRDefault="007704DB" w:rsidP="007704DB">
      <w:pPr>
        <w:rPr>
          <w:noProof/>
        </w:rPr>
      </w:pPr>
      <w:bookmarkStart w:id="191" w:name="_ENREF_63"/>
      <w:r>
        <w:rPr>
          <w:noProof/>
        </w:rPr>
        <w:t xml:space="preserve">Phelps, M., E. Hoffman, et al. (1976). "Tomographic images of blood pool and perfusion in brain and heart." </w:t>
      </w:r>
      <w:r w:rsidRPr="007704DB">
        <w:rPr>
          <w:noProof/>
          <w:u w:val="single"/>
        </w:rPr>
        <w:t>Journal of Nuclear Medicine</w:t>
      </w:r>
      <w:r>
        <w:rPr>
          <w:noProof/>
        </w:rPr>
        <w:t xml:space="preserve"> </w:t>
      </w:r>
      <w:r w:rsidRPr="007704DB">
        <w:rPr>
          <w:b/>
          <w:noProof/>
        </w:rPr>
        <w:t>17</w:t>
      </w:r>
      <w:r>
        <w:rPr>
          <w:noProof/>
        </w:rPr>
        <w:t>(7): 603.</w:t>
      </w:r>
    </w:p>
    <w:p w:rsidR="007704DB" w:rsidRDefault="007704DB" w:rsidP="007704DB">
      <w:pPr>
        <w:ind w:left="720" w:hanging="720"/>
        <w:rPr>
          <w:noProof/>
        </w:rPr>
      </w:pPr>
      <w:r>
        <w:rPr>
          <w:noProof/>
        </w:rPr>
        <w:tab/>
      </w:r>
      <w:bookmarkEnd w:id="191"/>
    </w:p>
    <w:p w:rsidR="007704DB" w:rsidRDefault="007704DB" w:rsidP="007704DB">
      <w:pPr>
        <w:rPr>
          <w:noProof/>
        </w:rPr>
      </w:pPr>
      <w:bookmarkStart w:id="192" w:name="_ENREF_64"/>
      <w:r>
        <w:rPr>
          <w:noProof/>
        </w:rPr>
        <w:t xml:space="preserve">Phelps, M., E. Hoffman, et al. (1975). "Application of annihilation coincidence detection to transaxial reconstruction tomography." </w:t>
      </w:r>
      <w:r w:rsidRPr="007704DB">
        <w:rPr>
          <w:noProof/>
          <w:u w:val="single"/>
        </w:rPr>
        <w:t>Journal of Nuclear Medicine</w:t>
      </w:r>
      <w:r>
        <w:rPr>
          <w:noProof/>
        </w:rPr>
        <w:t xml:space="preserve"> </w:t>
      </w:r>
      <w:r w:rsidRPr="007704DB">
        <w:rPr>
          <w:b/>
          <w:noProof/>
        </w:rPr>
        <w:t>16</w:t>
      </w:r>
      <w:r>
        <w:rPr>
          <w:noProof/>
        </w:rPr>
        <w:t>(3): 210.</w:t>
      </w:r>
    </w:p>
    <w:p w:rsidR="007704DB" w:rsidRDefault="007704DB" w:rsidP="007704DB">
      <w:pPr>
        <w:ind w:left="720" w:hanging="720"/>
        <w:rPr>
          <w:noProof/>
        </w:rPr>
      </w:pPr>
      <w:r>
        <w:rPr>
          <w:noProof/>
        </w:rPr>
        <w:tab/>
      </w:r>
      <w:bookmarkEnd w:id="192"/>
    </w:p>
    <w:p w:rsidR="007704DB" w:rsidRDefault="007704DB" w:rsidP="007704DB">
      <w:pPr>
        <w:rPr>
          <w:noProof/>
        </w:rPr>
      </w:pPr>
      <w:bookmarkStart w:id="193" w:name="_ENREF_65"/>
      <w:r>
        <w:rPr>
          <w:noProof/>
        </w:rPr>
        <w:t xml:space="preserve">Phelps, M., S. Huang, et al. (1979). "Tomographic measurement of local cerebral glucose metabolic rate in humans with (F 18) 2 fluoro 2 deoxy D glucose: validation of method." </w:t>
      </w:r>
      <w:r w:rsidRPr="007704DB">
        <w:rPr>
          <w:noProof/>
          <w:u w:val="single"/>
        </w:rPr>
        <w:t>Annals of Neurology</w:t>
      </w:r>
      <w:r>
        <w:rPr>
          <w:noProof/>
        </w:rPr>
        <w:t xml:space="preserve"> </w:t>
      </w:r>
      <w:r w:rsidRPr="007704DB">
        <w:rPr>
          <w:b/>
          <w:noProof/>
        </w:rPr>
        <w:t>6</w:t>
      </w:r>
      <w:r>
        <w:rPr>
          <w:noProof/>
        </w:rPr>
        <w:t>(5): 371-388.</w:t>
      </w:r>
    </w:p>
    <w:p w:rsidR="007704DB" w:rsidRDefault="007704DB" w:rsidP="007704DB">
      <w:pPr>
        <w:ind w:left="720" w:hanging="720"/>
        <w:rPr>
          <w:noProof/>
        </w:rPr>
      </w:pPr>
      <w:r>
        <w:rPr>
          <w:noProof/>
        </w:rPr>
        <w:tab/>
      </w:r>
      <w:bookmarkEnd w:id="193"/>
    </w:p>
    <w:p w:rsidR="007704DB" w:rsidRDefault="007704DB" w:rsidP="007704DB">
      <w:pPr>
        <w:rPr>
          <w:noProof/>
        </w:rPr>
      </w:pPr>
      <w:bookmarkStart w:id="194" w:name="_ENREF_66"/>
      <w:r>
        <w:rPr>
          <w:noProof/>
        </w:rPr>
        <w:lastRenderedPageBreak/>
        <w:t xml:space="preserve">Rolland, J. and H. Barrett (1992). "Effect of random background inhomogeneity on observer detection performance." </w:t>
      </w:r>
      <w:r w:rsidRPr="007704DB">
        <w:rPr>
          <w:noProof/>
          <w:u w:val="single"/>
        </w:rPr>
        <w:t>Journal of the Optical Society of America A</w:t>
      </w:r>
      <w:r>
        <w:rPr>
          <w:noProof/>
        </w:rPr>
        <w:t xml:space="preserve"> </w:t>
      </w:r>
      <w:r w:rsidRPr="007704DB">
        <w:rPr>
          <w:b/>
          <w:noProof/>
        </w:rPr>
        <w:t>9</w:t>
      </w:r>
      <w:r>
        <w:rPr>
          <w:noProof/>
        </w:rPr>
        <w:t>(5): 649-658.</w:t>
      </w:r>
    </w:p>
    <w:p w:rsidR="007704DB" w:rsidRDefault="007704DB" w:rsidP="007704DB">
      <w:pPr>
        <w:ind w:left="720" w:hanging="720"/>
        <w:rPr>
          <w:noProof/>
        </w:rPr>
      </w:pPr>
      <w:r>
        <w:rPr>
          <w:noProof/>
        </w:rPr>
        <w:tab/>
      </w:r>
      <w:bookmarkEnd w:id="194"/>
    </w:p>
    <w:p w:rsidR="007704DB" w:rsidRDefault="007704DB" w:rsidP="007704DB">
      <w:pPr>
        <w:rPr>
          <w:noProof/>
        </w:rPr>
      </w:pPr>
      <w:bookmarkStart w:id="195" w:name="_ENREF_67"/>
      <w:r>
        <w:rPr>
          <w:noProof/>
        </w:rPr>
        <w:t xml:space="preserve">Schlyer, D. (2004). "PET tracers and radiochemistry." </w:t>
      </w:r>
      <w:r w:rsidRPr="007704DB">
        <w:rPr>
          <w:noProof/>
          <w:u w:val="single"/>
        </w:rPr>
        <w:t>ANNALS-ACADEMY OF MEDICINE SINGAPORE</w:t>
      </w:r>
      <w:r>
        <w:rPr>
          <w:noProof/>
        </w:rPr>
        <w:t xml:space="preserve"> </w:t>
      </w:r>
      <w:r w:rsidRPr="007704DB">
        <w:rPr>
          <w:b/>
          <w:noProof/>
        </w:rPr>
        <w:t>33</w:t>
      </w:r>
      <w:r>
        <w:rPr>
          <w:noProof/>
        </w:rPr>
        <w:t>(2): 146-154.</w:t>
      </w:r>
    </w:p>
    <w:p w:rsidR="007704DB" w:rsidRDefault="007704DB" w:rsidP="007704DB">
      <w:pPr>
        <w:ind w:left="720" w:hanging="720"/>
        <w:rPr>
          <w:noProof/>
        </w:rPr>
      </w:pPr>
      <w:r>
        <w:rPr>
          <w:noProof/>
        </w:rPr>
        <w:tab/>
      </w:r>
      <w:bookmarkEnd w:id="195"/>
    </w:p>
    <w:p w:rsidR="007704DB" w:rsidRDefault="007704DB" w:rsidP="007704DB">
      <w:pPr>
        <w:rPr>
          <w:noProof/>
        </w:rPr>
      </w:pPr>
      <w:bookmarkStart w:id="196" w:name="_ENREF_68"/>
      <w:r>
        <w:rPr>
          <w:noProof/>
        </w:rPr>
        <w:t xml:space="preserve">Shapiro, J. (2002). </w:t>
      </w:r>
      <w:r w:rsidRPr="007704DB">
        <w:rPr>
          <w:noProof/>
          <w:u w:val="single"/>
        </w:rPr>
        <w:t>Radiation protection : a guide for scientists, regulators, and physicians</w:t>
      </w:r>
      <w:r>
        <w:rPr>
          <w:noProof/>
        </w:rPr>
        <w:t>. Cambridge, Mass. [u.a.], Harvard University Press.</w:t>
      </w:r>
    </w:p>
    <w:p w:rsidR="007704DB" w:rsidRDefault="007704DB" w:rsidP="007704DB">
      <w:pPr>
        <w:ind w:left="720" w:hanging="720"/>
        <w:rPr>
          <w:noProof/>
        </w:rPr>
      </w:pPr>
      <w:r>
        <w:rPr>
          <w:noProof/>
        </w:rPr>
        <w:tab/>
      </w:r>
      <w:bookmarkEnd w:id="196"/>
    </w:p>
    <w:p w:rsidR="007704DB" w:rsidRDefault="007704DB" w:rsidP="007704DB">
      <w:pPr>
        <w:rPr>
          <w:noProof/>
        </w:rPr>
      </w:pPr>
      <w:bookmarkStart w:id="197" w:name="_ENREF_69"/>
      <w:r>
        <w:rPr>
          <w:noProof/>
        </w:rPr>
        <w:t xml:space="preserve">Shreve, P. and D. W. Townsend (2008). </w:t>
      </w:r>
      <w:r w:rsidRPr="007704DB">
        <w:rPr>
          <w:noProof/>
          <w:u w:val="single"/>
        </w:rPr>
        <w:t>Clinical PET-CT</w:t>
      </w:r>
      <w:r>
        <w:rPr>
          <w:noProof/>
        </w:rPr>
        <w:t>. New York; London, Springer.</w:t>
      </w:r>
    </w:p>
    <w:p w:rsidR="007704DB" w:rsidRDefault="007704DB" w:rsidP="007704DB">
      <w:pPr>
        <w:ind w:left="720" w:hanging="720"/>
        <w:rPr>
          <w:noProof/>
        </w:rPr>
      </w:pPr>
      <w:r>
        <w:rPr>
          <w:noProof/>
        </w:rPr>
        <w:tab/>
      </w:r>
      <w:bookmarkEnd w:id="197"/>
    </w:p>
    <w:p w:rsidR="007704DB" w:rsidRDefault="007704DB" w:rsidP="007704DB">
      <w:pPr>
        <w:rPr>
          <w:noProof/>
        </w:rPr>
      </w:pPr>
      <w:bookmarkStart w:id="198" w:name="_ENREF_70"/>
      <w:r>
        <w:rPr>
          <w:noProof/>
        </w:rPr>
        <w:t xml:space="preserve">Smith, W. E. and H. H. Barrett (1986). "Hotelling trace criterion as a figure of merit for the optimization of imaging systems." </w:t>
      </w:r>
      <w:r w:rsidRPr="007704DB">
        <w:rPr>
          <w:noProof/>
          <w:u w:val="single"/>
        </w:rPr>
        <w:t>JOSA A</w:t>
      </w:r>
      <w:r>
        <w:rPr>
          <w:noProof/>
        </w:rPr>
        <w:t xml:space="preserve"> </w:t>
      </w:r>
      <w:r w:rsidRPr="007704DB">
        <w:rPr>
          <w:b/>
          <w:noProof/>
        </w:rPr>
        <w:t>3</w:t>
      </w:r>
      <w:r>
        <w:rPr>
          <w:noProof/>
        </w:rPr>
        <w:t>(5): 717-725.</w:t>
      </w:r>
    </w:p>
    <w:p w:rsidR="007704DB" w:rsidRDefault="007704DB" w:rsidP="007704DB">
      <w:pPr>
        <w:ind w:left="720" w:hanging="720"/>
        <w:rPr>
          <w:noProof/>
        </w:rPr>
      </w:pPr>
      <w:r>
        <w:rPr>
          <w:noProof/>
        </w:rPr>
        <w:tab/>
      </w:r>
      <w:bookmarkEnd w:id="198"/>
    </w:p>
    <w:p w:rsidR="007704DB" w:rsidRDefault="007704DB" w:rsidP="007704DB">
      <w:pPr>
        <w:rPr>
          <w:noProof/>
        </w:rPr>
      </w:pPr>
      <w:bookmarkStart w:id="199" w:name="_ENREF_71"/>
      <w:r>
        <w:rPr>
          <w:noProof/>
        </w:rPr>
        <w:t xml:space="preserve">Stearns, C. (1995). "Scatter correction method for 3D PET using 2D fitted Gaussian functions." </w:t>
      </w:r>
      <w:r w:rsidRPr="007704DB">
        <w:rPr>
          <w:noProof/>
          <w:u w:val="single"/>
        </w:rPr>
        <w:t>J Nucl Med</w:t>
      </w:r>
      <w:r>
        <w:rPr>
          <w:noProof/>
        </w:rPr>
        <w:t xml:space="preserve"> </w:t>
      </w:r>
      <w:r w:rsidRPr="007704DB">
        <w:rPr>
          <w:b/>
          <w:noProof/>
        </w:rPr>
        <w:t>36</w:t>
      </w:r>
      <w:r>
        <w:rPr>
          <w:noProof/>
        </w:rPr>
        <w:t>: 105.</w:t>
      </w:r>
    </w:p>
    <w:p w:rsidR="007704DB" w:rsidRDefault="007704DB" w:rsidP="007704DB">
      <w:pPr>
        <w:ind w:left="720" w:hanging="720"/>
        <w:rPr>
          <w:noProof/>
        </w:rPr>
      </w:pPr>
      <w:r>
        <w:rPr>
          <w:noProof/>
        </w:rPr>
        <w:tab/>
      </w:r>
      <w:bookmarkEnd w:id="199"/>
    </w:p>
    <w:p w:rsidR="007704DB" w:rsidRDefault="007704DB" w:rsidP="007704DB">
      <w:pPr>
        <w:rPr>
          <w:noProof/>
        </w:rPr>
      </w:pPr>
      <w:bookmarkStart w:id="200" w:name="_ENREF_72"/>
      <w:r>
        <w:rPr>
          <w:noProof/>
        </w:rPr>
        <w:t xml:space="preserve">Surti, S. and J. S. Karp (2009). "Experimental evaluation of a simple lesion detection task with time-of-flight PET." </w:t>
      </w:r>
      <w:r w:rsidRPr="007704DB">
        <w:rPr>
          <w:noProof/>
          <w:u w:val="single"/>
        </w:rPr>
        <w:t>Physics in Medicine and Biology</w:t>
      </w:r>
      <w:r>
        <w:rPr>
          <w:noProof/>
        </w:rPr>
        <w:t xml:space="preserve"> </w:t>
      </w:r>
      <w:r w:rsidRPr="007704DB">
        <w:rPr>
          <w:b/>
          <w:noProof/>
        </w:rPr>
        <w:t>54</w:t>
      </w:r>
      <w:r>
        <w:rPr>
          <w:noProof/>
        </w:rPr>
        <w:t>(2): 373-384.</w:t>
      </w:r>
    </w:p>
    <w:p w:rsidR="007704DB" w:rsidRDefault="007704DB" w:rsidP="007704DB">
      <w:pPr>
        <w:ind w:left="720" w:hanging="720"/>
        <w:rPr>
          <w:noProof/>
        </w:rPr>
      </w:pPr>
      <w:r>
        <w:rPr>
          <w:noProof/>
        </w:rPr>
        <w:tab/>
      </w:r>
      <w:bookmarkEnd w:id="200"/>
    </w:p>
    <w:p w:rsidR="007704DB" w:rsidRDefault="007704DB" w:rsidP="007704DB">
      <w:pPr>
        <w:rPr>
          <w:noProof/>
        </w:rPr>
      </w:pPr>
      <w:bookmarkStart w:id="201" w:name="_ENREF_73"/>
      <w:r>
        <w:rPr>
          <w:noProof/>
        </w:rPr>
        <w:t xml:space="preserve">Surti, S., J. Scheuermann, et al. (2011). "Impact of Time-of-Flight PET on Whole-Body Oncologic Studies: A Human Observer Lesion Detection and Localization Study." </w:t>
      </w:r>
      <w:r w:rsidRPr="007704DB">
        <w:rPr>
          <w:noProof/>
          <w:u w:val="single"/>
        </w:rPr>
        <w:t>Journal of Nuclear Medicine</w:t>
      </w:r>
      <w:r>
        <w:rPr>
          <w:noProof/>
        </w:rPr>
        <w:t xml:space="preserve"> </w:t>
      </w:r>
      <w:r w:rsidRPr="007704DB">
        <w:rPr>
          <w:b/>
          <w:noProof/>
        </w:rPr>
        <w:t>52</w:t>
      </w:r>
      <w:r>
        <w:rPr>
          <w:noProof/>
        </w:rPr>
        <w:t>(5): 712-719.</w:t>
      </w:r>
    </w:p>
    <w:p w:rsidR="007704DB" w:rsidRDefault="007704DB" w:rsidP="007704DB">
      <w:pPr>
        <w:ind w:left="720" w:hanging="720"/>
        <w:rPr>
          <w:noProof/>
        </w:rPr>
      </w:pPr>
      <w:r>
        <w:rPr>
          <w:noProof/>
        </w:rPr>
        <w:tab/>
      </w:r>
      <w:bookmarkEnd w:id="201"/>
    </w:p>
    <w:p w:rsidR="007704DB" w:rsidRDefault="007704DB" w:rsidP="007704DB">
      <w:pPr>
        <w:rPr>
          <w:noProof/>
        </w:rPr>
      </w:pPr>
      <w:bookmarkStart w:id="202" w:name="_ENREF_74"/>
      <w:r>
        <w:rPr>
          <w:noProof/>
        </w:rPr>
        <w:t xml:space="preserve">Swensson, R. (1996). "Unified measurement of observer performance in detecting and localizing target objects on images." </w:t>
      </w:r>
      <w:r w:rsidRPr="007704DB">
        <w:rPr>
          <w:noProof/>
          <w:u w:val="single"/>
        </w:rPr>
        <w:t>Medical Physics</w:t>
      </w:r>
      <w:r>
        <w:rPr>
          <w:noProof/>
        </w:rPr>
        <w:t xml:space="preserve"> </w:t>
      </w:r>
      <w:r w:rsidRPr="007704DB">
        <w:rPr>
          <w:b/>
          <w:noProof/>
        </w:rPr>
        <w:t>23</w:t>
      </w:r>
      <w:r>
        <w:rPr>
          <w:noProof/>
        </w:rPr>
        <w:t>: 1709-1725.</w:t>
      </w:r>
    </w:p>
    <w:p w:rsidR="007704DB" w:rsidRDefault="007704DB" w:rsidP="007704DB">
      <w:pPr>
        <w:ind w:left="720" w:hanging="720"/>
        <w:rPr>
          <w:noProof/>
        </w:rPr>
      </w:pPr>
      <w:r>
        <w:rPr>
          <w:noProof/>
        </w:rPr>
        <w:tab/>
      </w:r>
      <w:bookmarkEnd w:id="202"/>
    </w:p>
    <w:p w:rsidR="007704DB" w:rsidRDefault="007704DB" w:rsidP="007704DB">
      <w:pPr>
        <w:rPr>
          <w:noProof/>
        </w:rPr>
      </w:pPr>
      <w:bookmarkStart w:id="203" w:name="_ENREF_75"/>
      <w:r>
        <w:rPr>
          <w:noProof/>
        </w:rPr>
        <w:t xml:space="preserve">Tarantola, G., F. Zito, et al. (2003). "PET instrumentation and reconstruction algorithms in whole-body applications." </w:t>
      </w:r>
      <w:r w:rsidRPr="007704DB">
        <w:rPr>
          <w:noProof/>
          <w:u w:val="single"/>
        </w:rPr>
        <w:t>Journal of Nuclear Medicine</w:t>
      </w:r>
      <w:r>
        <w:rPr>
          <w:noProof/>
        </w:rPr>
        <w:t xml:space="preserve"> </w:t>
      </w:r>
      <w:r w:rsidRPr="007704DB">
        <w:rPr>
          <w:b/>
          <w:noProof/>
        </w:rPr>
        <w:t>44</w:t>
      </w:r>
      <w:r>
        <w:rPr>
          <w:noProof/>
        </w:rPr>
        <w:t>(5): 756.</w:t>
      </w:r>
    </w:p>
    <w:p w:rsidR="007704DB" w:rsidRDefault="007704DB" w:rsidP="007704DB">
      <w:pPr>
        <w:ind w:left="720" w:hanging="720"/>
        <w:rPr>
          <w:noProof/>
        </w:rPr>
      </w:pPr>
      <w:r>
        <w:rPr>
          <w:noProof/>
        </w:rPr>
        <w:tab/>
      </w:r>
      <w:bookmarkEnd w:id="203"/>
    </w:p>
    <w:p w:rsidR="007704DB" w:rsidRDefault="007704DB" w:rsidP="007704DB">
      <w:pPr>
        <w:rPr>
          <w:noProof/>
        </w:rPr>
      </w:pPr>
      <w:bookmarkStart w:id="204" w:name="_ENREF_76"/>
      <w:r>
        <w:rPr>
          <w:noProof/>
        </w:rPr>
        <w:t xml:space="preserve">Tomitani, T. and E. Tanaka (1980). </w:t>
      </w:r>
      <w:r w:rsidRPr="007704DB">
        <w:rPr>
          <w:noProof/>
          <w:u w:val="single"/>
        </w:rPr>
        <w:t>Noise Characteristics of Positron CT Using Time of Flight</w:t>
      </w:r>
      <w:r>
        <w:rPr>
          <w:noProof/>
        </w:rPr>
        <w:t>. Third Symposium on Physical and Technical Aspects of Transmission and Emission Computed Tomography.</w:t>
      </w:r>
    </w:p>
    <w:p w:rsidR="007704DB" w:rsidRDefault="007704DB" w:rsidP="007704DB">
      <w:pPr>
        <w:ind w:left="720" w:hanging="720"/>
        <w:rPr>
          <w:noProof/>
        </w:rPr>
      </w:pPr>
      <w:r>
        <w:rPr>
          <w:noProof/>
        </w:rPr>
        <w:tab/>
      </w:r>
      <w:bookmarkEnd w:id="204"/>
    </w:p>
    <w:p w:rsidR="007704DB" w:rsidRDefault="007704DB" w:rsidP="007704DB">
      <w:pPr>
        <w:rPr>
          <w:noProof/>
        </w:rPr>
      </w:pPr>
      <w:bookmarkStart w:id="205" w:name="_ENREF_77"/>
      <w:r>
        <w:rPr>
          <w:noProof/>
        </w:rPr>
        <w:t xml:space="preserve">Tong, S., A. Alessio, et al. (2010). "Noise and signal properties in PSF-based fully 3D PET image reconstruction: an experimental evaluation." </w:t>
      </w:r>
      <w:r w:rsidRPr="007704DB">
        <w:rPr>
          <w:noProof/>
          <w:u w:val="single"/>
        </w:rPr>
        <w:t>Physics in Medicine and Biology</w:t>
      </w:r>
      <w:r>
        <w:rPr>
          <w:noProof/>
        </w:rPr>
        <w:t xml:space="preserve"> </w:t>
      </w:r>
      <w:r w:rsidRPr="007704DB">
        <w:rPr>
          <w:b/>
          <w:noProof/>
        </w:rPr>
        <w:t>55</w:t>
      </w:r>
      <w:r>
        <w:rPr>
          <w:noProof/>
        </w:rPr>
        <w:t>: 1453-1473.</w:t>
      </w:r>
    </w:p>
    <w:p w:rsidR="007704DB" w:rsidRDefault="007704DB" w:rsidP="007704DB">
      <w:pPr>
        <w:ind w:left="720" w:hanging="720"/>
        <w:rPr>
          <w:noProof/>
        </w:rPr>
      </w:pPr>
      <w:r>
        <w:rPr>
          <w:noProof/>
        </w:rPr>
        <w:tab/>
      </w:r>
      <w:bookmarkEnd w:id="205"/>
    </w:p>
    <w:p w:rsidR="007704DB" w:rsidRDefault="007704DB" w:rsidP="007704DB">
      <w:pPr>
        <w:rPr>
          <w:noProof/>
        </w:rPr>
      </w:pPr>
      <w:bookmarkStart w:id="206" w:name="_ENREF_78"/>
      <w:r>
        <w:rPr>
          <w:noProof/>
        </w:rPr>
        <w:t xml:space="preserve">Tong, S., A. M. Alessio, et al. (2009). </w:t>
      </w:r>
      <w:r w:rsidRPr="007704DB">
        <w:rPr>
          <w:noProof/>
          <w:u w:val="single"/>
        </w:rPr>
        <w:t>Evaluation of noise properties in PSF-based PET image reconstruction</w:t>
      </w:r>
      <w:r>
        <w:rPr>
          <w:noProof/>
        </w:rPr>
        <w:t>. Nuclear Science Symposium Conference Record (NSS/MIC), IEEE.</w:t>
      </w:r>
    </w:p>
    <w:p w:rsidR="007704DB" w:rsidRDefault="007704DB" w:rsidP="007704DB">
      <w:pPr>
        <w:ind w:left="720" w:hanging="720"/>
        <w:rPr>
          <w:noProof/>
        </w:rPr>
      </w:pPr>
      <w:r>
        <w:rPr>
          <w:noProof/>
        </w:rPr>
        <w:tab/>
      </w:r>
      <w:bookmarkEnd w:id="206"/>
    </w:p>
    <w:p w:rsidR="007704DB" w:rsidRDefault="007704DB" w:rsidP="007704DB">
      <w:pPr>
        <w:rPr>
          <w:noProof/>
        </w:rPr>
      </w:pPr>
      <w:bookmarkStart w:id="207" w:name="_ENREF_79"/>
      <w:r>
        <w:rPr>
          <w:noProof/>
        </w:rPr>
        <w:lastRenderedPageBreak/>
        <w:t xml:space="preserve">Townsend, D. (2008). "Multimodality imaging of structure and function." </w:t>
      </w:r>
      <w:r w:rsidRPr="007704DB">
        <w:rPr>
          <w:noProof/>
          <w:u w:val="single"/>
        </w:rPr>
        <w:t>Physics in medicine and biology</w:t>
      </w:r>
      <w:r>
        <w:rPr>
          <w:noProof/>
        </w:rPr>
        <w:t xml:space="preserve"> </w:t>
      </w:r>
      <w:r w:rsidRPr="007704DB">
        <w:rPr>
          <w:b/>
          <w:noProof/>
        </w:rPr>
        <w:t>53</w:t>
      </w:r>
      <w:r>
        <w:rPr>
          <w:noProof/>
        </w:rPr>
        <w:t>(4): R1.</w:t>
      </w:r>
    </w:p>
    <w:p w:rsidR="007704DB" w:rsidRDefault="007704DB" w:rsidP="007704DB">
      <w:pPr>
        <w:ind w:left="720" w:hanging="720"/>
        <w:rPr>
          <w:noProof/>
        </w:rPr>
      </w:pPr>
      <w:r>
        <w:rPr>
          <w:noProof/>
        </w:rPr>
        <w:tab/>
      </w:r>
      <w:bookmarkEnd w:id="207"/>
    </w:p>
    <w:p w:rsidR="007704DB" w:rsidRDefault="007704DB" w:rsidP="007704DB">
      <w:pPr>
        <w:rPr>
          <w:noProof/>
        </w:rPr>
      </w:pPr>
      <w:bookmarkStart w:id="208" w:name="_ENREF_80"/>
      <w:r>
        <w:rPr>
          <w:noProof/>
        </w:rPr>
        <w:t xml:space="preserve">Townsend, D., T. Beyer, et al. (2003). </w:t>
      </w:r>
      <w:r w:rsidRPr="007704DB">
        <w:rPr>
          <w:noProof/>
          <w:u w:val="single"/>
        </w:rPr>
        <w:t>PET/CT scanners: a hardware approach to image fusion</w:t>
      </w:r>
      <w:r>
        <w:rPr>
          <w:noProof/>
        </w:rPr>
        <w:t>, Elsevier.</w:t>
      </w:r>
    </w:p>
    <w:p w:rsidR="007704DB" w:rsidRDefault="007704DB" w:rsidP="007704DB">
      <w:pPr>
        <w:ind w:left="720" w:hanging="720"/>
        <w:rPr>
          <w:noProof/>
        </w:rPr>
      </w:pPr>
      <w:r>
        <w:rPr>
          <w:noProof/>
        </w:rPr>
        <w:tab/>
      </w:r>
      <w:bookmarkEnd w:id="208"/>
    </w:p>
    <w:p w:rsidR="007704DB" w:rsidRDefault="007704DB" w:rsidP="007704DB">
      <w:pPr>
        <w:rPr>
          <w:noProof/>
        </w:rPr>
      </w:pPr>
      <w:bookmarkStart w:id="209" w:name="_ENREF_81"/>
      <w:r>
        <w:rPr>
          <w:noProof/>
        </w:rPr>
        <w:t xml:space="preserve">Townsend, D., T. Beyer, et al. (1998). </w:t>
      </w:r>
      <w:r w:rsidRPr="007704DB">
        <w:rPr>
          <w:noProof/>
          <w:u w:val="single"/>
        </w:rPr>
        <w:t>The SMART scanner: a combined PET/CT tomograph for clinical oncology</w:t>
      </w:r>
      <w:r>
        <w:rPr>
          <w:noProof/>
        </w:rPr>
        <w:t>, IEEE.</w:t>
      </w:r>
    </w:p>
    <w:p w:rsidR="007704DB" w:rsidRDefault="007704DB" w:rsidP="007704DB">
      <w:pPr>
        <w:ind w:left="720" w:hanging="720"/>
        <w:rPr>
          <w:noProof/>
        </w:rPr>
      </w:pPr>
      <w:r>
        <w:rPr>
          <w:noProof/>
        </w:rPr>
        <w:tab/>
      </w:r>
      <w:bookmarkEnd w:id="209"/>
    </w:p>
    <w:p w:rsidR="007704DB" w:rsidRDefault="007704DB" w:rsidP="007704DB">
      <w:pPr>
        <w:rPr>
          <w:noProof/>
        </w:rPr>
      </w:pPr>
      <w:bookmarkStart w:id="210" w:name="_ENREF_82"/>
      <w:r>
        <w:rPr>
          <w:noProof/>
        </w:rPr>
        <w:t xml:space="preserve">Townsend, D. W. (2008). "Dual-modality imaging: combining anatomy and function." </w:t>
      </w:r>
      <w:r w:rsidRPr="007704DB">
        <w:rPr>
          <w:noProof/>
          <w:u w:val="single"/>
        </w:rPr>
        <w:t>Journal of Nuclear Medicine</w:t>
      </w:r>
      <w:r>
        <w:rPr>
          <w:noProof/>
        </w:rPr>
        <w:t xml:space="preserve"> </w:t>
      </w:r>
      <w:r w:rsidRPr="007704DB">
        <w:rPr>
          <w:b/>
          <w:noProof/>
        </w:rPr>
        <w:t>49</w:t>
      </w:r>
      <w:r>
        <w:rPr>
          <w:noProof/>
        </w:rPr>
        <w:t>(6): 938-955.</w:t>
      </w:r>
    </w:p>
    <w:p w:rsidR="007704DB" w:rsidRDefault="007704DB" w:rsidP="007704DB">
      <w:pPr>
        <w:ind w:left="720" w:hanging="720"/>
        <w:rPr>
          <w:noProof/>
        </w:rPr>
      </w:pPr>
      <w:r>
        <w:rPr>
          <w:noProof/>
        </w:rPr>
        <w:tab/>
      </w:r>
      <w:bookmarkEnd w:id="210"/>
    </w:p>
    <w:p w:rsidR="007704DB" w:rsidRDefault="007704DB" w:rsidP="007704DB">
      <w:pPr>
        <w:rPr>
          <w:noProof/>
        </w:rPr>
      </w:pPr>
      <w:bookmarkStart w:id="211" w:name="_ENREF_83"/>
      <w:r>
        <w:rPr>
          <w:noProof/>
        </w:rPr>
        <w:t xml:space="preserve">Valk, P. E. (2003). </w:t>
      </w:r>
      <w:r w:rsidRPr="007704DB">
        <w:rPr>
          <w:noProof/>
          <w:u w:val="single"/>
        </w:rPr>
        <w:t>Positron emission tomography : basic science and clinical practice</w:t>
      </w:r>
      <w:r>
        <w:rPr>
          <w:noProof/>
        </w:rPr>
        <w:t>. London; New York, Springer.</w:t>
      </w:r>
    </w:p>
    <w:p w:rsidR="007704DB" w:rsidRDefault="007704DB" w:rsidP="007704DB">
      <w:pPr>
        <w:ind w:left="720" w:hanging="720"/>
        <w:rPr>
          <w:noProof/>
        </w:rPr>
      </w:pPr>
      <w:r>
        <w:rPr>
          <w:noProof/>
        </w:rPr>
        <w:tab/>
      </w:r>
      <w:bookmarkEnd w:id="211"/>
    </w:p>
    <w:p w:rsidR="007704DB" w:rsidRDefault="007704DB" w:rsidP="007704DB">
      <w:pPr>
        <w:rPr>
          <w:noProof/>
        </w:rPr>
      </w:pPr>
      <w:bookmarkStart w:id="212" w:name="_ENREF_84"/>
      <w:r>
        <w:rPr>
          <w:noProof/>
        </w:rPr>
        <w:t xml:space="preserve">Walker, M. D., P. J. Julyan, et al. (2009). </w:t>
      </w:r>
      <w:r w:rsidRPr="007704DB">
        <w:rPr>
          <w:noProof/>
          <w:u w:val="single"/>
        </w:rPr>
        <w:t>Bias in iterative reconstruction of low-statistics PET data: benefits of a resolution model</w:t>
      </w:r>
      <w:r>
        <w:rPr>
          <w:noProof/>
        </w:rPr>
        <w:t>, IEEE.</w:t>
      </w:r>
    </w:p>
    <w:p w:rsidR="007704DB" w:rsidRDefault="007704DB" w:rsidP="007704DB">
      <w:pPr>
        <w:ind w:left="720" w:hanging="720"/>
        <w:rPr>
          <w:noProof/>
        </w:rPr>
      </w:pPr>
      <w:r>
        <w:rPr>
          <w:noProof/>
        </w:rPr>
        <w:tab/>
      </w:r>
      <w:bookmarkEnd w:id="212"/>
    </w:p>
    <w:p w:rsidR="007704DB" w:rsidRDefault="007704DB" w:rsidP="007704DB">
      <w:pPr>
        <w:rPr>
          <w:noProof/>
        </w:rPr>
      </w:pPr>
      <w:bookmarkStart w:id="213" w:name="_ENREF_85"/>
      <w:r>
        <w:rPr>
          <w:noProof/>
        </w:rPr>
        <w:t xml:space="preserve">Warburg, O., K. Posener, et al. (1931). "The metabolism of the carcinoma cell." </w:t>
      </w:r>
      <w:r w:rsidRPr="007704DB">
        <w:rPr>
          <w:noProof/>
          <w:u w:val="single"/>
        </w:rPr>
        <w:t>The Mechanism of Tumors</w:t>
      </w:r>
      <w:r>
        <w:rPr>
          <w:noProof/>
        </w:rPr>
        <w:t>: 129–169.</w:t>
      </w:r>
    </w:p>
    <w:p w:rsidR="007704DB" w:rsidRDefault="007704DB" w:rsidP="007704DB">
      <w:pPr>
        <w:ind w:left="720" w:hanging="720"/>
        <w:rPr>
          <w:noProof/>
        </w:rPr>
      </w:pPr>
      <w:r>
        <w:rPr>
          <w:noProof/>
        </w:rPr>
        <w:tab/>
      </w:r>
      <w:bookmarkEnd w:id="213"/>
    </w:p>
    <w:p w:rsidR="007704DB" w:rsidRDefault="007704DB" w:rsidP="007704DB">
      <w:pPr>
        <w:rPr>
          <w:noProof/>
        </w:rPr>
      </w:pPr>
      <w:bookmarkStart w:id="214" w:name="_ENREF_86"/>
      <w:r>
        <w:rPr>
          <w:noProof/>
        </w:rPr>
        <w:t xml:space="preserve">Watson, C. (2000). "New, faster, image-based scatter correction for 3D PET." </w:t>
      </w:r>
      <w:r w:rsidRPr="007704DB">
        <w:rPr>
          <w:noProof/>
          <w:u w:val="single"/>
        </w:rPr>
        <w:t>Nuclear Science, IEEE Transactions on</w:t>
      </w:r>
      <w:r>
        <w:rPr>
          <w:noProof/>
        </w:rPr>
        <w:t xml:space="preserve"> </w:t>
      </w:r>
      <w:r w:rsidRPr="007704DB">
        <w:rPr>
          <w:b/>
          <w:noProof/>
        </w:rPr>
        <w:t>47</w:t>
      </w:r>
      <w:r>
        <w:rPr>
          <w:noProof/>
        </w:rPr>
        <w:t>(4): 1587-1594.</w:t>
      </w:r>
    </w:p>
    <w:p w:rsidR="007704DB" w:rsidRDefault="007704DB" w:rsidP="007704DB">
      <w:pPr>
        <w:ind w:left="720" w:hanging="720"/>
        <w:rPr>
          <w:noProof/>
        </w:rPr>
      </w:pPr>
      <w:r>
        <w:rPr>
          <w:noProof/>
        </w:rPr>
        <w:tab/>
      </w:r>
      <w:bookmarkEnd w:id="214"/>
    </w:p>
    <w:p w:rsidR="007704DB" w:rsidRDefault="007704DB" w:rsidP="007704DB">
      <w:pPr>
        <w:rPr>
          <w:noProof/>
        </w:rPr>
      </w:pPr>
      <w:bookmarkStart w:id="215" w:name="_ENREF_87"/>
      <w:r>
        <w:rPr>
          <w:noProof/>
        </w:rPr>
        <w:t xml:space="preserve">Watson, C., D. Newport, et al. (1996). "A single scatter simulation technique for scatter correction in 3D PET." </w:t>
      </w:r>
      <w:r w:rsidRPr="007704DB">
        <w:rPr>
          <w:noProof/>
          <w:u w:val="single"/>
        </w:rPr>
        <w:t>Three-Dimensional Image Reconstruction in Radiology and Nuclear Medicine</w:t>
      </w:r>
      <w:r>
        <w:rPr>
          <w:noProof/>
        </w:rPr>
        <w:t xml:space="preserve"> </w:t>
      </w:r>
      <w:r w:rsidRPr="007704DB">
        <w:rPr>
          <w:b/>
          <w:noProof/>
        </w:rPr>
        <w:t>4</w:t>
      </w:r>
      <w:r>
        <w:rPr>
          <w:noProof/>
        </w:rPr>
        <w:t>: 255–268.</w:t>
      </w:r>
    </w:p>
    <w:p w:rsidR="007704DB" w:rsidRDefault="007704DB" w:rsidP="007704DB">
      <w:pPr>
        <w:ind w:left="720" w:hanging="720"/>
        <w:rPr>
          <w:noProof/>
        </w:rPr>
      </w:pPr>
      <w:r>
        <w:rPr>
          <w:noProof/>
        </w:rPr>
        <w:tab/>
      </w:r>
      <w:bookmarkEnd w:id="215"/>
    </w:p>
    <w:p w:rsidR="007704DB" w:rsidRDefault="007704DB" w:rsidP="007704DB">
      <w:pPr>
        <w:rPr>
          <w:noProof/>
        </w:rPr>
      </w:pPr>
      <w:bookmarkStart w:id="216" w:name="_ENREF_88"/>
      <w:r>
        <w:rPr>
          <w:noProof/>
        </w:rPr>
        <w:t xml:space="preserve">Workman, R. and R. Coleman (2006). </w:t>
      </w:r>
      <w:r w:rsidRPr="007704DB">
        <w:rPr>
          <w:noProof/>
          <w:u w:val="single"/>
        </w:rPr>
        <w:t>PET/CT essentials for clinical practice</w:t>
      </w:r>
      <w:r>
        <w:rPr>
          <w:noProof/>
        </w:rPr>
        <w:t>, Springer.</w:t>
      </w:r>
    </w:p>
    <w:p w:rsidR="007704DB" w:rsidRDefault="007704DB" w:rsidP="007704DB">
      <w:pPr>
        <w:ind w:left="720" w:hanging="720"/>
        <w:rPr>
          <w:noProof/>
        </w:rPr>
      </w:pPr>
      <w:r>
        <w:rPr>
          <w:noProof/>
        </w:rPr>
        <w:tab/>
      </w:r>
      <w:bookmarkEnd w:id="216"/>
    </w:p>
    <w:p w:rsidR="007704DB" w:rsidRDefault="007704DB" w:rsidP="007704DB">
      <w:pPr>
        <w:rPr>
          <w:noProof/>
        </w:rPr>
      </w:pPr>
      <w:bookmarkStart w:id="217" w:name="_ENREF_89"/>
      <w:r>
        <w:rPr>
          <w:noProof/>
        </w:rPr>
        <w:t xml:space="preserve">Yao, J. and H. Barrett (1992). </w:t>
      </w:r>
      <w:r w:rsidRPr="007704DB">
        <w:rPr>
          <w:noProof/>
          <w:u w:val="single"/>
        </w:rPr>
        <w:t>Predicting human performance by a channelized Hotelling observer model</w:t>
      </w:r>
      <w:r>
        <w:rPr>
          <w:noProof/>
        </w:rPr>
        <w:t>. International Society for Optics and Photonics, San Diego.</w:t>
      </w:r>
    </w:p>
    <w:p w:rsidR="007704DB" w:rsidRDefault="007704DB" w:rsidP="007704DB">
      <w:pPr>
        <w:ind w:left="720" w:hanging="720"/>
        <w:rPr>
          <w:noProof/>
        </w:rPr>
      </w:pPr>
      <w:r>
        <w:rPr>
          <w:noProof/>
        </w:rPr>
        <w:tab/>
      </w:r>
      <w:bookmarkEnd w:id="217"/>
    </w:p>
    <w:p w:rsidR="007704DB" w:rsidRDefault="007704DB" w:rsidP="007704DB">
      <w:pPr>
        <w:rPr>
          <w:noProof/>
        </w:rPr>
      </w:pPr>
    </w:p>
    <w:p w:rsidR="000C5796" w:rsidRDefault="009B6816" w:rsidP="000C5796">
      <w:pPr>
        <w:numPr>
          <w:ilvl w:val="12"/>
          <w:numId w:val="0"/>
        </w:numPr>
      </w:pPr>
      <w:r>
        <w:fldChar w:fldCharType="end"/>
      </w:r>
      <w:r w:rsidR="00BC05E9" w:rsidRPr="00BC05E9">
        <w:t xml:space="preserve"> </w:t>
      </w:r>
    </w:p>
    <w:p w:rsidR="00877FAA" w:rsidRDefault="00877FAA">
      <w:pPr>
        <w:rPr>
          <w:b/>
          <w:bCs/>
        </w:rPr>
      </w:pPr>
      <w:r>
        <w:br w:type="page"/>
      </w:r>
    </w:p>
    <w:p w:rsidR="000C5796" w:rsidRDefault="000C5796" w:rsidP="000C5796">
      <w:pPr>
        <w:pStyle w:val="Heading1"/>
      </w:pPr>
      <w:bookmarkStart w:id="218" w:name="_Toc351890037"/>
      <w:r>
        <w:lastRenderedPageBreak/>
        <w:t>Vita</w:t>
      </w:r>
      <w:r w:rsidR="009B6816">
        <w:fldChar w:fldCharType="begin"/>
      </w:r>
      <w:r>
        <w:instrText xml:space="preserve"> MACROBUTTON RemoveChapterIncreaseMark \* MERGEFORMAT </w:instrText>
      </w:r>
      <w:r w:rsidR="009B6816">
        <w:fldChar w:fldCharType="begin"/>
      </w:r>
      <w:r>
        <w:instrText xml:space="preserve"> SEQ EqnChapter \n \h \* MERGEFORMAT </w:instrText>
      </w:r>
      <w:r w:rsidR="009B6816">
        <w:fldChar w:fldCharType="end"/>
      </w:r>
      <w:r w:rsidR="009B6816">
        <w:fldChar w:fldCharType="begin"/>
      </w:r>
      <w:r>
        <w:instrText xml:space="preserve"> SEQ EquationNumber \r0 \h \* MERGEFORMAT </w:instrText>
      </w:r>
      <w:r w:rsidR="009B6816">
        <w:fldChar w:fldCharType="end"/>
      </w:r>
      <w:r w:rsidR="009B6816">
        <w:fldChar w:fldCharType="begin"/>
      </w:r>
      <w:r>
        <w:instrText xml:space="preserve"> SEQ TheoremNumber \r0 \h \* MERGEFORMAT </w:instrText>
      </w:r>
      <w:r w:rsidR="009B6816">
        <w:fldChar w:fldCharType="end"/>
      </w:r>
      <w:r w:rsidRPr="003B3D6F">
        <w:rPr>
          <w:vanish/>
        </w:rPr>
        <w:sym w:font="Wingdings" w:char="F0F6"/>
      </w:r>
      <w:r w:rsidR="009B6816">
        <w:fldChar w:fldCharType="end"/>
      </w:r>
      <w:bookmarkEnd w:id="218"/>
    </w:p>
    <w:p w:rsidR="003D63DF" w:rsidRPr="00F920F6" w:rsidRDefault="000C5796" w:rsidP="000C5796">
      <w:pPr>
        <w:numPr>
          <w:ilvl w:val="12"/>
          <w:numId w:val="0"/>
        </w:numPr>
        <w:spacing w:line="480" w:lineRule="auto"/>
        <w:ind w:firstLine="720"/>
      </w:pPr>
      <w:r>
        <w:t>Joshua Schaefferkoetter was born</w:t>
      </w:r>
      <w:r w:rsidR="003742F5">
        <w:t xml:space="preserve"> near Kansas City, MO, to the parents of Donald and Alice Schaefferkoetter.  He is the first of three children, with one brother Noah and sister Anna.  </w:t>
      </w:r>
      <w:r w:rsidR="001A7DDF">
        <w:t xml:space="preserve">In 1987, he and his family moved to Knoxville, TN, where he attended Fountain City Elementary School, Gresham Middle School, and </w:t>
      </w:r>
      <w:r w:rsidR="00327C01">
        <w:t>then</w:t>
      </w:r>
      <w:r w:rsidR="001A7DDF">
        <w:t xml:space="preserve"> graduated </w:t>
      </w:r>
      <w:r w:rsidR="006B0323">
        <w:t>from Central</w:t>
      </w:r>
      <w:r w:rsidR="001A7DDF">
        <w:t xml:space="preserve"> High School.</w:t>
      </w:r>
      <w:r w:rsidR="006B0323">
        <w:t xml:space="preserve">  After graduation, he </w:t>
      </w:r>
      <w:r w:rsidR="00327C01">
        <w:t>went to the University of Tennessee to pursue an undergraduate degree in Physics; he graduated in 2005</w:t>
      </w:r>
      <w:r w:rsidR="00C00DEA">
        <w:t>, and it was in this year that he was introduced to the Molecular Imaging and Translational Research</w:t>
      </w:r>
      <w:r w:rsidR="00413EDB">
        <w:t xml:space="preserve"> (MITR)</w:t>
      </w:r>
      <w:r w:rsidR="00C00DEA">
        <w:t xml:space="preserve"> program at the UT Medical Center</w:t>
      </w:r>
      <w:r w:rsidR="007B54A6">
        <w:t xml:space="preserve">.  </w:t>
      </w:r>
      <w:r w:rsidR="002570AC">
        <w:t>T</w:t>
      </w:r>
      <w:r w:rsidR="00AC7A31">
        <w:t>he following year, he enrolled in graduate school a</w:t>
      </w:r>
      <w:r w:rsidR="001037D5">
        <w:t xml:space="preserve">t the University of Tennessee, and in 2008, he officially joined the MITR program, </w:t>
      </w:r>
      <w:r w:rsidR="00413EDB">
        <w:t xml:space="preserve">with </w:t>
      </w:r>
      <w:r w:rsidR="001037D5">
        <w:t>David Townsend</w:t>
      </w:r>
      <w:r w:rsidR="00413EDB">
        <w:t xml:space="preserve"> as his </w:t>
      </w:r>
      <w:r w:rsidR="00CB313A">
        <w:t>mentor</w:t>
      </w:r>
      <w:r w:rsidR="001037D5">
        <w:t>.</w:t>
      </w:r>
    </w:p>
    <w:sectPr w:rsidR="003D63DF" w:rsidRPr="00F920F6" w:rsidSect="000C5796">
      <w:headerReference w:type="even" r:id="rId68"/>
      <w:headerReference w:type="default" r:id="rId69"/>
      <w:pgSz w:w="12240" w:h="15840" w:code="1"/>
      <w:pgMar w:top="2016" w:right="1800" w:bottom="1440" w:left="1800" w:header="1440" w:footer="144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9E5" w:rsidRDefault="001059E5">
      <w:r>
        <w:separator/>
      </w:r>
    </w:p>
    <w:p w:rsidR="001059E5" w:rsidRDefault="001059E5"/>
  </w:endnote>
  <w:endnote w:type="continuationSeparator" w:id="0">
    <w:p w:rsidR="001059E5" w:rsidRDefault="001059E5">
      <w:r>
        <w:continuationSeparator/>
      </w:r>
    </w:p>
    <w:p w:rsidR="001059E5" w:rsidRDefault="001059E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MBX12">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9E5" w:rsidRDefault="001059E5">
      <w:r>
        <w:separator/>
      </w:r>
    </w:p>
    <w:p w:rsidR="001059E5" w:rsidRDefault="001059E5"/>
  </w:footnote>
  <w:footnote w:type="continuationSeparator" w:id="0">
    <w:p w:rsidR="001059E5" w:rsidRDefault="001059E5">
      <w:r>
        <w:continuationSeparator/>
      </w:r>
    </w:p>
    <w:p w:rsidR="001059E5" w:rsidRDefault="001059E5"/>
  </w:footnote>
  <w:footnote w:id="1">
    <w:p w:rsidR="00C63521" w:rsidRPr="00175221" w:rsidRDefault="00C63521" w:rsidP="00175221">
      <w:pPr>
        <w:pStyle w:val="FootnoteText"/>
        <w:rPr>
          <w:rFonts w:ascii="Times New Roman" w:hAnsi="Times New Roman" w:cs="Times New Roman"/>
          <w:sz w:val="18"/>
          <w:szCs w:val="18"/>
        </w:rPr>
      </w:pPr>
      <w:r w:rsidRPr="00175221">
        <w:rPr>
          <w:rStyle w:val="FootnoteReference"/>
          <w:rFonts w:ascii="Times New Roman" w:hAnsi="Times New Roman" w:cs="Times New Roman"/>
        </w:rPr>
        <w:footnoteRef/>
      </w:r>
      <w:r w:rsidRPr="00175221">
        <w:rPr>
          <w:rFonts w:ascii="Times New Roman" w:hAnsi="Times New Roman" w:cs="Times New Roman"/>
        </w:rPr>
        <w:t xml:space="preserve"> </w:t>
      </w:r>
      <w:r w:rsidRPr="00175221">
        <w:rPr>
          <w:rFonts w:ascii="Times New Roman" w:hAnsi="Times New Roman" w:cs="Times New Roman"/>
          <w:sz w:val="18"/>
          <w:szCs w:val="18"/>
        </w:rPr>
        <w:t>A routine whole-body scan (from the cranial orbits to mid-thigh) typically includes 4-6 bed positions.  Melanoma scans of the entire body use as many as twelve.</w:t>
      </w:r>
    </w:p>
  </w:footnote>
  <w:footnote w:id="2">
    <w:p w:rsidR="00C63521" w:rsidRPr="008423C5" w:rsidRDefault="00C63521" w:rsidP="006661A5">
      <w:pPr>
        <w:pStyle w:val="FootnoteText"/>
        <w:rPr>
          <w:rFonts w:ascii="Times New Roman" w:hAnsi="Times New Roman" w:cs="Times New Roman"/>
          <w:sz w:val="18"/>
          <w:szCs w:val="18"/>
        </w:rPr>
      </w:pPr>
      <w:r w:rsidRPr="008423C5">
        <w:rPr>
          <w:rStyle w:val="FootnoteReference"/>
          <w:rFonts w:ascii="Times New Roman" w:hAnsi="Times New Roman" w:cs="Times New Roman"/>
          <w:sz w:val="18"/>
          <w:szCs w:val="18"/>
        </w:rPr>
        <w:footnoteRef/>
      </w:r>
      <w:r>
        <w:rPr>
          <w:rFonts w:ascii="Times New Roman" w:hAnsi="Times New Roman" w:cs="Times New Roman"/>
          <w:sz w:val="18"/>
          <w:szCs w:val="18"/>
        </w:rPr>
        <w:t>In the case of</w:t>
      </w:r>
      <w:r w:rsidRPr="008423C5">
        <w:rPr>
          <w:rFonts w:ascii="Times New Roman" w:hAnsi="Times New Roman" w:cs="Times New Roman"/>
          <w:sz w:val="18"/>
          <w:szCs w:val="18"/>
        </w:rPr>
        <w:t xml:space="preserve"> </w:t>
      </w:r>
      <w:r>
        <w:rPr>
          <w:rFonts w:ascii="Times New Roman" w:hAnsi="Times New Roman" w:cs="Times New Roman"/>
          <w:sz w:val="18"/>
          <w:szCs w:val="18"/>
        </w:rPr>
        <w:t>f</w:t>
      </w:r>
      <w:r w:rsidRPr="00BB76FD">
        <w:rPr>
          <w:rFonts w:ascii="Times New Roman" w:hAnsi="Times New Roman" w:cs="Times New Roman"/>
          <w:sz w:val="18"/>
          <w:szCs w:val="18"/>
        </w:rPr>
        <w:t>luorine-18</w:t>
      </w:r>
      <w:r>
        <w:rPr>
          <w:rFonts w:ascii="Times New Roman" w:hAnsi="Times New Roman" w:cs="Times New Roman"/>
          <w:sz w:val="18"/>
          <w:szCs w:val="18"/>
        </w:rPr>
        <w:t>, the</w:t>
      </w:r>
      <w:r w:rsidRPr="008423C5">
        <w:rPr>
          <w:rFonts w:ascii="Times New Roman" w:hAnsi="Times New Roman" w:cs="Times New Roman"/>
          <w:sz w:val="18"/>
          <w:szCs w:val="18"/>
        </w:rPr>
        <w:t xml:space="preserve"> branching fraction </w:t>
      </w:r>
      <w:r>
        <w:rPr>
          <w:rFonts w:ascii="Times New Roman" w:hAnsi="Times New Roman" w:cs="Times New Roman"/>
          <w:sz w:val="18"/>
          <w:szCs w:val="18"/>
        </w:rPr>
        <w:t>is</w:t>
      </w:r>
      <w:r w:rsidRPr="008423C5">
        <w:rPr>
          <w:rFonts w:ascii="Times New Roman" w:hAnsi="Times New Roman" w:cs="Times New Roman"/>
          <w:sz w:val="18"/>
          <w:szCs w:val="18"/>
        </w:rPr>
        <w:t xml:space="preserve"> 0.97 so there is a 3% chance that it will decay via electron capture. </w:t>
      </w:r>
      <w:r w:rsidRPr="008423C5">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&lt;EndNote&gt;&lt;Cite&gt;&lt;Author&gt;Shapiro&lt;/Author&gt;&lt;Year&gt;2002&lt;/Year&gt;&lt;RecNum&gt;202&lt;/RecNum&gt;&lt;DisplayText&gt;(Shapiro 2002)&lt;/DisplayText&gt;&lt;record&gt;&lt;rec-number&gt;202&lt;/rec-number&gt;&lt;foreign-keys&gt;&lt;key app="EN" db-id="srwv9ppvvez5pgefxzi5ddeve5w2fe5x5esr"&gt;202&lt;/key&gt;&lt;/foreign-keys&gt;&lt;ref-type name="Book"&gt;6&lt;/ref-type&gt;&lt;contributors&gt;&lt;authors&gt;&lt;author&gt;Shapiro, Jacob&lt;/author&gt;&lt;/authors&gt;&lt;/contributors&gt;&lt;titles&gt;&lt;title&gt;Radiation protection : a guide for scientists, regulators, and physicians&lt;/title&gt;&lt;/titles&gt;&lt;dates&gt;&lt;year&gt;2002&lt;/year&gt;&lt;/dates&gt;&lt;pub-location&gt;Cambridge, Mass. [u.a.]&lt;/pub-location&gt;&lt;publisher&gt;Harvard University Press&lt;/publisher&gt;&lt;isbn&gt;0674007409 9780674007406&lt;/isbn&gt;&lt;urls&gt;&lt;/urls&gt;&lt;remote-database-name&gt;/z-wcorg/&lt;/remote-database-name&gt;&lt;remote-database-provider&gt;http://worldcat.org&lt;/remote-database-provider&gt;&lt;language&gt;English&lt;/language&gt;&lt;/record&gt;&lt;/Cite&gt;&lt;Cite&gt;&lt;Author&gt;Shapiro&lt;/Author&gt;&lt;Year&gt;2002&lt;/Year&gt;&lt;RecNum&gt;202&lt;/RecNum&gt;&lt;record&gt;&lt;rec-number&gt;202&lt;/rec-number&gt;&lt;foreign-keys&gt;&lt;key app="EN" db-id="srwv9ppvvez5pgefxzi5ddeve5w2fe5x5esr"&gt;202&lt;/key&gt;&lt;/foreign-keys&gt;&lt;ref-type name="Book"&gt;6&lt;/ref-type&gt;&lt;contributors&gt;&lt;authors&gt;&lt;author&gt;Shapiro, Jacob&lt;/author&gt;&lt;/authors&gt;&lt;/contributors&gt;&lt;titles&gt;&lt;title&gt;Radiation protection : a guide for scientists, regulators, and physicians&lt;/title&gt;&lt;/titles&gt;&lt;dates&gt;&lt;year&gt;2002&lt;/year&gt;&lt;/dates&gt;&lt;pub-location&gt;Cambridge, Mass. [u.a.]&lt;/pub-location&gt;&lt;publisher&gt;Harvard University Press&lt;/publisher&gt;&lt;isbn&gt;0674007409 9780674007406&lt;/isbn&gt;&lt;urls&gt;&lt;/urls&gt;&lt;remote-database-name&gt;/z-wcorg/&lt;/remote-database-name&gt;&lt;remote-database-provider&gt;http://worldcat.org&lt;/remote-database-provider&gt;&lt;language&gt;English&lt;/language&gt;&lt;/record&gt;&lt;/Cite&gt;&lt;/EndNote&gt;</w:instrText>
      </w:r>
      <w:r w:rsidRPr="008423C5">
        <w:rPr>
          <w:rFonts w:ascii="Times New Roman" w:hAnsi="Times New Roman" w:cs="Times New Roman"/>
          <w:sz w:val="18"/>
          <w:szCs w:val="18"/>
        </w:rPr>
        <w:fldChar w:fldCharType="separate"/>
      </w:r>
      <w:r>
        <w:rPr>
          <w:rFonts w:ascii="Times New Roman" w:hAnsi="Times New Roman" w:cs="Times New Roman"/>
          <w:noProof/>
          <w:sz w:val="18"/>
          <w:szCs w:val="18"/>
        </w:rPr>
        <w:t>(</w:t>
      </w:r>
      <w:hyperlink w:anchor="_ENREF_68" w:tooltip="Shapiro, 2002 #202" w:history="1">
        <w:r>
          <w:rPr>
            <w:rFonts w:ascii="Times New Roman" w:hAnsi="Times New Roman" w:cs="Times New Roman"/>
            <w:noProof/>
            <w:sz w:val="18"/>
            <w:szCs w:val="18"/>
          </w:rPr>
          <w:t>Shapiro 2002</w:t>
        </w:r>
      </w:hyperlink>
      <w:r>
        <w:rPr>
          <w:rFonts w:ascii="Times New Roman" w:hAnsi="Times New Roman" w:cs="Times New Roman"/>
          <w:noProof/>
          <w:sz w:val="18"/>
          <w:szCs w:val="18"/>
        </w:rPr>
        <w:t>)</w:t>
      </w:r>
      <w:r w:rsidRPr="008423C5">
        <w:rPr>
          <w:rFonts w:ascii="Times New Roman" w:hAnsi="Times New Roman" w:cs="Times New Roman"/>
          <w:sz w:val="18"/>
          <w:szCs w:val="18"/>
        </w:rPr>
        <w:fldChar w:fldCharType="end"/>
      </w:r>
      <w:r w:rsidRPr="008423C5">
        <w:rPr>
          <w:rFonts w:ascii="Times New Roman" w:hAnsi="Times New Roman" w:cs="Times New Roman"/>
          <w:sz w:val="18"/>
          <w:szCs w:val="18"/>
        </w:rPr>
        <w:t xml:space="preserve"> </w:t>
      </w:r>
    </w:p>
  </w:footnote>
  <w:footnote w:id="3">
    <w:p w:rsidR="00C63521" w:rsidRPr="00AE4690" w:rsidRDefault="00C63521" w:rsidP="008423C5">
      <w:pPr>
        <w:pStyle w:val="FootnoteText"/>
        <w:rPr>
          <w:rFonts w:ascii="Times New Roman" w:hAnsi="Times New Roman" w:cs="Times New Roman"/>
          <w:sz w:val="18"/>
          <w:szCs w:val="18"/>
        </w:rPr>
      </w:pPr>
      <w:r w:rsidRPr="00AE4690">
        <w:rPr>
          <w:rStyle w:val="FootnoteReference"/>
          <w:rFonts w:ascii="Times New Roman" w:hAnsi="Times New Roman" w:cs="Times New Roman"/>
          <w:sz w:val="18"/>
          <w:szCs w:val="18"/>
        </w:rPr>
        <w:footnoteRef/>
      </w:r>
      <w:r w:rsidRPr="00AE4690">
        <w:rPr>
          <w:rFonts w:ascii="Times New Roman" w:hAnsi="Times New Roman" w:cs="Times New Roman"/>
          <w:sz w:val="18"/>
          <w:szCs w:val="18"/>
        </w:rPr>
        <w:t xml:space="preserve"> The relative alignment of the initial particle spins and the positron’s kinetic energy at the time of annihilation may affect the number and direction of the emitted photons; however, these effects are usually considered negligible in practice. </w:t>
      </w:r>
      <w:r w:rsidRPr="00AE4690">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&lt;EndNote&gt;&lt;Cite&gt;&lt;Author&gt;Valk&lt;/Author&gt;&lt;Year&gt;2003&lt;/Year&gt;&lt;RecNum&gt;191&lt;/RecNum&gt;&lt;DisplayText&gt;(Valk 2003)&lt;/DisplayText&gt;&lt;record&gt;&lt;rec-number&gt;191&lt;/rec-number&gt;&lt;foreign-keys&gt;&lt;key app="EN" db-id="srwv9ppvvez5pgefxzi5ddeve5w2fe5x5esr"&gt;191&lt;/key&gt;&lt;/foreign-keys&gt;&lt;ref-type name="Book"&gt;6&lt;/ref-type&gt;&lt;contributors&gt;&lt;authors&gt;&lt;author&gt;Valk, Peter E.&lt;/author&gt;&lt;/authors&gt;&lt;/contributors&gt;&lt;titles&gt;&lt;title&gt;Positron emission tomography : basic science and clinical practice&lt;/title&gt;&lt;/titles&gt;&lt;dates&gt;&lt;year&gt;2003&lt;/year&gt;&lt;/dates&gt;&lt;pub-location&gt;London; New York&lt;/pub-location&gt;&lt;publisher&gt;Springer&lt;/publisher&gt;&lt;isbn&gt;1852334851 9781852334857&lt;/isbn&gt;&lt;urls&gt;&lt;/urls&gt;&lt;remote-database-name&gt;/z-wcorg/&lt;/remote-database-name&gt;&lt;remote-database-provider&gt;http://worldcat.org&lt;/remote-database-provider&gt;&lt;language&gt;English&lt;/language&gt;&lt;/record&gt;&lt;/Cite&gt;&lt;/EndNote&gt;</w:instrText>
      </w:r>
      <w:r w:rsidRPr="00AE4690">
        <w:rPr>
          <w:rFonts w:ascii="Times New Roman" w:hAnsi="Times New Roman" w:cs="Times New Roman"/>
          <w:sz w:val="18"/>
          <w:szCs w:val="18"/>
        </w:rPr>
        <w:fldChar w:fldCharType="separate"/>
      </w:r>
      <w:r>
        <w:rPr>
          <w:rFonts w:ascii="Times New Roman" w:hAnsi="Times New Roman" w:cs="Times New Roman"/>
          <w:noProof/>
          <w:sz w:val="18"/>
          <w:szCs w:val="18"/>
        </w:rPr>
        <w:t>(</w:t>
      </w:r>
      <w:hyperlink w:anchor="_ENREF_83" w:tooltip="Valk, 2003 #191" w:history="1">
        <w:r>
          <w:rPr>
            <w:rFonts w:ascii="Times New Roman" w:hAnsi="Times New Roman" w:cs="Times New Roman"/>
            <w:noProof/>
            <w:sz w:val="18"/>
            <w:szCs w:val="18"/>
          </w:rPr>
          <w:t>Valk 2003</w:t>
        </w:r>
      </w:hyperlink>
      <w:r>
        <w:rPr>
          <w:rFonts w:ascii="Times New Roman" w:hAnsi="Times New Roman" w:cs="Times New Roman"/>
          <w:noProof/>
          <w:sz w:val="18"/>
          <w:szCs w:val="18"/>
        </w:rPr>
        <w:t>)</w:t>
      </w:r>
      <w:r w:rsidRPr="00AE4690">
        <w:rPr>
          <w:rFonts w:ascii="Times New Roman" w:hAnsi="Times New Roman" w:cs="Times New Roman"/>
          <w:sz w:val="18"/>
          <w:szCs w:val="18"/>
        </w:rPr>
        <w:fldChar w:fldCharType="end"/>
      </w:r>
    </w:p>
  </w:footnote>
  <w:footnote w:id="4">
    <w:p w:rsidR="00C63521" w:rsidRPr="006D283E" w:rsidRDefault="00C63521" w:rsidP="006D283E">
      <w:pPr>
        <w:pStyle w:val="FootnoteText"/>
        <w:rPr>
          <w:rFonts w:ascii="Times New Roman" w:hAnsi="Times New Roman" w:cs="Times New Roman"/>
          <w:sz w:val="18"/>
          <w:szCs w:val="18"/>
        </w:rPr>
      </w:pPr>
      <w:r w:rsidRPr="006D283E">
        <w:rPr>
          <w:rStyle w:val="FootnoteReference"/>
          <w:rFonts w:ascii="Times New Roman" w:hAnsi="Times New Roman" w:cs="Times New Roman"/>
          <w:sz w:val="18"/>
          <w:szCs w:val="18"/>
        </w:rPr>
        <w:footnoteRef/>
      </w:r>
      <w:r w:rsidRPr="006D283E">
        <w:rPr>
          <w:rFonts w:ascii="Times New Roman" w:hAnsi="Times New Roman" w:cs="Times New Roman"/>
          <w:sz w:val="18"/>
          <w:szCs w:val="18"/>
        </w:rPr>
        <w:t xml:space="preserve"> Different methods have been employed for initial estimates of the emission volume distribution; Watson et al. used 3D reconstructions of the projection data, which include scatter. </w:t>
      </w:r>
      <w:r w:rsidRPr="006D283E">
        <w:rPr>
          <w:rFonts w:ascii="Times New Roman" w:hAnsi="Times New Roman" w:cs="Times New Roman"/>
          <w:sz w:val="18"/>
          <w:szCs w:val="18"/>
        </w:rPr>
        <w:fldChar w:fldCharType="begin"/>
      </w:r>
      <w:r>
        <w:rPr>
          <w:rFonts w:ascii="Times New Roman" w:hAnsi="Times New Roman" w:cs="Times New Roman"/>
          <w:sz w:val="18"/>
          <w:szCs w:val="18"/>
        </w:rPr>
        <w:instrText xml:space="preserve"> ADDIN EN.CITE &lt;EndNote&gt;&lt;Cite&gt;&lt;Author&gt;Watson&lt;/Author&gt;&lt;Year&gt;1996&lt;/Year&gt;&lt;RecNum&gt;153&lt;/RecNum&gt;&lt;DisplayText&gt;(Watson, Newport et al. 1996)&lt;/DisplayText&gt;&lt;record&gt;&lt;rec-number&gt;153&lt;/rec-number&gt;&lt;foreign-keys&gt;&lt;key app="EN" db-id="srwv9ppvvez5pgefxzi5ddeve5w2fe5x5esr"&gt;153&lt;/key&gt;&lt;/foreign-keys&gt;&lt;ref-type name="Journal Article"&gt;17&lt;/ref-type&gt;&lt;contributors&gt;&lt;authors&gt;&lt;author&gt;Watson, CC&lt;/author&gt;&lt;author&gt;Newport, D&lt;/author&gt;&lt;author&gt;Casey, ME&lt;/author&gt;&lt;/authors&gt;&lt;/contributors&gt;&lt;titles&gt;&lt;title&gt;A single scatter simulation technique for scatter correction in 3D PET&lt;/title&gt;&lt;secondary-title&gt;Three-Dimensional Image Reconstruction in Radiology and Nuclear Medicine&lt;/secondary-title&gt;&lt;/titles&gt;&lt;pages&gt;255–68&lt;/pages&gt;&lt;volume&gt;4&lt;/volume&gt;&lt;dates&gt;&lt;year&gt;1996&lt;/year&gt;&lt;/dates&gt;&lt;urls&gt;&lt;/urls&gt;&lt;/record&gt;&lt;/Cite&gt;&lt;/EndNote&gt;</w:instrText>
      </w:r>
      <w:r w:rsidRPr="006D283E">
        <w:rPr>
          <w:rFonts w:ascii="Times New Roman" w:hAnsi="Times New Roman" w:cs="Times New Roman"/>
          <w:sz w:val="18"/>
          <w:szCs w:val="18"/>
        </w:rPr>
        <w:fldChar w:fldCharType="separate"/>
      </w:r>
      <w:r>
        <w:rPr>
          <w:rFonts w:ascii="Times New Roman" w:hAnsi="Times New Roman" w:cs="Times New Roman"/>
          <w:noProof/>
          <w:sz w:val="18"/>
          <w:szCs w:val="18"/>
        </w:rPr>
        <w:t>(</w:t>
      </w:r>
      <w:hyperlink w:anchor="_ENREF_87" w:tooltip="Watson, 1996 #153" w:history="1">
        <w:r>
          <w:rPr>
            <w:rFonts w:ascii="Times New Roman" w:hAnsi="Times New Roman" w:cs="Times New Roman"/>
            <w:noProof/>
            <w:sz w:val="18"/>
            <w:szCs w:val="18"/>
          </w:rPr>
          <w:t>Watson, Newport et al. 1996</w:t>
        </w:r>
      </w:hyperlink>
      <w:r>
        <w:rPr>
          <w:rFonts w:ascii="Times New Roman" w:hAnsi="Times New Roman" w:cs="Times New Roman"/>
          <w:noProof/>
          <w:sz w:val="18"/>
          <w:szCs w:val="18"/>
        </w:rPr>
        <w:t>)</w:t>
      </w:r>
      <w:r w:rsidRPr="006D283E">
        <w:rPr>
          <w:rFonts w:ascii="Times New Roman" w:hAnsi="Times New Roman" w:cs="Times New Roman"/>
          <w:sz w:val="18"/>
          <w:szCs w:val="18"/>
        </w:rPr>
        <w:fldChar w:fldCharType="end"/>
      </w:r>
    </w:p>
  </w:footnote>
  <w:footnote w:id="5">
    <w:p w:rsidR="00C63521" w:rsidRPr="00D217B9" w:rsidRDefault="00C63521">
      <w:pPr>
        <w:pStyle w:val="FootnoteText"/>
        <w:rPr>
          <w:rFonts w:ascii="Times New Roman" w:hAnsi="Times New Roman" w:cs="Times New Roman"/>
          <w:sz w:val="18"/>
          <w:szCs w:val="18"/>
        </w:rPr>
      </w:pPr>
      <w:r w:rsidRPr="00D217B9">
        <w:rPr>
          <w:rStyle w:val="FootnoteReference"/>
          <w:rFonts w:ascii="Times New Roman" w:hAnsi="Times New Roman" w:cs="Times New Roman"/>
          <w:sz w:val="18"/>
          <w:szCs w:val="18"/>
        </w:rPr>
        <w:footnoteRef/>
      </w:r>
      <w:r w:rsidRPr="00D217B9">
        <w:rPr>
          <w:rFonts w:ascii="Times New Roman" w:hAnsi="Times New Roman" w:cs="Times New Roman"/>
          <w:sz w:val="18"/>
          <w:szCs w:val="18"/>
        </w:rPr>
        <w:t xml:space="preserve"> Houndsfield units are used in X-ray CT to </w:t>
      </w:r>
      <w:r>
        <w:rPr>
          <w:rFonts w:ascii="Times New Roman" w:hAnsi="Times New Roman" w:cs="Times New Roman"/>
          <w:sz w:val="18"/>
          <w:szCs w:val="18"/>
        </w:rPr>
        <w:t>represent</w:t>
      </w:r>
      <w:r w:rsidRPr="00D217B9">
        <w:rPr>
          <w:rFonts w:ascii="Times New Roman" w:hAnsi="Times New Roman" w:cs="Times New Roman"/>
          <w:sz w:val="18"/>
          <w:szCs w:val="18"/>
        </w:rPr>
        <w:t xml:space="preserve"> the electron density of biological tissue.  </w:t>
      </w:r>
      <w:r>
        <w:rPr>
          <w:rFonts w:ascii="Times New Roman" w:hAnsi="Times New Roman" w:cs="Times New Roman"/>
          <w:sz w:val="18"/>
          <w:szCs w:val="18"/>
        </w:rPr>
        <w:t>The values are calibrated so that</w:t>
      </w:r>
      <w:r w:rsidRPr="00D217B9">
        <w:rPr>
          <w:rFonts w:ascii="Times New Roman" w:hAnsi="Times New Roman" w:cs="Times New Roman"/>
          <w:sz w:val="18"/>
          <w:szCs w:val="18"/>
        </w:rPr>
        <w:t xml:space="preserve"> water is zero, with more and less dense material lying in the positive and negative ranges, respectively.</w:t>
      </w:r>
    </w:p>
  </w:footnote>
  <w:footnote w:id="6">
    <w:p w:rsidR="00C63521" w:rsidRPr="0080452B" w:rsidRDefault="00C63521" w:rsidP="0080452B">
      <w:pPr>
        <w:suppressAutoHyphens/>
        <w:autoSpaceDE w:val="0"/>
        <w:jc w:val="both"/>
        <w:rPr>
          <w:sz w:val="18"/>
          <w:szCs w:val="18"/>
        </w:rPr>
      </w:pPr>
      <w:r w:rsidRPr="0080452B">
        <w:rPr>
          <w:rStyle w:val="FootnoteReference"/>
          <w:sz w:val="18"/>
          <w:szCs w:val="18"/>
        </w:rPr>
        <w:footnoteRef/>
      </w:r>
      <w:r w:rsidRPr="0080452B">
        <w:rPr>
          <w:sz w:val="18"/>
          <w:szCs w:val="18"/>
        </w:rPr>
        <w:t xml:space="preserve"> Theoretically, a system with perfect timing resolution would be able to generate an accurate image using only the spatial and temporal detection event information, eliminating the reconstruction process altogether.  However a timing resolution less than 30ps would be required to localize the event to a 4mm pixel, this is nearly 20 times less than the best performance achieved today.  The intrinsic spatial limit of PET is set by the mean free path of the positron before annihilation.  If we wish to achieve resolution on this order, a timing resolution of 4ps is required (based on the .6mm mean free path of an </w:t>
      </w:r>
      <w:r w:rsidRPr="0080452B">
        <w:rPr>
          <w:sz w:val="18"/>
          <w:szCs w:val="18"/>
          <w:vertAlign w:val="superscript"/>
        </w:rPr>
        <w:t>18</w:t>
      </w:r>
      <w:r w:rsidRPr="0080452B">
        <w:rPr>
          <w:sz w:val="18"/>
          <w:szCs w:val="18"/>
        </w:rPr>
        <w:t xml:space="preserve">F positron in tissue). </w:t>
      </w:r>
    </w:p>
    <w:p w:rsidR="00C63521" w:rsidRDefault="00C63521" w:rsidP="0080452B">
      <w:pPr>
        <w:pStyle w:val="FootnoteText"/>
      </w:pPr>
    </w:p>
  </w:footnote>
  <w:footnote w:id="7">
    <w:p w:rsidR="00C63521" w:rsidRPr="0053116B" w:rsidRDefault="00C63521" w:rsidP="00B23EFE">
      <w:pPr>
        <w:pStyle w:val="FootnoteText"/>
        <w:rPr>
          <w:rFonts w:ascii="Times New Roman" w:hAnsi="Times New Roman" w:cs="Times New Roman"/>
          <w:sz w:val="18"/>
          <w:szCs w:val="18"/>
        </w:rPr>
      </w:pPr>
      <w:r w:rsidRPr="0053116B">
        <w:rPr>
          <w:rStyle w:val="FootnoteReference"/>
          <w:rFonts w:ascii="Times New Roman" w:hAnsi="Times New Roman" w:cs="Times New Roman"/>
          <w:sz w:val="18"/>
          <w:szCs w:val="18"/>
        </w:rPr>
        <w:footnoteRef/>
      </w:r>
      <w:r w:rsidRPr="0053116B">
        <w:rPr>
          <w:rFonts w:ascii="Times New Roman" w:hAnsi="Times New Roman" w:cs="Times New Roman"/>
          <w:sz w:val="18"/>
          <w:szCs w:val="18"/>
        </w:rPr>
        <w:t xml:space="preserve"> This relation holds true because the probability statistics are assumed to be Gaussian.</w:t>
      </w:r>
    </w:p>
  </w:footnote>
  <w:footnote w:id="8">
    <w:p w:rsidR="00C63521" w:rsidRPr="00463767" w:rsidRDefault="00C63521" w:rsidP="00463767">
      <w:pPr>
        <w:suppressAutoHyphens/>
        <w:autoSpaceDE w:val="0"/>
        <w:jc w:val="both"/>
        <w:rPr>
          <w:sz w:val="18"/>
          <w:szCs w:val="18"/>
        </w:rPr>
      </w:pPr>
      <w:r w:rsidRPr="00463767">
        <w:rPr>
          <w:rStyle w:val="FootnoteReference"/>
          <w:sz w:val="18"/>
          <w:szCs w:val="18"/>
        </w:rPr>
        <w:footnoteRef/>
      </w:r>
      <w:r w:rsidRPr="00463767">
        <w:rPr>
          <w:sz w:val="18"/>
          <w:szCs w:val="18"/>
        </w:rPr>
        <w:t xml:space="preserve"> The ideal observer is often referred to as the Bayesian observer because the log-likelihood </w:t>
      </w:r>
      <w:r>
        <w:rPr>
          <w:sz w:val="18"/>
          <w:szCs w:val="18"/>
        </w:rPr>
        <w:t>ratio</w:t>
      </w:r>
      <w:r w:rsidRPr="00463767">
        <w:rPr>
          <w:sz w:val="18"/>
          <w:szCs w:val="18"/>
        </w:rPr>
        <w:t xml:space="preserve"> follows Bayesian statistics. </w:t>
      </w:r>
    </w:p>
    <w:p w:rsidR="00C63521" w:rsidRDefault="00C63521" w:rsidP="00463767">
      <w:pPr>
        <w:pStyle w:val="FootnoteText"/>
      </w:pPr>
    </w:p>
  </w:footnote>
  <w:footnote w:id="9">
    <w:p w:rsidR="00C63521" w:rsidRPr="004709B6" w:rsidRDefault="00C63521">
      <w:pPr>
        <w:pStyle w:val="FootnoteText"/>
        <w:rPr>
          <w:rFonts w:ascii="Times New Roman" w:hAnsi="Times New Roman" w:cs="Times New Roman"/>
          <w:sz w:val="18"/>
          <w:szCs w:val="18"/>
        </w:rPr>
      </w:pPr>
      <w:r w:rsidRPr="004709B6">
        <w:rPr>
          <w:rStyle w:val="FootnoteReference"/>
          <w:rFonts w:ascii="Times New Roman" w:hAnsi="Times New Roman" w:cs="Times New Roman"/>
          <w:sz w:val="18"/>
          <w:szCs w:val="18"/>
        </w:rPr>
        <w:footnoteRef/>
      </w:r>
      <w:r w:rsidRPr="004709B6">
        <w:rPr>
          <w:rFonts w:ascii="Times New Roman" w:hAnsi="Times New Roman" w:cs="Times New Roman"/>
          <w:sz w:val="18"/>
          <w:szCs w:val="18"/>
        </w:rPr>
        <w:t xml:space="preserve"> </w:t>
      </w:r>
      <w:r>
        <w:rPr>
          <w:rFonts w:ascii="Times New Roman" w:hAnsi="Times New Roman" w:cs="Times New Roman"/>
          <w:sz w:val="18"/>
          <w:szCs w:val="18"/>
        </w:rPr>
        <w:t xml:space="preserve">The diagonally elements of this matrix are the eigenvalues of the discriminant functions.  Since the rank of </w:t>
      </w:r>
      <m:oMath>
        <m:sSubSup>
          <m:sSubSupPr>
            <m:ctrlPr>
              <w:rPr>
                <w:rFonts w:ascii="Cambria Math" w:hAnsi="Cambria Math"/>
                <w:i/>
                <w:sz w:val="18"/>
                <w:szCs w:val="18"/>
              </w:rPr>
            </m:ctrlPr>
          </m:sSubSupPr>
          <m:e>
            <m:r>
              <m:rPr>
                <m:sty m:val="b"/>
              </m:rPr>
              <w:rPr>
                <w:rFonts w:ascii="Cambria Math" w:hAnsi="Cambria Math"/>
                <w:sz w:val="18"/>
                <w:szCs w:val="18"/>
              </w:rPr>
              <m:t>S</m:t>
            </m:r>
          </m:e>
          <m:sub>
            <m:r>
              <m:rPr>
                <m:sty m:val="b"/>
              </m:rPr>
              <w:rPr>
                <w:rFonts w:ascii="Cambria Math" w:hAnsi="Cambria Math"/>
                <w:sz w:val="18"/>
                <w:szCs w:val="18"/>
              </w:rPr>
              <m:t>2</m:t>
            </m:r>
          </m:sub>
          <m:sup>
            <m:r>
              <w:rPr>
                <w:rFonts w:ascii="Cambria Math" w:hAnsi="Cambria Math"/>
                <w:sz w:val="18"/>
                <w:szCs w:val="18"/>
              </w:rPr>
              <m:t>-1</m:t>
            </m:r>
          </m:sup>
        </m:sSubSup>
        <m:sSub>
          <m:sSubPr>
            <m:ctrlPr>
              <w:rPr>
                <w:rFonts w:ascii="Cambria Math" w:hAnsi="Cambria Math"/>
                <w:b/>
                <w:sz w:val="18"/>
                <w:szCs w:val="18"/>
              </w:rPr>
            </m:ctrlPr>
          </m:sSubPr>
          <m:e>
            <m:r>
              <m:rPr>
                <m:sty m:val="b"/>
              </m:rPr>
              <w:rPr>
                <w:rFonts w:ascii="Cambria Math" w:hAnsi="Cambria Math"/>
                <w:sz w:val="18"/>
                <w:szCs w:val="18"/>
              </w:rPr>
              <m:t>S</m:t>
            </m:r>
          </m:e>
          <m:sub>
            <m:r>
              <m:rPr>
                <m:sty m:val="b"/>
              </m:rPr>
              <w:rPr>
                <w:rFonts w:ascii="Cambria Math" w:hAnsi="Cambria Math"/>
                <w:sz w:val="18"/>
                <w:szCs w:val="18"/>
              </w:rPr>
              <m:t>1</m:t>
            </m:r>
          </m:sub>
        </m:sSub>
      </m:oMath>
      <w:r>
        <w:t xml:space="preserve"> </w:t>
      </w:r>
      <w:r>
        <w:rPr>
          <w:rFonts w:ascii="Times New Roman" w:hAnsi="Times New Roman" w:cs="Times New Roman"/>
          <w:sz w:val="18"/>
          <w:szCs w:val="18"/>
        </w:rPr>
        <w:t>is</w:t>
      </w:r>
      <w:r w:rsidRPr="004709B6">
        <w:rPr>
          <w:rFonts w:ascii="Times New Roman" w:hAnsi="Times New Roman" w:cs="Times New Roman"/>
          <w:sz w:val="18"/>
          <w:szCs w:val="18"/>
        </w:rPr>
        <w:t xml:space="preserve"> (</w:t>
      </w:r>
      <w:r w:rsidRPr="004709B6">
        <w:rPr>
          <w:rFonts w:ascii="Times New Roman" w:hAnsi="Times New Roman" w:cs="Times New Roman"/>
          <w:i/>
          <w:sz w:val="18"/>
          <w:szCs w:val="18"/>
        </w:rPr>
        <w:t>k</w:t>
      </w:r>
      <w:r w:rsidRPr="004709B6">
        <w:rPr>
          <w:rFonts w:ascii="Times New Roman" w:hAnsi="Times New Roman" w:cs="Times New Roman"/>
          <w:sz w:val="18"/>
          <w:szCs w:val="18"/>
        </w:rPr>
        <w:t>-1)</w:t>
      </w:r>
      <w:r>
        <w:rPr>
          <w:rFonts w:ascii="Times New Roman" w:hAnsi="Times New Roman" w:cs="Times New Roman"/>
          <w:sz w:val="18"/>
          <w:szCs w:val="18"/>
        </w:rPr>
        <w:t xml:space="preserve">, there will be </w:t>
      </w:r>
      <w:r w:rsidRPr="004709B6">
        <w:rPr>
          <w:rFonts w:ascii="Times New Roman" w:hAnsi="Times New Roman" w:cs="Times New Roman"/>
          <w:sz w:val="18"/>
          <w:szCs w:val="18"/>
        </w:rPr>
        <w:t>(</w:t>
      </w:r>
      <w:r w:rsidRPr="004709B6">
        <w:rPr>
          <w:rFonts w:ascii="Times New Roman" w:hAnsi="Times New Roman" w:cs="Times New Roman"/>
          <w:i/>
          <w:sz w:val="18"/>
          <w:szCs w:val="18"/>
        </w:rPr>
        <w:t>k</w:t>
      </w:r>
      <w:r w:rsidRPr="004709B6">
        <w:rPr>
          <w:rFonts w:ascii="Times New Roman" w:hAnsi="Times New Roman" w:cs="Times New Roman"/>
          <w:sz w:val="18"/>
          <w:szCs w:val="18"/>
        </w:rPr>
        <w:t xml:space="preserve">-1) </w:t>
      </w:r>
      <w:r>
        <w:rPr>
          <w:rFonts w:ascii="Times New Roman" w:hAnsi="Times New Roman" w:cs="Times New Roman"/>
          <w:sz w:val="18"/>
          <w:szCs w:val="18"/>
        </w:rPr>
        <w:t>eigenvectors and non-zero eigenvalues.</w:t>
      </w:r>
    </w:p>
  </w:footnote>
  <w:footnote w:id="10">
    <w:p w:rsidR="00C63521" w:rsidRPr="00522A58" w:rsidRDefault="00C63521">
      <w:pPr>
        <w:pStyle w:val="FootnoteText"/>
        <w:rPr>
          <w:rFonts w:ascii="Times New Roman" w:hAnsi="Times New Roman" w:cs="Times New Roman"/>
          <w:sz w:val="18"/>
          <w:szCs w:val="18"/>
        </w:rPr>
      </w:pPr>
      <w:r w:rsidRPr="00522A58">
        <w:rPr>
          <w:rStyle w:val="FootnoteReference"/>
          <w:rFonts w:ascii="Times New Roman" w:hAnsi="Times New Roman" w:cs="Times New Roman"/>
          <w:sz w:val="18"/>
          <w:szCs w:val="18"/>
        </w:rPr>
        <w:footnoteRef/>
      </w:r>
      <w:r w:rsidRPr="00522A58">
        <w:rPr>
          <w:rFonts w:ascii="Times New Roman" w:hAnsi="Times New Roman" w:cs="Times New Roman"/>
          <w:sz w:val="18"/>
          <w:szCs w:val="18"/>
        </w:rPr>
        <w:t xml:space="preserve"> These are the patient data sets used in the current study.</w:t>
      </w:r>
    </w:p>
  </w:footnote>
  <w:footnote w:id="11">
    <w:p w:rsidR="00C63521" w:rsidRPr="00491293" w:rsidRDefault="00C63521" w:rsidP="00736BE6">
      <w:pPr>
        <w:pStyle w:val="FootnoteText"/>
        <w:rPr>
          <w:rFonts w:ascii="Times New Roman" w:hAnsi="Times New Roman" w:cs="Times New Roman"/>
          <w:sz w:val="18"/>
          <w:szCs w:val="18"/>
        </w:rPr>
      </w:pPr>
      <w:r w:rsidRPr="00491293">
        <w:rPr>
          <w:rStyle w:val="FootnoteReference"/>
          <w:rFonts w:ascii="Times New Roman" w:hAnsi="Times New Roman" w:cs="Times New Roman"/>
          <w:sz w:val="18"/>
          <w:szCs w:val="18"/>
        </w:rPr>
        <w:footnoteRef/>
      </w:r>
      <w:r w:rsidRPr="00491293">
        <w:rPr>
          <w:rFonts w:ascii="Times New Roman" w:hAnsi="Times New Roman" w:cs="Times New Roman"/>
          <w:sz w:val="18"/>
          <w:szCs w:val="18"/>
        </w:rPr>
        <w:t xml:space="preserve"> Some algorithms interpolate the projections and cast them into equally space</w:t>
      </w:r>
      <w:r>
        <w:rPr>
          <w:rFonts w:ascii="Times New Roman" w:hAnsi="Times New Roman" w:cs="Times New Roman"/>
          <w:sz w:val="18"/>
          <w:szCs w:val="18"/>
        </w:rPr>
        <w:t>d radial bins.  This compromises</w:t>
      </w:r>
      <w:r w:rsidRPr="00491293">
        <w:rPr>
          <w:rFonts w:ascii="Times New Roman" w:hAnsi="Times New Roman" w:cs="Times New Roman"/>
          <w:sz w:val="18"/>
          <w:szCs w:val="18"/>
        </w:rPr>
        <w:t xml:space="preserve"> the Poisson nature of the data and can lead to less optimal reconstructions, especially in low count-rate conditions.</w:t>
      </w:r>
    </w:p>
    <w:p w:rsidR="00C63521" w:rsidRDefault="00C63521">
      <w:pPr>
        <w:pStyle w:val="FootnoteText"/>
      </w:pPr>
    </w:p>
  </w:footnote>
  <w:footnote w:id="12">
    <w:p w:rsidR="00C63521" w:rsidRPr="006960F3" w:rsidRDefault="00C63521">
      <w:pPr>
        <w:pStyle w:val="FootnoteText"/>
        <w:rPr>
          <w:rFonts w:ascii="Times New Roman" w:hAnsi="Times New Roman" w:cs="Times New Roman"/>
          <w:sz w:val="18"/>
          <w:szCs w:val="18"/>
        </w:rPr>
      </w:pPr>
      <w:r w:rsidRPr="006960F3">
        <w:rPr>
          <w:rStyle w:val="FootnoteReference"/>
          <w:rFonts w:ascii="Times New Roman" w:hAnsi="Times New Roman" w:cs="Times New Roman"/>
          <w:sz w:val="18"/>
          <w:szCs w:val="18"/>
        </w:rPr>
        <w:footnoteRef/>
      </w:r>
      <w:r w:rsidRPr="006960F3">
        <w:rPr>
          <w:rFonts w:ascii="Times New Roman" w:hAnsi="Times New Roman" w:cs="Times New Roman"/>
          <w:sz w:val="18"/>
          <w:szCs w:val="18"/>
        </w:rPr>
        <w:t xml:space="preserve"> </w:t>
      </w:r>
      <w:r>
        <w:rPr>
          <w:rFonts w:ascii="Times New Roman" w:hAnsi="Times New Roman" w:cs="Times New Roman"/>
          <w:sz w:val="18"/>
          <w:szCs w:val="18"/>
        </w:rPr>
        <w:t>A</w:t>
      </w:r>
      <w:r w:rsidRPr="006960F3">
        <w:rPr>
          <w:rFonts w:ascii="Times New Roman" w:hAnsi="Times New Roman" w:cs="Times New Roman"/>
          <w:sz w:val="18"/>
          <w:szCs w:val="18"/>
        </w:rPr>
        <w:t xml:space="preserve"> numeric test statistic may not accurately represent a human observer’s confidence</w:t>
      </w:r>
      <w:r>
        <w:rPr>
          <w:rFonts w:ascii="Times New Roman" w:hAnsi="Times New Roman" w:cs="Times New Roman"/>
          <w:sz w:val="18"/>
          <w:szCs w:val="18"/>
        </w:rPr>
        <w:t>,</w:t>
      </w:r>
      <w:r w:rsidRPr="006960F3">
        <w:rPr>
          <w:rFonts w:ascii="Times New Roman" w:hAnsi="Times New Roman" w:cs="Times New Roman"/>
          <w:sz w:val="18"/>
          <w:szCs w:val="18"/>
        </w:rPr>
        <w:t xml:space="preserve"> which is subjective and can be affected by other psychological factors. </w:t>
      </w:r>
    </w:p>
  </w:footnote>
  <w:footnote w:id="13">
    <w:p w:rsidR="00C63521" w:rsidRPr="006555D8" w:rsidRDefault="00C63521">
      <w:pPr>
        <w:pStyle w:val="FootnoteText"/>
        <w:rPr>
          <w:rFonts w:ascii="Times New Roman" w:hAnsi="Times New Roman" w:cs="Times New Roman"/>
          <w:sz w:val="18"/>
          <w:szCs w:val="18"/>
        </w:rPr>
      </w:pPr>
      <w:r w:rsidRPr="006555D8">
        <w:rPr>
          <w:rStyle w:val="FootnoteReference"/>
          <w:rFonts w:ascii="Times New Roman" w:hAnsi="Times New Roman" w:cs="Times New Roman"/>
          <w:sz w:val="18"/>
          <w:szCs w:val="18"/>
        </w:rPr>
        <w:footnoteRef/>
      </w:r>
      <w:r w:rsidRPr="006555D8">
        <w:rPr>
          <w:rFonts w:ascii="Times New Roman" w:hAnsi="Times New Roman" w:cs="Times New Roman"/>
          <w:sz w:val="18"/>
          <w:szCs w:val="18"/>
        </w:rPr>
        <w:t xml:space="preserve"> This approach is valid under the assumption that the presence (or absence) of a lesion does not affect the observer</w:t>
      </w:r>
      <w:r>
        <w:rPr>
          <w:rFonts w:ascii="Times New Roman" w:hAnsi="Times New Roman" w:cs="Times New Roman"/>
          <w:sz w:val="18"/>
          <w:szCs w:val="18"/>
        </w:rPr>
        <w:t>’</w:t>
      </w:r>
      <w:r w:rsidRPr="006555D8">
        <w:rPr>
          <w:rFonts w:ascii="Times New Roman" w:hAnsi="Times New Roman" w:cs="Times New Roman"/>
          <w:sz w:val="18"/>
          <w:szCs w:val="18"/>
        </w:rPr>
        <w:t xml:space="preserve">s decision making process.  </w:t>
      </w:r>
    </w:p>
  </w:footnote>
  <w:footnote w:id="14">
    <w:p w:rsidR="00C63521" w:rsidRPr="001C3FE4" w:rsidRDefault="00C63521" w:rsidP="00B3500F">
      <w:pPr>
        <w:numPr>
          <w:ilvl w:val="12"/>
          <w:numId w:val="0"/>
        </w:numPr>
        <w:spacing w:line="480" w:lineRule="auto"/>
        <w:rPr>
          <w:sz w:val="18"/>
          <w:szCs w:val="18"/>
        </w:rPr>
      </w:pPr>
      <w:r w:rsidRPr="006555D8">
        <w:rPr>
          <w:rStyle w:val="FootnoteReference"/>
          <w:sz w:val="18"/>
          <w:szCs w:val="18"/>
        </w:rPr>
        <w:footnoteRef/>
      </w:r>
      <w:r w:rsidRPr="006555D8">
        <w:rPr>
          <w:sz w:val="18"/>
          <w:szCs w:val="18"/>
        </w:rPr>
        <w:t xml:space="preserve"> The data were assumed to be normally distributed</w:t>
      </w:r>
      <w:r>
        <w:rPr>
          <w:sz w:val="18"/>
          <w:szCs w:val="18"/>
        </w:rPr>
        <w:t xml:space="preserve"> with the bin widths</w:t>
      </w:r>
      <w:r w:rsidRPr="001C3FE4">
        <w:rPr>
          <w:sz w:val="18"/>
          <w:szCs w:val="18"/>
        </w:rPr>
        <w:t xml:space="preserve"> defined by the standard deviations of the sets</w:t>
      </w:r>
      <w:r>
        <w:rPr>
          <w:sz w:val="18"/>
          <w:szCs w:val="18"/>
        </w:rPr>
        <w:t>.</w:t>
      </w:r>
    </w:p>
    <w:p w:rsidR="00C63521" w:rsidRDefault="00C63521" w:rsidP="00B3500F">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21" w:rsidRDefault="00C6352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63521" w:rsidRDefault="00C63521"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21" w:rsidRDefault="00C6352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0DCB">
      <w:rPr>
        <w:rStyle w:val="PageNumber"/>
        <w:noProof/>
      </w:rPr>
      <w:t>xii</w:t>
    </w:r>
    <w:r>
      <w:rPr>
        <w:rStyle w:val="PageNumber"/>
      </w:rPr>
      <w:fldChar w:fldCharType="end"/>
    </w:r>
  </w:p>
  <w:p w:rsidR="00C63521" w:rsidRDefault="00C63521" w:rsidP="00755F52">
    <w:pPr>
      <w:spacing w:line="34" w:lineRule="auto"/>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21" w:rsidRDefault="00C6352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63521" w:rsidRDefault="00C63521" w:rsidP="00755F52">
    <w:pPr>
      <w:spacing w:line="34" w:lineRule="auto"/>
      <w:ind w:right="36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21" w:rsidRDefault="00C6352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0C39">
      <w:rPr>
        <w:rStyle w:val="PageNumber"/>
        <w:noProof/>
      </w:rPr>
      <w:t>111</w:t>
    </w:r>
    <w:r>
      <w:rPr>
        <w:rStyle w:val="PageNumber"/>
      </w:rPr>
      <w:fldChar w:fldCharType="end"/>
    </w:r>
  </w:p>
  <w:p w:rsidR="00C63521" w:rsidRDefault="00C63521"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09431308"/>
    <w:multiLevelType w:val="hybridMultilevel"/>
    <w:tmpl w:val="4086BC0A"/>
    <w:lvl w:ilvl="0" w:tplc="CA2A3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86547B2"/>
    <w:multiLevelType w:val="hybridMultilevel"/>
    <w:tmpl w:val="7006EFEA"/>
    <w:lvl w:ilvl="0" w:tplc="7F9E5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AA3A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removePersonalInformation/>
  <w:removeDateAndTime/>
  <w:proofState w:spelling="clean" w:grammar="clean"/>
  <w:stylePaneFormatFilter w:val="0008"/>
  <w:defaultTabStop w:val="720"/>
  <w:drawingGridHorizontalSpacing w:val="187"/>
  <w:displayVerticalDrawingGridEvery w:val="2"/>
  <w:noPunctuationKerning/>
  <w:characterSpacingControl w:val="doNotCompress"/>
  <w:hdrShapeDefaults>
    <o:shapedefaults v:ext="edit" spidmax="266242"/>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rwv9ppvvez5pgefxzi5ddeve5w2fe5x5esr&quot;&gt;Citations&lt;record-ids&gt;&lt;item&gt;33&lt;/item&gt;&lt;item&gt;43&lt;/item&gt;&lt;item&gt;44&lt;/item&gt;&lt;item&gt;65&lt;/item&gt;&lt;item&gt;66&lt;/item&gt;&lt;item&gt;69&lt;/item&gt;&lt;item&gt;86&lt;/item&gt;&lt;item&gt;89&lt;/item&gt;&lt;item&gt;90&lt;/item&gt;&lt;item&gt;92&lt;/item&gt;&lt;item&gt;95&lt;/item&gt;&lt;item&gt;96&lt;/item&gt;&lt;item&gt;97&lt;/item&gt;&lt;item&gt;98&lt;/item&gt;&lt;item&gt;100&lt;/item&gt;&lt;item&gt;101&lt;/item&gt;&lt;item&gt;103&lt;/item&gt;&lt;item&gt;112&lt;/item&gt;&lt;item&gt;121&lt;/item&gt;&lt;item&gt;131&lt;/item&gt;&lt;item&gt;144&lt;/item&gt;&lt;item&gt;149&lt;/item&gt;&lt;item&gt;150&lt;/item&gt;&lt;item&gt;151&lt;/item&gt;&lt;item&gt;153&lt;/item&gt;&lt;item&gt;155&lt;/item&gt;&lt;item&gt;156&lt;/item&gt;&lt;item&gt;159&lt;/item&gt;&lt;item&gt;160&lt;/item&gt;&lt;item&gt;161&lt;/item&gt;&lt;item&gt;162&lt;/item&gt;&lt;item&gt;163&lt;/item&gt;&lt;item&gt;166&lt;/item&gt;&lt;item&gt;167&lt;/item&gt;&lt;item&gt;171&lt;/item&gt;&lt;item&gt;176&lt;/item&gt;&lt;item&gt;177&lt;/item&gt;&lt;item&gt;178&lt;/item&gt;&lt;item&gt;183&lt;/item&gt;&lt;item&gt;184&lt;/item&gt;&lt;item&gt;191&lt;/item&gt;&lt;item&gt;192&lt;/item&gt;&lt;item&gt;201&lt;/item&gt;&lt;item&gt;202&lt;/item&gt;&lt;item&gt;203&lt;/item&gt;&lt;item&gt;204&lt;/item&gt;&lt;item&gt;207&lt;/item&gt;&lt;item&gt;208&lt;/item&gt;&lt;item&gt;210&lt;/item&gt;&lt;item&gt;211&lt;/item&gt;&lt;item&gt;212&lt;/item&gt;&lt;item&gt;213&lt;/item&gt;&lt;item&gt;214&lt;/item&gt;&lt;item&gt;216&lt;/item&gt;&lt;item&gt;217&lt;/item&gt;&lt;item&gt;218&lt;/item&gt;&lt;item&gt;219&lt;/item&gt;&lt;item&gt;220&lt;/item&gt;&lt;item&gt;221&lt;/item&gt;&lt;item&gt;222&lt;/item&gt;&lt;item&gt;226&lt;/item&gt;&lt;item&gt;227&lt;/item&gt;&lt;item&gt;256&lt;/item&gt;&lt;item&gt;261&lt;/item&gt;&lt;item&gt;268&lt;/item&gt;&lt;item&gt;271&lt;/item&gt;&lt;item&gt;272&lt;/item&gt;&lt;item&gt;274&lt;/item&gt;&lt;item&gt;276&lt;/item&gt;&lt;item&gt;277&lt;/item&gt;&lt;item&gt;280&lt;/item&gt;&lt;item&gt;281&lt;/item&gt;&lt;item&gt;284&lt;/item&gt;&lt;item&gt;294&lt;/item&gt;&lt;item&gt;295&lt;/item&gt;&lt;item&gt;296&lt;/item&gt;&lt;item&gt;297&lt;/item&gt;&lt;item&gt;301&lt;/item&gt;&lt;item&gt;326&lt;/item&gt;&lt;item&gt;327&lt;/item&gt;&lt;item&gt;332&lt;/item&gt;&lt;item&gt;341&lt;/item&gt;&lt;item&gt;342&lt;/item&gt;&lt;item&gt;343&lt;/item&gt;&lt;item&gt;344&lt;/item&gt;&lt;item&gt;345&lt;/item&gt;&lt;/record-ids&gt;&lt;/item&gt;&lt;/Libraries&gt;"/>
  </w:docVars>
  <w:rsids>
    <w:rsidRoot w:val="00ED7A05"/>
    <w:rsid w:val="000010F2"/>
    <w:rsid w:val="0000148E"/>
    <w:rsid w:val="000021EC"/>
    <w:rsid w:val="00002A0D"/>
    <w:rsid w:val="00003944"/>
    <w:rsid w:val="00005D42"/>
    <w:rsid w:val="00012357"/>
    <w:rsid w:val="0001270C"/>
    <w:rsid w:val="00012824"/>
    <w:rsid w:val="00012B7C"/>
    <w:rsid w:val="0001322A"/>
    <w:rsid w:val="00013325"/>
    <w:rsid w:val="00013B5F"/>
    <w:rsid w:val="00014694"/>
    <w:rsid w:val="00014A3E"/>
    <w:rsid w:val="00015E84"/>
    <w:rsid w:val="000166A9"/>
    <w:rsid w:val="000167AB"/>
    <w:rsid w:val="00016A15"/>
    <w:rsid w:val="000175DC"/>
    <w:rsid w:val="00017B79"/>
    <w:rsid w:val="00017BF1"/>
    <w:rsid w:val="00020EFB"/>
    <w:rsid w:val="00021394"/>
    <w:rsid w:val="00021411"/>
    <w:rsid w:val="00023A50"/>
    <w:rsid w:val="00025423"/>
    <w:rsid w:val="000254FE"/>
    <w:rsid w:val="000264EB"/>
    <w:rsid w:val="00026647"/>
    <w:rsid w:val="0002782C"/>
    <w:rsid w:val="00030C78"/>
    <w:rsid w:val="00030E8C"/>
    <w:rsid w:val="00031057"/>
    <w:rsid w:val="00032B51"/>
    <w:rsid w:val="00034993"/>
    <w:rsid w:val="00036E1D"/>
    <w:rsid w:val="00036FB6"/>
    <w:rsid w:val="0003789B"/>
    <w:rsid w:val="00037AE4"/>
    <w:rsid w:val="00040092"/>
    <w:rsid w:val="000407D1"/>
    <w:rsid w:val="0004119C"/>
    <w:rsid w:val="000414CB"/>
    <w:rsid w:val="0004225E"/>
    <w:rsid w:val="00042742"/>
    <w:rsid w:val="00042CBD"/>
    <w:rsid w:val="00043236"/>
    <w:rsid w:val="00046971"/>
    <w:rsid w:val="00046E92"/>
    <w:rsid w:val="0004704E"/>
    <w:rsid w:val="000475BC"/>
    <w:rsid w:val="0004799C"/>
    <w:rsid w:val="000501C2"/>
    <w:rsid w:val="00050D11"/>
    <w:rsid w:val="00051252"/>
    <w:rsid w:val="00052710"/>
    <w:rsid w:val="000530D3"/>
    <w:rsid w:val="0005327E"/>
    <w:rsid w:val="000544EA"/>
    <w:rsid w:val="00054A80"/>
    <w:rsid w:val="00055B98"/>
    <w:rsid w:val="00055C4A"/>
    <w:rsid w:val="00055F3B"/>
    <w:rsid w:val="0005601F"/>
    <w:rsid w:val="00056F73"/>
    <w:rsid w:val="00057004"/>
    <w:rsid w:val="00057169"/>
    <w:rsid w:val="000600C6"/>
    <w:rsid w:val="000603C1"/>
    <w:rsid w:val="000604AE"/>
    <w:rsid w:val="0006210D"/>
    <w:rsid w:val="00063ED4"/>
    <w:rsid w:val="00064371"/>
    <w:rsid w:val="00065E4F"/>
    <w:rsid w:val="00066B5C"/>
    <w:rsid w:val="000678EE"/>
    <w:rsid w:val="00070E86"/>
    <w:rsid w:val="00071007"/>
    <w:rsid w:val="000717C1"/>
    <w:rsid w:val="00071D42"/>
    <w:rsid w:val="00072461"/>
    <w:rsid w:val="00073443"/>
    <w:rsid w:val="0007363B"/>
    <w:rsid w:val="00074588"/>
    <w:rsid w:val="0007521B"/>
    <w:rsid w:val="00075957"/>
    <w:rsid w:val="00076470"/>
    <w:rsid w:val="00076A95"/>
    <w:rsid w:val="00076C66"/>
    <w:rsid w:val="00077382"/>
    <w:rsid w:val="00077A86"/>
    <w:rsid w:val="000808F5"/>
    <w:rsid w:val="00080CA3"/>
    <w:rsid w:val="00080EB7"/>
    <w:rsid w:val="00081398"/>
    <w:rsid w:val="00081E6E"/>
    <w:rsid w:val="000825DE"/>
    <w:rsid w:val="00083112"/>
    <w:rsid w:val="00083B7B"/>
    <w:rsid w:val="00084412"/>
    <w:rsid w:val="000847B2"/>
    <w:rsid w:val="000848D2"/>
    <w:rsid w:val="00085E97"/>
    <w:rsid w:val="0009045E"/>
    <w:rsid w:val="0009324D"/>
    <w:rsid w:val="00093697"/>
    <w:rsid w:val="000944BD"/>
    <w:rsid w:val="00095365"/>
    <w:rsid w:val="00095559"/>
    <w:rsid w:val="00095EE3"/>
    <w:rsid w:val="00096A65"/>
    <w:rsid w:val="0009767A"/>
    <w:rsid w:val="000A1151"/>
    <w:rsid w:val="000A29F5"/>
    <w:rsid w:val="000A353B"/>
    <w:rsid w:val="000A3BB1"/>
    <w:rsid w:val="000A44EF"/>
    <w:rsid w:val="000A44F3"/>
    <w:rsid w:val="000A6338"/>
    <w:rsid w:val="000A63A0"/>
    <w:rsid w:val="000B01E7"/>
    <w:rsid w:val="000B0D35"/>
    <w:rsid w:val="000B2F80"/>
    <w:rsid w:val="000B31CA"/>
    <w:rsid w:val="000B385E"/>
    <w:rsid w:val="000B3A6F"/>
    <w:rsid w:val="000B3B3B"/>
    <w:rsid w:val="000B4389"/>
    <w:rsid w:val="000B4DAE"/>
    <w:rsid w:val="000B517F"/>
    <w:rsid w:val="000B5C42"/>
    <w:rsid w:val="000B6CA3"/>
    <w:rsid w:val="000B7AF9"/>
    <w:rsid w:val="000B7EA9"/>
    <w:rsid w:val="000C1201"/>
    <w:rsid w:val="000C1CA7"/>
    <w:rsid w:val="000C2446"/>
    <w:rsid w:val="000C2F5C"/>
    <w:rsid w:val="000C301F"/>
    <w:rsid w:val="000C4171"/>
    <w:rsid w:val="000C5796"/>
    <w:rsid w:val="000C5DD0"/>
    <w:rsid w:val="000C7B27"/>
    <w:rsid w:val="000D010E"/>
    <w:rsid w:val="000D2033"/>
    <w:rsid w:val="000D3E26"/>
    <w:rsid w:val="000D4F1C"/>
    <w:rsid w:val="000D65AA"/>
    <w:rsid w:val="000D6661"/>
    <w:rsid w:val="000D6784"/>
    <w:rsid w:val="000D6A13"/>
    <w:rsid w:val="000E00B1"/>
    <w:rsid w:val="000E0B24"/>
    <w:rsid w:val="000E0C04"/>
    <w:rsid w:val="000E0E1A"/>
    <w:rsid w:val="000E11CF"/>
    <w:rsid w:val="000E3AAE"/>
    <w:rsid w:val="000E407B"/>
    <w:rsid w:val="000E4149"/>
    <w:rsid w:val="000E48CA"/>
    <w:rsid w:val="000E4A6D"/>
    <w:rsid w:val="000E4B03"/>
    <w:rsid w:val="000E53CF"/>
    <w:rsid w:val="000E55D7"/>
    <w:rsid w:val="000E58FF"/>
    <w:rsid w:val="000E67C1"/>
    <w:rsid w:val="000E71E1"/>
    <w:rsid w:val="000E7408"/>
    <w:rsid w:val="000E784E"/>
    <w:rsid w:val="000F0234"/>
    <w:rsid w:val="000F07D8"/>
    <w:rsid w:val="000F0B74"/>
    <w:rsid w:val="000F104C"/>
    <w:rsid w:val="000F1382"/>
    <w:rsid w:val="000F1959"/>
    <w:rsid w:val="000F2250"/>
    <w:rsid w:val="000F339F"/>
    <w:rsid w:val="000F38F9"/>
    <w:rsid w:val="000F4295"/>
    <w:rsid w:val="000F44B9"/>
    <w:rsid w:val="000F4777"/>
    <w:rsid w:val="000F6405"/>
    <w:rsid w:val="000F64A9"/>
    <w:rsid w:val="000F64FB"/>
    <w:rsid w:val="000F684B"/>
    <w:rsid w:val="000F7621"/>
    <w:rsid w:val="000F7CB7"/>
    <w:rsid w:val="001014DA"/>
    <w:rsid w:val="001017FD"/>
    <w:rsid w:val="0010217F"/>
    <w:rsid w:val="0010296D"/>
    <w:rsid w:val="00103130"/>
    <w:rsid w:val="001037D5"/>
    <w:rsid w:val="00103A34"/>
    <w:rsid w:val="001042BC"/>
    <w:rsid w:val="00104F3B"/>
    <w:rsid w:val="001059E5"/>
    <w:rsid w:val="001067EA"/>
    <w:rsid w:val="00107807"/>
    <w:rsid w:val="0011102D"/>
    <w:rsid w:val="00111700"/>
    <w:rsid w:val="00112A11"/>
    <w:rsid w:val="001134DD"/>
    <w:rsid w:val="001136EB"/>
    <w:rsid w:val="00113C37"/>
    <w:rsid w:val="0011602E"/>
    <w:rsid w:val="00116DDF"/>
    <w:rsid w:val="001174E7"/>
    <w:rsid w:val="001203BD"/>
    <w:rsid w:val="00120C7D"/>
    <w:rsid w:val="00121172"/>
    <w:rsid w:val="00121957"/>
    <w:rsid w:val="00121AAB"/>
    <w:rsid w:val="00121F1E"/>
    <w:rsid w:val="00122570"/>
    <w:rsid w:val="0012306C"/>
    <w:rsid w:val="00124473"/>
    <w:rsid w:val="001245CB"/>
    <w:rsid w:val="001248C4"/>
    <w:rsid w:val="001253D2"/>
    <w:rsid w:val="001268D3"/>
    <w:rsid w:val="001327CA"/>
    <w:rsid w:val="0013297A"/>
    <w:rsid w:val="0013320C"/>
    <w:rsid w:val="001350A2"/>
    <w:rsid w:val="00135248"/>
    <w:rsid w:val="001372B9"/>
    <w:rsid w:val="00137692"/>
    <w:rsid w:val="001417E9"/>
    <w:rsid w:val="00141F48"/>
    <w:rsid w:val="001426C6"/>
    <w:rsid w:val="001450C1"/>
    <w:rsid w:val="00145A74"/>
    <w:rsid w:val="00146A1F"/>
    <w:rsid w:val="00146B5E"/>
    <w:rsid w:val="00147367"/>
    <w:rsid w:val="0014765D"/>
    <w:rsid w:val="001511E4"/>
    <w:rsid w:val="0015127F"/>
    <w:rsid w:val="001522BB"/>
    <w:rsid w:val="001532AE"/>
    <w:rsid w:val="00153475"/>
    <w:rsid w:val="0015477E"/>
    <w:rsid w:val="00154C5F"/>
    <w:rsid w:val="00156654"/>
    <w:rsid w:val="00156937"/>
    <w:rsid w:val="00156F25"/>
    <w:rsid w:val="00157257"/>
    <w:rsid w:val="00160BE5"/>
    <w:rsid w:val="00160F3A"/>
    <w:rsid w:val="00160F68"/>
    <w:rsid w:val="00161115"/>
    <w:rsid w:val="00161418"/>
    <w:rsid w:val="00161E55"/>
    <w:rsid w:val="00162061"/>
    <w:rsid w:val="0016212E"/>
    <w:rsid w:val="00163577"/>
    <w:rsid w:val="00164F6E"/>
    <w:rsid w:val="001658F8"/>
    <w:rsid w:val="00166BA7"/>
    <w:rsid w:val="0016795B"/>
    <w:rsid w:val="001701F7"/>
    <w:rsid w:val="001706B2"/>
    <w:rsid w:val="001709A7"/>
    <w:rsid w:val="00170F6A"/>
    <w:rsid w:val="00172720"/>
    <w:rsid w:val="00172F8C"/>
    <w:rsid w:val="00173AC3"/>
    <w:rsid w:val="00174F6A"/>
    <w:rsid w:val="00175221"/>
    <w:rsid w:val="00175A33"/>
    <w:rsid w:val="00175E5B"/>
    <w:rsid w:val="001779BC"/>
    <w:rsid w:val="00177A85"/>
    <w:rsid w:val="00181214"/>
    <w:rsid w:val="00181F7A"/>
    <w:rsid w:val="001824D2"/>
    <w:rsid w:val="00182C30"/>
    <w:rsid w:val="00182E28"/>
    <w:rsid w:val="00182FA0"/>
    <w:rsid w:val="00183542"/>
    <w:rsid w:val="00183AE3"/>
    <w:rsid w:val="00183FEA"/>
    <w:rsid w:val="00184F51"/>
    <w:rsid w:val="001854FB"/>
    <w:rsid w:val="00185873"/>
    <w:rsid w:val="00186591"/>
    <w:rsid w:val="001871CF"/>
    <w:rsid w:val="00187311"/>
    <w:rsid w:val="0019262B"/>
    <w:rsid w:val="0019284F"/>
    <w:rsid w:val="0019338A"/>
    <w:rsid w:val="00193642"/>
    <w:rsid w:val="00193BEF"/>
    <w:rsid w:val="001942F1"/>
    <w:rsid w:val="0019511C"/>
    <w:rsid w:val="00196186"/>
    <w:rsid w:val="00196BAF"/>
    <w:rsid w:val="00196C0E"/>
    <w:rsid w:val="00197631"/>
    <w:rsid w:val="00197E67"/>
    <w:rsid w:val="001A2A1A"/>
    <w:rsid w:val="001A4616"/>
    <w:rsid w:val="001A4FD9"/>
    <w:rsid w:val="001A53EE"/>
    <w:rsid w:val="001A59E4"/>
    <w:rsid w:val="001A7DDF"/>
    <w:rsid w:val="001B04A7"/>
    <w:rsid w:val="001B0F02"/>
    <w:rsid w:val="001B1424"/>
    <w:rsid w:val="001B159A"/>
    <w:rsid w:val="001B23FB"/>
    <w:rsid w:val="001B246E"/>
    <w:rsid w:val="001B3613"/>
    <w:rsid w:val="001B3E05"/>
    <w:rsid w:val="001B5679"/>
    <w:rsid w:val="001B5F26"/>
    <w:rsid w:val="001B67B7"/>
    <w:rsid w:val="001B6905"/>
    <w:rsid w:val="001B6F02"/>
    <w:rsid w:val="001B7345"/>
    <w:rsid w:val="001B7A1D"/>
    <w:rsid w:val="001C0326"/>
    <w:rsid w:val="001C08F6"/>
    <w:rsid w:val="001C0CB8"/>
    <w:rsid w:val="001C17F1"/>
    <w:rsid w:val="001C1FF2"/>
    <w:rsid w:val="001C2088"/>
    <w:rsid w:val="001C2548"/>
    <w:rsid w:val="001C315C"/>
    <w:rsid w:val="001C352D"/>
    <w:rsid w:val="001C39F6"/>
    <w:rsid w:val="001C3FE4"/>
    <w:rsid w:val="001C43E0"/>
    <w:rsid w:val="001C5571"/>
    <w:rsid w:val="001C66FE"/>
    <w:rsid w:val="001C6CD1"/>
    <w:rsid w:val="001C7D9F"/>
    <w:rsid w:val="001C7E70"/>
    <w:rsid w:val="001D008C"/>
    <w:rsid w:val="001D0526"/>
    <w:rsid w:val="001D10D5"/>
    <w:rsid w:val="001D1D61"/>
    <w:rsid w:val="001D3F55"/>
    <w:rsid w:val="001D53DB"/>
    <w:rsid w:val="001D6904"/>
    <w:rsid w:val="001D72C9"/>
    <w:rsid w:val="001D7885"/>
    <w:rsid w:val="001E1C7A"/>
    <w:rsid w:val="001E23B2"/>
    <w:rsid w:val="001E2CA0"/>
    <w:rsid w:val="001E32F1"/>
    <w:rsid w:val="001E3544"/>
    <w:rsid w:val="001E35A3"/>
    <w:rsid w:val="001E488C"/>
    <w:rsid w:val="001E5948"/>
    <w:rsid w:val="001E6266"/>
    <w:rsid w:val="001E6D91"/>
    <w:rsid w:val="001E71A3"/>
    <w:rsid w:val="001F2ECC"/>
    <w:rsid w:val="001F35A3"/>
    <w:rsid w:val="001F4BC5"/>
    <w:rsid w:val="001F5FD2"/>
    <w:rsid w:val="002009A6"/>
    <w:rsid w:val="0020135E"/>
    <w:rsid w:val="0020178E"/>
    <w:rsid w:val="00202283"/>
    <w:rsid w:val="0020341D"/>
    <w:rsid w:val="0020346B"/>
    <w:rsid w:val="00203658"/>
    <w:rsid w:val="002037BC"/>
    <w:rsid w:val="00204162"/>
    <w:rsid w:val="002051B7"/>
    <w:rsid w:val="00205A70"/>
    <w:rsid w:val="00205BBB"/>
    <w:rsid w:val="00206256"/>
    <w:rsid w:val="0021002F"/>
    <w:rsid w:val="00211313"/>
    <w:rsid w:val="002118A2"/>
    <w:rsid w:val="00211B0E"/>
    <w:rsid w:val="00212041"/>
    <w:rsid w:val="00212195"/>
    <w:rsid w:val="0021272D"/>
    <w:rsid w:val="002127A3"/>
    <w:rsid w:val="002128A7"/>
    <w:rsid w:val="00213283"/>
    <w:rsid w:val="00214079"/>
    <w:rsid w:val="00214080"/>
    <w:rsid w:val="00214A3F"/>
    <w:rsid w:val="00215353"/>
    <w:rsid w:val="00215C4F"/>
    <w:rsid w:val="0021623B"/>
    <w:rsid w:val="002178AE"/>
    <w:rsid w:val="00217FDA"/>
    <w:rsid w:val="00222553"/>
    <w:rsid w:val="0022417E"/>
    <w:rsid w:val="00224DA2"/>
    <w:rsid w:val="0022546E"/>
    <w:rsid w:val="00225528"/>
    <w:rsid w:val="00225DA9"/>
    <w:rsid w:val="00225DC2"/>
    <w:rsid w:val="00226BE2"/>
    <w:rsid w:val="00226F01"/>
    <w:rsid w:val="00227FD5"/>
    <w:rsid w:val="00231984"/>
    <w:rsid w:val="00231B8E"/>
    <w:rsid w:val="00232A9B"/>
    <w:rsid w:val="002341A5"/>
    <w:rsid w:val="00235547"/>
    <w:rsid w:val="0023577A"/>
    <w:rsid w:val="002357F3"/>
    <w:rsid w:val="00235904"/>
    <w:rsid w:val="00236E6D"/>
    <w:rsid w:val="00237380"/>
    <w:rsid w:val="00240477"/>
    <w:rsid w:val="00240721"/>
    <w:rsid w:val="00240C00"/>
    <w:rsid w:val="002418AC"/>
    <w:rsid w:val="00241D1C"/>
    <w:rsid w:val="00241F81"/>
    <w:rsid w:val="002429E5"/>
    <w:rsid w:val="002446D8"/>
    <w:rsid w:val="0024579A"/>
    <w:rsid w:val="00250B88"/>
    <w:rsid w:val="00250C0D"/>
    <w:rsid w:val="00251481"/>
    <w:rsid w:val="0025336F"/>
    <w:rsid w:val="00255D93"/>
    <w:rsid w:val="00256263"/>
    <w:rsid w:val="002570AC"/>
    <w:rsid w:val="00260711"/>
    <w:rsid w:val="00261598"/>
    <w:rsid w:val="00261E6A"/>
    <w:rsid w:val="00262614"/>
    <w:rsid w:val="00262645"/>
    <w:rsid w:val="00262C17"/>
    <w:rsid w:val="0026334C"/>
    <w:rsid w:val="0026367B"/>
    <w:rsid w:val="0026503C"/>
    <w:rsid w:val="002665C9"/>
    <w:rsid w:val="00267930"/>
    <w:rsid w:val="00271524"/>
    <w:rsid w:val="00271B5F"/>
    <w:rsid w:val="002733D7"/>
    <w:rsid w:val="00275230"/>
    <w:rsid w:val="00276A6B"/>
    <w:rsid w:val="00276E89"/>
    <w:rsid w:val="00277D81"/>
    <w:rsid w:val="00277E55"/>
    <w:rsid w:val="00280CEF"/>
    <w:rsid w:val="002815F5"/>
    <w:rsid w:val="002817EB"/>
    <w:rsid w:val="002819DE"/>
    <w:rsid w:val="00281C37"/>
    <w:rsid w:val="00282388"/>
    <w:rsid w:val="00283A70"/>
    <w:rsid w:val="00283D45"/>
    <w:rsid w:val="002843AF"/>
    <w:rsid w:val="002843E4"/>
    <w:rsid w:val="00284559"/>
    <w:rsid w:val="00284989"/>
    <w:rsid w:val="00284A97"/>
    <w:rsid w:val="002850F3"/>
    <w:rsid w:val="00285790"/>
    <w:rsid w:val="00285B9A"/>
    <w:rsid w:val="002867C6"/>
    <w:rsid w:val="00286E0D"/>
    <w:rsid w:val="0028757A"/>
    <w:rsid w:val="00290786"/>
    <w:rsid w:val="00291303"/>
    <w:rsid w:val="002921D4"/>
    <w:rsid w:val="002925FA"/>
    <w:rsid w:val="00292AD6"/>
    <w:rsid w:val="00292B6C"/>
    <w:rsid w:val="002932B9"/>
    <w:rsid w:val="00293448"/>
    <w:rsid w:val="002934AF"/>
    <w:rsid w:val="00293AB8"/>
    <w:rsid w:val="00293E11"/>
    <w:rsid w:val="00296427"/>
    <w:rsid w:val="00296609"/>
    <w:rsid w:val="00297BBC"/>
    <w:rsid w:val="002A2772"/>
    <w:rsid w:val="002A34D8"/>
    <w:rsid w:val="002A351E"/>
    <w:rsid w:val="002A3818"/>
    <w:rsid w:val="002A4A42"/>
    <w:rsid w:val="002A4AC0"/>
    <w:rsid w:val="002A4BE1"/>
    <w:rsid w:val="002A4E59"/>
    <w:rsid w:val="002A4FE2"/>
    <w:rsid w:val="002A5831"/>
    <w:rsid w:val="002A595D"/>
    <w:rsid w:val="002A5C8C"/>
    <w:rsid w:val="002A60B1"/>
    <w:rsid w:val="002A7295"/>
    <w:rsid w:val="002B1E51"/>
    <w:rsid w:val="002B25F4"/>
    <w:rsid w:val="002B2EBB"/>
    <w:rsid w:val="002B32BF"/>
    <w:rsid w:val="002B4559"/>
    <w:rsid w:val="002B4CEF"/>
    <w:rsid w:val="002B5A83"/>
    <w:rsid w:val="002B61F8"/>
    <w:rsid w:val="002C0EB6"/>
    <w:rsid w:val="002C15B3"/>
    <w:rsid w:val="002C1680"/>
    <w:rsid w:val="002C1754"/>
    <w:rsid w:val="002C20FB"/>
    <w:rsid w:val="002C21EA"/>
    <w:rsid w:val="002C4356"/>
    <w:rsid w:val="002C7E62"/>
    <w:rsid w:val="002D07DA"/>
    <w:rsid w:val="002D0FE9"/>
    <w:rsid w:val="002D2B0F"/>
    <w:rsid w:val="002D2C67"/>
    <w:rsid w:val="002D3633"/>
    <w:rsid w:val="002D3A88"/>
    <w:rsid w:val="002D41E8"/>
    <w:rsid w:val="002D489C"/>
    <w:rsid w:val="002D4FFF"/>
    <w:rsid w:val="002D54CE"/>
    <w:rsid w:val="002D5DA9"/>
    <w:rsid w:val="002D61E0"/>
    <w:rsid w:val="002D7479"/>
    <w:rsid w:val="002D7C36"/>
    <w:rsid w:val="002E0EBB"/>
    <w:rsid w:val="002E164C"/>
    <w:rsid w:val="002E2392"/>
    <w:rsid w:val="002E2492"/>
    <w:rsid w:val="002E283C"/>
    <w:rsid w:val="002E2998"/>
    <w:rsid w:val="002E2A79"/>
    <w:rsid w:val="002E2D56"/>
    <w:rsid w:val="002E2F11"/>
    <w:rsid w:val="002E354A"/>
    <w:rsid w:val="002E62F2"/>
    <w:rsid w:val="002E64E0"/>
    <w:rsid w:val="002E6CF6"/>
    <w:rsid w:val="002E7402"/>
    <w:rsid w:val="002E780F"/>
    <w:rsid w:val="002F0406"/>
    <w:rsid w:val="002F0D94"/>
    <w:rsid w:val="002F19E6"/>
    <w:rsid w:val="002F49F5"/>
    <w:rsid w:val="002F5735"/>
    <w:rsid w:val="002F66F0"/>
    <w:rsid w:val="002F6944"/>
    <w:rsid w:val="002F6D4C"/>
    <w:rsid w:val="002F7161"/>
    <w:rsid w:val="00300E47"/>
    <w:rsid w:val="003011BF"/>
    <w:rsid w:val="0030235C"/>
    <w:rsid w:val="003037D5"/>
    <w:rsid w:val="003039FE"/>
    <w:rsid w:val="00303FF6"/>
    <w:rsid w:val="0030443E"/>
    <w:rsid w:val="0030468B"/>
    <w:rsid w:val="00304BD0"/>
    <w:rsid w:val="003055FB"/>
    <w:rsid w:val="00305863"/>
    <w:rsid w:val="0030597A"/>
    <w:rsid w:val="00306CAE"/>
    <w:rsid w:val="00306F16"/>
    <w:rsid w:val="0030798F"/>
    <w:rsid w:val="00307D77"/>
    <w:rsid w:val="003100CC"/>
    <w:rsid w:val="00310724"/>
    <w:rsid w:val="00310A94"/>
    <w:rsid w:val="00311311"/>
    <w:rsid w:val="00311CF7"/>
    <w:rsid w:val="00311D55"/>
    <w:rsid w:val="003120AE"/>
    <w:rsid w:val="00312AFC"/>
    <w:rsid w:val="00312E94"/>
    <w:rsid w:val="00313E9E"/>
    <w:rsid w:val="00314B4E"/>
    <w:rsid w:val="003150D5"/>
    <w:rsid w:val="00316472"/>
    <w:rsid w:val="003174BE"/>
    <w:rsid w:val="0031784E"/>
    <w:rsid w:val="00320F78"/>
    <w:rsid w:val="00321454"/>
    <w:rsid w:val="00321565"/>
    <w:rsid w:val="00321B9E"/>
    <w:rsid w:val="003230C0"/>
    <w:rsid w:val="0032313C"/>
    <w:rsid w:val="003231EE"/>
    <w:rsid w:val="003233E1"/>
    <w:rsid w:val="0032384F"/>
    <w:rsid w:val="00323E6A"/>
    <w:rsid w:val="00325EF2"/>
    <w:rsid w:val="003262F2"/>
    <w:rsid w:val="003276C1"/>
    <w:rsid w:val="00327C01"/>
    <w:rsid w:val="00333560"/>
    <w:rsid w:val="003344CC"/>
    <w:rsid w:val="00335023"/>
    <w:rsid w:val="00337264"/>
    <w:rsid w:val="00337625"/>
    <w:rsid w:val="0033767A"/>
    <w:rsid w:val="00341E60"/>
    <w:rsid w:val="00343C4F"/>
    <w:rsid w:val="00343F37"/>
    <w:rsid w:val="00344105"/>
    <w:rsid w:val="0034534F"/>
    <w:rsid w:val="00345ECD"/>
    <w:rsid w:val="003462D9"/>
    <w:rsid w:val="003469EB"/>
    <w:rsid w:val="00346B8A"/>
    <w:rsid w:val="00347825"/>
    <w:rsid w:val="00347CF5"/>
    <w:rsid w:val="00350366"/>
    <w:rsid w:val="00350757"/>
    <w:rsid w:val="003508EE"/>
    <w:rsid w:val="0035184C"/>
    <w:rsid w:val="00353D93"/>
    <w:rsid w:val="00354CAE"/>
    <w:rsid w:val="00354E7C"/>
    <w:rsid w:val="00356983"/>
    <w:rsid w:val="00356F4F"/>
    <w:rsid w:val="0035764B"/>
    <w:rsid w:val="0035768F"/>
    <w:rsid w:val="003576DC"/>
    <w:rsid w:val="00357BB5"/>
    <w:rsid w:val="00360029"/>
    <w:rsid w:val="0036017D"/>
    <w:rsid w:val="00360913"/>
    <w:rsid w:val="003609B1"/>
    <w:rsid w:val="00360E1D"/>
    <w:rsid w:val="0036205B"/>
    <w:rsid w:val="003621B3"/>
    <w:rsid w:val="00362EA7"/>
    <w:rsid w:val="003638FC"/>
    <w:rsid w:val="00364149"/>
    <w:rsid w:val="0036456E"/>
    <w:rsid w:val="0036539F"/>
    <w:rsid w:val="00365E47"/>
    <w:rsid w:val="00366BB7"/>
    <w:rsid w:val="00367103"/>
    <w:rsid w:val="0037007F"/>
    <w:rsid w:val="00370190"/>
    <w:rsid w:val="00374085"/>
    <w:rsid w:val="003742F5"/>
    <w:rsid w:val="003748D2"/>
    <w:rsid w:val="00375C89"/>
    <w:rsid w:val="0038120C"/>
    <w:rsid w:val="0038177C"/>
    <w:rsid w:val="00382CD4"/>
    <w:rsid w:val="003830DA"/>
    <w:rsid w:val="003839D4"/>
    <w:rsid w:val="003850AF"/>
    <w:rsid w:val="00387024"/>
    <w:rsid w:val="00387A8D"/>
    <w:rsid w:val="003900E5"/>
    <w:rsid w:val="00390178"/>
    <w:rsid w:val="00390461"/>
    <w:rsid w:val="00392288"/>
    <w:rsid w:val="00392D95"/>
    <w:rsid w:val="003936B9"/>
    <w:rsid w:val="00396227"/>
    <w:rsid w:val="003968E2"/>
    <w:rsid w:val="003971BC"/>
    <w:rsid w:val="00397838"/>
    <w:rsid w:val="003A068F"/>
    <w:rsid w:val="003A102D"/>
    <w:rsid w:val="003A1963"/>
    <w:rsid w:val="003A1C10"/>
    <w:rsid w:val="003A3C67"/>
    <w:rsid w:val="003A3DF3"/>
    <w:rsid w:val="003A3FE8"/>
    <w:rsid w:val="003A4E7E"/>
    <w:rsid w:val="003A5200"/>
    <w:rsid w:val="003A5CC6"/>
    <w:rsid w:val="003A7A27"/>
    <w:rsid w:val="003A7CBE"/>
    <w:rsid w:val="003B0285"/>
    <w:rsid w:val="003B03A8"/>
    <w:rsid w:val="003B0B27"/>
    <w:rsid w:val="003B11BF"/>
    <w:rsid w:val="003B262B"/>
    <w:rsid w:val="003B3D6F"/>
    <w:rsid w:val="003B41A9"/>
    <w:rsid w:val="003B4C8E"/>
    <w:rsid w:val="003B54DB"/>
    <w:rsid w:val="003B581C"/>
    <w:rsid w:val="003B6257"/>
    <w:rsid w:val="003B6600"/>
    <w:rsid w:val="003B6B37"/>
    <w:rsid w:val="003B70B6"/>
    <w:rsid w:val="003B7202"/>
    <w:rsid w:val="003B7A94"/>
    <w:rsid w:val="003C1575"/>
    <w:rsid w:val="003C211A"/>
    <w:rsid w:val="003C2512"/>
    <w:rsid w:val="003C2C6F"/>
    <w:rsid w:val="003C37D9"/>
    <w:rsid w:val="003C3983"/>
    <w:rsid w:val="003C4B7C"/>
    <w:rsid w:val="003C54D3"/>
    <w:rsid w:val="003C5BA5"/>
    <w:rsid w:val="003C6241"/>
    <w:rsid w:val="003C70DF"/>
    <w:rsid w:val="003C754A"/>
    <w:rsid w:val="003C7613"/>
    <w:rsid w:val="003C7872"/>
    <w:rsid w:val="003D097F"/>
    <w:rsid w:val="003D15EA"/>
    <w:rsid w:val="003D2378"/>
    <w:rsid w:val="003D25E7"/>
    <w:rsid w:val="003D3EA3"/>
    <w:rsid w:val="003D416F"/>
    <w:rsid w:val="003D5275"/>
    <w:rsid w:val="003D5641"/>
    <w:rsid w:val="003D5D76"/>
    <w:rsid w:val="003D63DF"/>
    <w:rsid w:val="003D660B"/>
    <w:rsid w:val="003D6DB2"/>
    <w:rsid w:val="003D737F"/>
    <w:rsid w:val="003E1536"/>
    <w:rsid w:val="003E2543"/>
    <w:rsid w:val="003E2C60"/>
    <w:rsid w:val="003E2FFF"/>
    <w:rsid w:val="003E39E5"/>
    <w:rsid w:val="003E3AD9"/>
    <w:rsid w:val="003E4122"/>
    <w:rsid w:val="003E4545"/>
    <w:rsid w:val="003E49AE"/>
    <w:rsid w:val="003E4DC1"/>
    <w:rsid w:val="003E57EE"/>
    <w:rsid w:val="003E583E"/>
    <w:rsid w:val="003E5F64"/>
    <w:rsid w:val="003E6044"/>
    <w:rsid w:val="003E6BFA"/>
    <w:rsid w:val="003F0751"/>
    <w:rsid w:val="003F1927"/>
    <w:rsid w:val="003F27FC"/>
    <w:rsid w:val="003F33DD"/>
    <w:rsid w:val="003F431A"/>
    <w:rsid w:val="003F53FB"/>
    <w:rsid w:val="003F59C5"/>
    <w:rsid w:val="003F5B4C"/>
    <w:rsid w:val="003F66CC"/>
    <w:rsid w:val="003F6A44"/>
    <w:rsid w:val="003F7474"/>
    <w:rsid w:val="003F781B"/>
    <w:rsid w:val="003F7F03"/>
    <w:rsid w:val="0040191F"/>
    <w:rsid w:val="00402701"/>
    <w:rsid w:val="004038A6"/>
    <w:rsid w:val="00404616"/>
    <w:rsid w:val="004069A2"/>
    <w:rsid w:val="00407104"/>
    <w:rsid w:val="0040729B"/>
    <w:rsid w:val="004075C9"/>
    <w:rsid w:val="00407B6A"/>
    <w:rsid w:val="00407D9A"/>
    <w:rsid w:val="00410877"/>
    <w:rsid w:val="00410AD8"/>
    <w:rsid w:val="00411866"/>
    <w:rsid w:val="0041198A"/>
    <w:rsid w:val="00411AFB"/>
    <w:rsid w:val="00412087"/>
    <w:rsid w:val="0041385A"/>
    <w:rsid w:val="00413BF4"/>
    <w:rsid w:val="00413EDB"/>
    <w:rsid w:val="00413F34"/>
    <w:rsid w:val="00414400"/>
    <w:rsid w:val="004150C3"/>
    <w:rsid w:val="00416300"/>
    <w:rsid w:val="004203DD"/>
    <w:rsid w:val="004204F9"/>
    <w:rsid w:val="004206A1"/>
    <w:rsid w:val="0042160A"/>
    <w:rsid w:val="0042190F"/>
    <w:rsid w:val="0042203B"/>
    <w:rsid w:val="004238C9"/>
    <w:rsid w:val="00425D82"/>
    <w:rsid w:val="004264BF"/>
    <w:rsid w:val="00426833"/>
    <w:rsid w:val="00426B26"/>
    <w:rsid w:val="00426EDE"/>
    <w:rsid w:val="00430D25"/>
    <w:rsid w:val="00431FDF"/>
    <w:rsid w:val="00432426"/>
    <w:rsid w:val="00432A01"/>
    <w:rsid w:val="0043477E"/>
    <w:rsid w:val="004349B6"/>
    <w:rsid w:val="00434DD1"/>
    <w:rsid w:val="00434F0C"/>
    <w:rsid w:val="004352D1"/>
    <w:rsid w:val="0043570D"/>
    <w:rsid w:val="0043579D"/>
    <w:rsid w:val="00435D7C"/>
    <w:rsid w:val="00435F54"/>
    <w:rsid w:val="00436215"/>
    <w:rsid w:val="00436F85"/>
    <w:rsid w:val="004374C1"/>
    <w:rsid w:val="0044022F"/>
    <w:rsid w:val="00440E60"/>
    <w:rsid w:val="004410A6"/>
    <w:rsid w:val="00441801"/>
    <w:rsid w:val="0044196E"/>
    <w:rsid w:val="00443A80"/>
    <w:rsid w:val="00443B21"/>
    <w:rsid w:val="00443B84"/>
    <w:rsid w:val="00444116"/>
    <w:rsid w:val="004449B8"/>
    <w:rsid w:val="004458C7"/>
    <w:rsid w:val="004469CF"/>
    <w:rsid w:val="0045074F"/>
    <w:rsid w:val="00450CC7"/>
    <w:rsid w:val="0045106F"/>
    <w:rsid w:val="00452271"/>
    <w:rsid w:val="00454F50"/>
    <w:rsid w:val="00456AB0"/>
    <w:rsid w:val="00456B77"/>
    <w:rsid w:val="00456BA3"/>
    <w:rsid w:val="00456E9A"/>
    <w:rsid w:val="0046092E"/>
    <w:rsid w:val="00461531"/>
    <w:rsid w:val="004618A5"/>
    <w:rsid w:val="00461C00"/>
    <w:rsid w:val="00461ED7"/>
    <w:rsid w:val="00463369"/>
    <w:rsid w:val="00463767"/>
    <w:rsid w:val="00466DB6"/>
    <w:rsid w:val="00467796"/>
    <w:rsid w:val="004709B6"/>
    <w:rsid w:val="00471477"/>
    <w:rsid w:val="00472507"/>
    <w:rsid w:val="004728CD"/>
    <w:rsid w:val="00474210"/>
    <w:rsid w:val="00474CFB"/>
    <w:rsid w:val="0047605C"/>
    <w:rsid w:val="004760FB"/>
    <w:rsid w:val="004769F8"/>
    <w:rsid w:val="00476C9E"/>
    <w:rsid w:val="00476DB1"/>
    <w:rsid w:val="004776D2"/>
    <w:rsid w:val="0047798C"/>
    <w:rsid w:val="00480B96"/>
    <w:rsid w:val="0048148D"/>
    <w:rsid w:val="0048177E"/>
    <w:rsid w:val="00481B8A"/>
    <w:rsid w:val="0048303E"/>
    <w:rsid w:val="00483060"/>
    <w:rsid w:val="00483575"/>
    <w:rsid w:val="004835E3"/>
    <w:rsid w:val="0048390C"/>
    <w:rsid w:val="00484169"/>
    <w:rsid w:val="004849BC"/>
    <w:rsid w:val="00486101"/>
    <w:rsid w:val="00486390"/>
    <w:rsid w:val="00490059"/>
    <w:rsid w:val="00490DA9"/>
    <w:rsid w:val="004910E5"/>
    <w:rsid w:val="00491293"/>
    <w:rsid w:val="00491BB6"/>
    <w:rsid w:val="00491F6D"/>
    <w:rsid w:val="00491FCA"/>
    <w:rsid w:val="004920F6"/>
    <w:rsid w:val="00492777"/>
    <w:rsid w:val="00493048"/>
    <w:rsid w:val="004944DF"/>
    <w:rsid w:val="00494529"/>
    <w:rsid w:val="004953BA"/>
    <w:rsid w:val="004955B9"/>
    <w:rsid w:val="0049685E"/>
    <w:rsid w:val="00496C7C"/>
    <w:rsid w:val="00496F8A"/>
    <w:rsid w:val="00497029"/>
    <w:rsid w:val="004975DC"/>
    <w:rsid w:val="004A043B"/>
    <w:rsid w:val="004A1228"/>
    <w:rsid w:val="004A1B99"/>
    <w:rsid w:val="004A2032"/>
    <w:rsid w:val="004A25D0"/>
    <w:rsid w:val="004A2699"/>
    <w:rsid w:val="004A2A96"/>
    <w:rsid w:val="004A4742"/>
    <w:rsid w:val="004A4F88"/>
    <w:rsid w:val="004A638A"/>
    <w:rsid w:val="004A6480"/>
    <w:rsid w:val="004A67E8"/>
    <w:rsid w:val="004A6A96"/>
    <w:rsid w:val="004A6B47"/>
    <w:rsid w:val="004B0AC4"/>
    <w:rsid w:val="004B12A1"/>
    <w:rsid w:val="004B1334"/>
    <w:rsid w:val="004B1E9C"/>
    <w:rsid w:val="004B265D"/>
    <w:rsid w:val="004B2881"/>
    <w:rsid w:val="004B2F4B"/>
    <w:rsid w:val="004B49E0"/>
    <w:rsid w:val="004B4AAE"/>
    <w:rsid w:val="004B4B5D"/>
    <w:rsid w:val="004B5B74"/>
    <w:rsid w:val="004B6B93"/>
    <w:rsid w:val="004B7115"/>
    <w:rsid w:val="004B7127"/>
    <w:rsid w:val="004B7E18"/>
    <w:rsid w:val="004C0273"/>
    <w:rsid w:val="004C12DC"/>
    <w:rsid w:val="004C1551"/>
    <w:rsid w:val="004C1F88"/>
    <w:rsid w:val="004C2A1D"/>
    <w:rsid w:val="004C3713"/>
    <w:rsid w:val="004C3A6C"/>
    <w:rsid w:val="004C3D65"/>
    <w:rsid w:val="004C3FE3"/>
    <w:rsid w:val="004C40E5"/>
    <w:rsid w:val="004C4A2B"/>
    <w:rsid w:val="004C5A33"/>
    <w:rsid w:val="004C6202"/>
    <w:rsid w:val="004C6E59"/>
    <w:rsid w:val="004D1DE0"/>
    <w:rsid w:val="004D22C5"/>
    <w:rsid w:val="004D3068"/>
    <w:rsid w:val="004D4214"/>
    <w:rsid w:val="004D42F5"/>
    <w:rsid w:val="004D4D45"/>
    <w:rsid w:val="004D4F04"/>
    <w:rsid w:val="004D5281"/>
    <w:rsid w:val="004D586E"/>
    <w:rsid w:val="004D5E64"/>
    <w:rsid w:val="004D6299"/>
    <w:rsid w:val="004D6472"/>
    <w:rsid w:val="004D6F9C"/>
    <w:rsid w:val="004D6FE2"/>
    <w:rsid w:val="004D74F4"/>
    <w:rsid w:val="004D7ED7"/>
    <w:rsid w:val="004D7F18"/>
    <w:rsid w:val="004E013B"/>
    <w:rsid w:val="004E2393"/>
    <w:rsid w:val="004E2868"/>
    <w:rsid w:val="004E2CD9"/>
    <w:rsid w:val="004E2DD5"/>
    <w:rsid w:val="004E308B"/>
    <w:rsid w:val="004E3787"/>
    <w:rsid w:val="004E42EE"/>
    <w:rsid w:val="004E4366"/>
    <w:rsid w:val="004E4A75"/>
    <w:rsid w:val="004E644F"/>
    <w:rsid w:val="004E6737"/>
    <w:rsid w:val="004E73F3"/>
    <w:rsid w:val="004F1054"/>
    <w:rsid w:val="004F202E"/>
    <w:rsid w:val="004F36E5"/>
    <w:rsid w:val="004F42CA"/>
    <w:rsid w:val="004F4C00"/>
    <w:rsid w:val="004F52E7"/>
    <w:rsid w:val="004F55B5"/>
    <w:rsid w:val="004F5FEB"/>
    <w:rsid w:val="004F606B"/>
    <w:rsid w:val="004F6CAC"/>
    <w:rsid w:val="004F7684"/>
    <w:rsid w:val="004F77C0"/>
    <w:rsid w:val="00500173"/>
    <w:rsid w:val="00501388"/>
    <w:rsid w:val="00501C9E"/>
    <w:rsid w:val="00501FF0"/>
    <w:rsid w:val="00503880"/>
    <w:rsid w:val="0050514A"/>
    <w:rsid w:val="005051D7"/>
    <w:rsid w:val="00506114"/>
    <w:rsid w:val="00506164"/>
    <w:rsid w:val="00506BED"/>
    <w:rsid w:val="00510503"/>
    <w:rsid w:val="00512328"/>
    <w:rsid w:val="005129CC"/>
    <w:rsid w:val="005132AC"/>
    <w:rsid w:val="005135E0"/>
    <w:rsid w:val="00514354"/>
    <w:rsid w:val="0051571C"/>
    <w:rsid w:val="00515756"/>
    <w:rsid w:val="00515F4F"/>
    <w:rsid w:val="00521252"/>
    <w:rsid w:val="0052204A"/>
    <w:rsid w:val="00522A58"/>
    <w:rsid w:val="00522D4C"/>
    <w:rsid w:val="00523651"/>
    <w:rsid w:val="00523A3E"/>
    <w:rsid w:val="00523B34"/>
    <w:rsid w:val="00523BCD"/>
    <w:rsid w:val="005249BD"/>
    <w:rsid w:val="00524A77"/>
    <w:rsid w:val="00525780"/>
    <w:rsid w:val="0052587F"/>
    <w:rsid w:val="005262BF"/>
    <w:rsid w:val="005271BA"/>
    <w:rsid w:val="005303D1"/>
    <w:rsid w:val="0053116B"/>
    <w:rsid w:val="0053172F"/>
    <w:rsid w:val="00531795"/>
    <w:rsid w:val="00532165"/>
    <w:rsid w:val="00532DE7"/>
    <w:rsid w:val="00533FB0"/>
    <w:rsid w:val="00534AEA"/>
    <w:rsid w:val="005352E0"/>
    <w:rsid w:val="0053532F"/>
    <w:rsid w:val="00537514"/>
    <w:rsid w:val="005408FC"/>
    <w:rsid w:val="00540F44"/>
    <w:rsid w:val="00541A64"/>
    <w:rsid w:val="00544EF1"/>
    <w:rsid w:val="0054530C"/>
    <w:rsid w:val="00546133"/>
    <w:rsid w:val="0054729E"/>
    <w:rsid w:val="00547A00"/>
    <w:rsid w:val="00547AF7"/>
    <w:rsid w:val="0055043D"/>
    <w:rsid w:val="00552611"/>
    <w:rsid w:val="00552852"/>
    <w:rsid w:val="00552C0C"/>
    <w:rsid w:val="00552FC2"/>
    <w:rsid w:val="00553316"/>
    <w:rsid w:val="0055386B"/>
    <w:rsid w:val="00553946"/>
    <w:rsid w:val="00553ECA"/>
    <w:rsid w:val="00554578"/>
    <w:rsid w:val="005549D1"/>
    <w:rsid w:val="0055601C"/>
    <w:rsid w:val="00556CE9"/>
    <w:rsid w:val="00556F30"/>
    <w:rsid w:val="005577EB"/>
    <w:rsid w:val="005578BB"/>
    <w:rsid w:val="0056068D"/>
    <w:rsid w:val="0056087A"/>
    <w:rsid w:val="00561BDF"/>
    <w:rsid w:val="00561CFC"/>
    <w:rsid w:val="00561DD5"/>
    <w:rsid w:val="00562D54"/>
    <w:rsid w:val="005631D4"/>
    <w:rsid w:val="00565985"/>
    <w:rsid w:val="00566C02"/>
    <w:rsid w:val="005737DC"/>
    <w:rsid w:val="00574181"/>
    <w:rsid w:val="005744AA"/>
    <w:rsid w:val="0057535D"/>
    <w:rsid w:val="00575BE8"/>
    <w:rsid w:val="00577BD5"/>
    <w:rsid w:val="00577FA1"/>
    <w:rsid w:val="0058024C"/>
    <w:rsid w:val="00580D61"/>
    <w:rsid w:val="005813DB"/>
    <w:rsid w:val="005819A9"/>
    <w:rsid w:val="00582D89"/>
    <w:rsid w:val="005838F0"/>
    <w:rsid w:val="00584C45"/>
    <w:rsid w:val="00585CEB"/>
    <w:rsid w:val="00585E5E"/>
    <w:rsid w:val="00586AF5"/>
    <w:rsid w:val="0058745E"/>
    <w:rsid w:val="0059008C"/>
    <w:rsid w:val="005902C2"/>
    <w:rsid w:val="005903B2"/>
    <w:rsid w:val="00590E58"/>
    <w:rsid w:val="00590F91"/>
    <w:rsid w:val="005921C5"/>
    <w:rsid w:val="005927C6"/>
    <w:rsid w:val="00592EE4"/>
    <w:rsid w:val="00594CCD"/>
    <w:rsid w:val="00594F70"/>
    <w:rsid w:val="00595C8C"/>
    <w:rsid w:val="00596979"/>
    <w:rsid w:val="00596FF0"/>
    <w:rsid w:val="0059716A"/>
    <w:rsid w:val="00597717"/>
    <w:rsid w:val="00597D3F"/>
    <w:rsid w:val="005A0FF6"/>
    <w:rsid w:val="005A2AE9"/>
    <w:rsid w:val="005A34D5"/>
    <w:rsid w:val="005A4626"/>
    <w:rsid w:val="005A509E"/>
    <w:rsid w:val="005A580A"/>
    <w:rsid w:val="005A5E22"/>
    <w:rsid w:val="005A6451"/>
    <w:rsid w:val="005A6F7B"/>
    <w:rsid w:val="005A7352"/>
    <w:rsid w:val="005A7B82"/>
    <w:rsid w:val="005B0621"/>
    <w:rsid w:val="005B0C29"/>
    <w:rsid w:val="005B1979"/>
    <w:rsid w:val="005B1A38"/>
    <w:rsid w:val="005B1C04"/>
    <w:rsid w:val="005B238E"/>
    <w:rsid w:val="005B2970"/>
    <w:rsid w:val="005B2BE8"/>
    <w:rsid w:val="005B525C"/>
    <w:rsid w:val="005B6616"/>
    <w:rsid w:val="005B6858"/>
    <w:rsid w:val="005B6C27"/>
    <w:rsid w:val="005B79E9"/>
    <w:rsid w:val="005B7A16"/>
    <w:rsid w:val="005C10DC"/>
    <w:rsid w:val="005C298D"/>
    <w:rsid w:val="005C308A"/>
    <w:rsid w:val="005C3FA2"/>
    <w:rsid w:val="005C40D1"/>
    <w:rsid w:val="005C45CB"/>
    <w:rsid w:val="005C4833"/>
    <w:rsid w:val="005C4843"/>
    <w:rsid w:val="005D02A1"/>
    <w:rsid w:val="005D07D1"/>
    <w:rsid w:val="005D083F"/>
    <w:rsid w:val="005D0972"/>
    <w:rsid w:val="005D0A03"/>
    <w:rsid w:val="005D0B21"/>
    <w:rsid w:val="005D13F2"/>
    <w:rsid w:val="005D1EBD"/>
    <w:rsid w:val="005D290D"/>
    <w:rsid w:val="005D2F57"/>
    <w:rsid w:val="005D3097"/>
    <w:rsid w:val="005D31E9"/>
    <w:rsid w:val="005D34F0"/>
    <w:rsid w:val="005D46B0"/>
    <w:rsid w:val="005D65DC"/>
    <w:rsid w:val="005D6F81"/>
    <w:rsid w:val="005D7D0F"/>
    <w:rsid w:val="005E06D0"/>
    <w:rsid w:val="005E175E"/>
    <w:rsid w:val="005E20BE"/>
    <w:rsid w:val="005E2B89"/>
    <w:rsid w:val="005E3DF1"/>
    <w:rsid w:val="005E4912"/>
    <w:rsid w:val="005E4C89"/>
    <w:rsid w:val="005E64E8"/>
    <w:rsid w:val="005E6CF7"/>
    <w:rsid w:val="005E6F1F"/>
    <w:rsid w:val="005F06E1"/>
    <w:rsid w:val="005F1061"/>
    <w:rsid w:val="005F1803"/>
    <w:rsid w:val="005F2456"/>
    <w:rsid w:val="005F2763"/>
    <w:rsid w:val="005F3067"/>
    <w:rsid w:val="005F3B1F"/>
    <w:rsid w:val="005F44D1"/>
    <w:rsid w:val="005F495D"/>
    <w:rsid w:val="005F5789"/>
    <w:rsid w:val="005F60C6"/>
    <w:rsid w:val="005F6A50"/>
    <w:rsid w:val="00600D96"/>
    <w:rsid w:val="00601431"/>
    <w:rsid w:val="00601A5E"/>
    <w:rsid w:val="006035B7"/>
    <w:rsid w:val="006036FB"/>
    <w:rsid w:val="006037F0"/>
    <w:rsid w:val="0060467B"/>
    <w:rsid w:val="00606681"/>
    <w:rsid w:val="00607989"/>
    <w:rsid w:val="0060799A"/>
    <w:rsid w:val="00607A43"/>
    <w:rsid w:val="00610845"/>
    <w:rsid w:val="00611C62"/>
    <w:rsid w:val="006126DC"/>
    <w:rsid w:val="00612F41"/>
    <w:rsid w:val="00614343"/>
    <w:rsid w:val="006144D3"/>
    <w:rsid w:val="00615799"/>
    <w:rsid w:val="00615925"/>
    <w:rsid w:val="00615F5E"/>
    <w:rsid w:val="0061679A"/>
    <w:rsid w:val="00617F84"/>
    <w:rsid w:val="00621129"/>
    <w:rsid w:val="006215DB"/>
    <w:rsid w:val="006225FB"/>
    <w:rsid w:val="00622E8A"/>
    <w:rsid w:val="0062367E"/>
    <w:rsid w:val="006236DE"/>
    <w:rsid w:val="00624268"/>
    <w:rsid w:val="00624853"/>
    <w:rsid w:val="00624E1E"/>
    <w:rsid w:val="006250D7"/>
    <w:rsid w:val="006252BD"/>
    <w:rsid w:val="0062578A"/>
    <w:rsid w:val="00625F33"/>
    <w:rsid w:val="00627AC9"/>
    <w:rsid w:val="00627AFE"/>
    <w:rsid w:val="006305A1"/>
    <w:rsid w:val="006305D1"/>
    <w:rsid w:val="00630894"/>
    <w:rsid w:val="006324B6"/>
    <w:rsid w:val="0063272E"/>
    <w:rsid w:val="00632895"/>
    <w:rsid w:val="00633916"/>
    <w:rsid w:val="00633A4E"/>
    <w:rsid w:val="00633E52"/>
    <w:rsid w:val="00633F19"/>
    <w:rsid w:val="006346CD"/>
    <w:rsid w:val="0063519A"/>
    <w:rsid w:val="00635A25"/>
    <w:rsid w:val="006361BB"/>
    <w:rsid w:val="0063625A"/>
    <w:rsid w:val="00636468"/>
    <w:rsid w:val="00636888"/>
    <w:rsid w:val="006368D2"/>
    <w:rsid w:val="0063730A"/>
    <w:rsid w:val="0063760A"/>
    <w:rsid w:val="00637684"/>
    <w:rsid w:val="00637857"/>
    <w:rsid w:val="006401FF"/>
    <w:rsid w:val="00640435"/>
    <w:rsid w:val="00640F1A"/>
    <w:rsid w:val="0064140E"/>
    <w:rsid w:val="00641870"/>
    <w:rsid w:val="00641B1E"/>
    <w:rsid w:val="00641D2B"/>
    <w:rsid w:val="006426C1"/>
    <w:rsid w:val="00643841"/>
    <w:rsid w:val="0064435C"/>
    <w:rsid w:val="00644825"/>
    <w:rsid w:val="00644B60"/>
    <w:rsid w:val="00644DA1"/>
    <w:rsid w:val="0064643C"/>
    <w:rsid w:val="00646BFA"/>
    <w:rsid w:val="00650290"/>
    <w:rsid w:val="006513C3"/>
    <w:rsid w:val="00651B23"/>
    <w:rsid w:val="00651B2C"/>
    <w:rsid w:val="00652B78"/>
    <w:rsid w:val="00653153"/>
    <w:rsid w:val="006542E8"/>
    <w:rsid w:val="006555D8"/>
    <w:rsid w:val="00655912"/>
    <w:rsid w:val="006563BC"/>
    <w:rsid w:val="00657569"/>
    <w:rsid w:val="0065756D"/>
    <w:rsid w:val="0066043A"/>
    <w:rsid w:val="006606FB"/>
    <w:rsid w:val="0066076B"/>
    <w:rsid w:val="0066100A"/>
    <w:rsid w:val="006613EF"/>
    <w:rsid w:val="00661BC2"/>
    <w:rsid w:val="00662363"/>
    <w:rsid w:val="0066251B"/>
    <w:rsid w:val="00662D3E"/>
    <w:rsid w:val="00663910"/>
    <w:rsid w:val="00663C48"/>
    <w:rsid w:val="00663F5D"/>
    <w:rsid w:val="00664370"/>
    <w:rsid w:val="006647EC"/>
    <w:rsid w:val="0066494F"/>
    <w:rsid w:val="006650CC"/>
    <w:rsid w:val="006652AA"/>
    <w:rsid w:val="006658AB"/>
    <w:rsid w:val="006661A5"/>
    <w:rsid w:val="00667924"/>
    <w:rsid w:val="00667CF8"/>
    <w:rsid w:val="00667FC4"/>
    <w:rsid w:val="006707A6"/>
    <w:rsid w:val="0067136E"/>
    <w:rsid w:val="00671558"/>
    <w:rsid w:val="00671D5B"/>
    <w:rsid w:val="00672DC6"/>
    <w:rsid w:val="00672DDD"/>
    <w:rsid w:val="00673772"/>
    <w:rsid w:val="00674575"/>
    <w:rsid w:val="0067526B"/>
    <w:rsid w:val="00675E24"/>
    <w:rsid w:val="006764BF"/>
    <w:rsid w:val="00676C91"/>
    <w:rsid w:val="00676E74"/>
    <w:rsid w:val="006770A9"/>
    <w:rsid w:val="006775F8"/>
    <w:rsid w:val="00680EB6"/>
    <w:rsid w:val="00681A5E"/>
    <w:rsid w:val="00681E4A"/>
    <w:rsid w:val="00682364"/>
    <w:rsid w:val="0068288C"/>
    <w:rsid w:val="006828D1"/>
    <w:rsid w:val="006843C5"/>
    <w:rsid w:val="0068529A"/>
    <w:rsid w:val="006854FB"/>
    <w:rsid w:val="006855CA"/>
    <w:rsid w:val="0068579E"/>
    <w:rsid w:val="00685CC0"/>
    <w:rsid w:val="00687902"/>
    <w:rsid w:val="00687E5C"/>
    <w:rsid w:val="00690B77"/>
    <w:rsid w:val="006919A7"/>
    <w:rsid w:val="00691E65"/>
    <w:rsid w:val="00692770"/>
    <w:rsid w:val="00694062"/>
    <w:rsid w:val="00694885"/>
    <w:rsid w:val="006954A9"/>
    <w:rsid w:val="00695AA9"/>
    <w:rsid w:val="006960F3"/>
    <w:rsid w:val="006961DB"/>
    <w:rsid w:val="006A046E"/>
    <w:rsid w:val="006A07AE"/>
    <w:rsid w:val="006A1152"/>
    <w:rsid w:val="006A1163"/>
    <w:rsid w:val="006A1C02"/>
    <w:rsid w:val="006A30CA"/>
    <w:rsid w:val="006A331E"/>
    <w:rsid w:val="006A3722"/>
    <w:rsid w:val="006A419A"/>
    <w:rsid w:val="006A54B2"/>
    <w:rsid w:val="006A5B1F"/>
    <w:rsid w:val="006A5DA4"/>
    <w:rsid w:val="006A6386"/>
    <w:rsid w:val="006A6660"/>
    <w:rsid w:val="006A6FA8"/>
    <w:rsid w:val="006A7753"/>
    <w:rsid w:val="006B0323"/>
    <w:rsid w:val="006B1BC1"/>
    <w:rsid w:val="006B2C04"/>
    <w:rsid w:val="006B4305"/>
    <w:rsid w:val="006B5072"/>
    <w:rsid w:val="006B5F11"/>
    <w:rsid w:val="006B627F"/>
    <w:rsid w:val="006B6F17"/>
    <w:rsid w:val="006B786E"/>
    <w:rsid w:val="006C0EB5"/>
    <w:rsid w:val="006C141E"/>
    <w:rsid w:val="006C2C03"/>
    <w:rsid w:val="006C342D"/>
    <w:rsid w:val="006C4000"/>
    <w:rsid w:val="006C68C9"/>
    <w:rsid w:val="006C7181"/>
    <w:rsid w:val="006C7A59"/>
    <w:rsid w:val="006D09AB"/>
    <w:rsid w:val="006D12DB"/>
    <w:rsid w:val="006D17A1"/>
    <w:rsid w:val="006D2266"/>
    <w:rsid w:val="006D2283"/>
    <w:rsid w:val="006D283E"/>
    <w:rsid w:val="006D3298"/>
    <w:rsid w:val="006D3552"/>
    <w:rsid w:val="006D4171"/>
    <w:rsid w:val="006D46FF"/>
    <w:rsid w:val="006D4C23"/>
    <w:rsid w:val="006D5DD4"/>
    <w:rsid w:val="006D6C11"/>
    <w:rsid w:val="006E0041"/>
    <w:rsid w:val="006E0209"/>
    <w:rsid w:val="006E0262"/>
    <w:rsid w:val="006E076D"/>
    <w:rsid w:val="006E1167"/>
    <w:rsid w:val="006E2A5C"/>
    <w:rsid w:val="006E3609"/>
    <w:rsid w:val="006E3E40"/>
    <w:rsid w:val="006E56E8"/>
    <w:rsid w:val="006E68D9"/>
    <w:rsid w:val="006E7134"/>
    <w:rsid w:val="006F1BC0"/>
    <w:rsid w:val="006F361F"/>
    <w:rsid w:val="006F5F62"/>
    <w:rsid w:val="006F7917"/>
    <w:rsid w:val="006F7AEE"/>
    <w:rsid w:val="007000BB"/>
    <w:rsid w:val="007038F6"/>
    <w:rsid w:val="00703AF0"/>
    <w:rsid w:val="007045D7"/>
    <w:rsid w:val="007058B0"/>
    <w:rsid w:val="00705964"/>
    <w:rsid w:val="00707877"/>
    <w:rsid w:val="00711200"/>
    <w:rsid w:val="007125EB"/>
    <w:rsid w:val="00712779"/>
    <w:rsid w:val="00714196"/>
    <w:rsid w:val="0071445A"/>
    <w:rsid w:val="007149F4"/>
    <w:rsid w:val="00714A33"/>
    <w:rsid w:val="007150CB"/>
    <w:rsid w:val="0071634B"/>
    <w:rsid w:val="007172EA"/>
    <w:rsid w:val="00717D7F"/>
    <w:rsid w:val="00720888"/>
    <w:rsid w:val="007223A9"/>
    <w:rsid w:val="007228BA"/>
    <w:rsid w:val="0072304C"/>
    <w:rsid w:val="0072330E"/>
    <w:rsid w:val="0072397F"/>
    <w:rsid w:val="007248B5"/>
    <w:rsid w:val="0072500B"/>
    <w:rsid w:val="00725411"/>
    <w:rsid w:val="00725D80"/>
    <w:rsid w:val="00727514"/>
    <w:rsid w:val="0072783D"/>
    <w:rsid w:val="0073023B"/>
    <w:rsid w:val="00730B62"/>
    <w:rsid w:val="00731922"/>
    <w:rsid w:val="00731ACB"/>
    <w:rsid w:val="00731B2A"/>
    <w:rsid w:val="00731BDA"/>
    <w:rsid w:val="00731F86"/>
    <w:rsid w:val="007339F7"/>
    <w:rsid w:val="00736563"/>
    <w:rsid w:val="007368AD"/>
    <w:rsid w:val="00736BE6"/>
    <w:rsid w:val="007379AD"/>
    <w:rsid w:val="00740225"/>
    <w:rsid w:val="0074081B"/>
    <w:rsid w:val="0074133D"/>
    <w:rsid w:val="00741E9C"/>
    <w:rsid w:val="0074358B"/>
    <w:rsid w:val="00744206"/>
    <w:rsid w:val="00746758"/>
    <w:rsid w:val="00746A49"/>
    <w:rsid w:val="007474CB"/>
    <w:rsid w:val="00750622"/>
    <w:rsid w:val="0075196D"/>
    <w:rsid w:val="007519DF"/>
    <w:rsid w:val="00751B57"/>
    <w:rsid w:val="0075269A"/>
    <w:rsid w:val="00753175"/>
    <w:rsid w:val="007533FF"/>
    <w:rsid w:val="00753971"/>
    <w:rsid w:val="00754697"/>
    <w:rsid w:val="007551A2"/>
    <w:rsid w:val="0075558C"/>
    <w:rsid w:val="0075592F"/>
    <w:rsid w:val="00755F52"/>
    <w:rsid w:val="0075603A"/>
    <w:rsid w:val="00757811"/>
    <w:rsid w:val="00761EFA"/>
    <w:rsid w:val="0076218D"/>
    <w:rsid w:val="00762C20"/>
    <w:rsid w:val="00762EDF"/>
    <w:rsid w:val="00763C45"/>
    <w:rsid w:val="00764681"/>
    <w:rsid w:val="00764873"/>
    <w:rsid w:val="00765046"/>
    <w:rsid w:val="00765255"/>
    <w:rsid w:val="007655C6"/>
    <w:rsid w:val="007659ED"/>
    <w:rsid w:val="00766638"/>
    <w:rsid w:val="007667B1"/>
    <w:rsid w:val="00767151"/>
    <w:rsid w:val="007703DC"/>
    <w:rsid w:val="007704DB"/>
    <w:rsid w:val="00771618"/>
    <w:rsid w:val="00772C8B"/>
    <w:rsid w:val="00772CA4"/>
    <w:rsid w:val="007731E3"/>
    <w:rsid w:val="00773232"/>
    <w:rsid w:val="00773659"/>
    <w:rsid w:val="00774276"/>
    <w:rsid w:val="00774684"/>
    <w:rsid w:val="007749E9"/>
    <w:rsid w:val="00774E0F"/>
    <w:rsid w:val="0077599F"/>
    <w:rsid w:val="007762B4"/>
    <w:rsid w:val="007778DD"/>
    <w:rsid w:val="00777F68"/>
    <w:rsid w:val="00777F8D"/>
    <w:rsid w:val="00780724"/>
    <w:rsid w:val="007815C8"/>
    <w:rsid w:val="0078170B"/>
    <w:rsid w:val="007829F6"/>
    <w:rsid w:val="00785331"/>
    <w:rsid w:val="007853D9"/>
    <w:rsid w:val="00786F59"/>
    <w:rsid w:val="00787181"/>
    <w:rsid w:val="00790E2D"/>
    <w:rsid w:val="00793991"/>
    <w:rsid w:val="007941D1"/>
    <w:rsid w:val="00794DD7"/>
    <w:rsid w:val="0079587D"/>
    <w:rsid w:val="007964F6"/>
    <w:rsid w:val="0079652B"/>
    <w:rsid w:val="00796693"/>
    <w:rsid w:val="00796AF0"/>
    <w:rsid w:val="0079770B"/>
    <w:rsid w:val="007979AD"/>
    <w:rsid w:val="00797CC5"/>
    <w:rsid w:val="00797FAB"/>
    <w:rsid w:val="007A69FD"/>
    <w:rsid w:val="007A6E1E"/>
    <w:rsid w:val="007A75FC"/>
    <w:rsid w:val="007A7983"/>
    <w:rsid w:val="007B2CEF"/>
    <w:rsid w:val="007B315B"/>
    <w:rsid w:val="007B3544"/>
    <w:rsid w:val="007B41DE"/>
    <w:rsid w:val="007B46BC"/>
    <w:rsid w:val="007B52E9"/>
    <w:rsid w:val="007B54A6"/>
    <w:rsid w:val="007B6F95"/>
    <w:rsid w:val="007B73CE"/>
    <w:rsid w:val="007B7C5B"/>
    <w:rsid w:val="007C023F"/>
    <w:rsid w:val="007C047D"/>
    <w:rsid w:val="007C1C14"/>
    <w:rsid w:val="007C3A73"/>
    <w:rsid w:val="007C3FF8"/>
    <w:rsid w:val="007C4728"/>
    <w:rsid w:val="007C497F"/>
    <w:rsid w:val="007C4B6A"/>
    <w:rsid w:val="007C54BB"/>
    <w:rsid w:val="007C5563"/>
    <w:rsid w:val="007C581A"/>
    <w:rsid w:val="007C6A9B"/>
    <w:rsid w:val="007C7591"/>
    <w:rsid w:val="007C78D0"/>
    <w:rsid w:val="007D0535"/>
    <w:rsid w:val="007D18AB"/>
    <w:rsid w:val="007D4649"/>
    <w:rsid w:val="007D4A50"/>
    <w:rsid w:val="007D4B33"/>
    <w:rsid w:val="007D515F"/>
    <w:rsid w:val="007D5CD5"/>
    <w:rsid w:val="007D6D7E"/>
    <w:rsid w:val="007D708C"/>
    <w:rsid w:val="007D73BB"/>
    <w:rsid w:val="007D748D"/>
    <w:rsid w:val="007D7F4E"/>
    <w:rsid w:val="007E0328"/>
    <w:rsid w:val="007E03EC"/>
    <w:rsid w:val="007E1CAC"/>
    <w:rsid w:val="007E297F"/>
    <w:rsid w:val="007E3379"/>
    <w:rsid w:val="007E3EE1"/>
    <w:rsid w:val="007E3F1D"/>
    <w:rsid w:val="007E4317"/>
    <w:rsid w:val="007E463E"/>
    <w:rsid w:val="007E555C"/>
    <w:rsid w:val="007E5B6D"/>
    <w:rsid w:val="007E6412"/>
    <w:rsid w:val="007E71E7"/>
    <w:rsid w:val="007E72F1"/>
    <w:rsid w:val="007F1F34"/>
    <w:rsid w:val="007F3A33"/>
    <w:rsid w:val="007F4AAB"/>
    <w:rsid w:val="007F508B"/>
    <w:rsid w:val="007F6004"/>
    <w:rsid w:val="007F6AE9"/>
    <w:rsid w:val="00800158"/>
    <w:rsid w:val="00800F60"/>
    <w:rsid w:val="00801E35"/>
    <w:rsid w:val="00801F73"/>
    <w:rsid w:val="00802271"/>
    <w:rsid w:val="00802A16"/>
    <w:rsid w:val="00802C62"/>
    <w:rsid w:val="00802F36"/>
    <w:rsid w:val="008036CE"/>
    <w:rsid w:val="0080452B"/>
    <w:rsid w:val="00805990"/>
    <w:rsid w:val="0080632C"/>
    <w:rsid w:val="00810854"/>
    <w:rsid w:val="00810AE0"/>
    <w:rsid w:val="008116AC"/>
    <w:rsid w:val="008116CD"/>
    <w:rsid w:val="00811B0A"/>
    <w:rsid w:val="00812040"/>
    <w:rsid w:val="00812161"/>
    <w:rsid w:val="008124EC"/>
    <w:rsid w:val="0081270A"/>
    <w:rsid w:val="008130D5"/>
    <w:rsid w:val="00815E78"/>
    <w:rsid w:val="00816556"/>
    <w:rsid w:val="00816F81"/>
    <w:rsid w:val="008205FD"/>
    <w:rsid w:val="00821F44"/>
    <w:rsid w:val="008226BF"/>
    <w:rsid w:val="00822CF6"/>
    <w:rsid w:val="00823EB4"/>
    <w:rsid w:val="00824194"/>
    <w:rsid w:val="00824C18"/>
    <w:rsid w:val="00830460"/>
    <w:rsid w:val="00830F4B"/>
    <w:rsid w:val="0083147F"/>
    <w:rsid w:val="008335B6"/>
    <w:rsid w:val="00834652"/>
    <w:rsid w:val="008350EE"/>
    <w:rsid w:val="008359A0"/>
    <w:rsid w:val="00836568"/>
    <w:rsid w:val="00836AFB"/>
    <w:rsid w:val="00836F89"/>
    <w:rsid w:val="0084023C"/>
    <w:rsid w:val="008406DE"/>
    <w:rsid w:val="00840F39"/>
    <w:rsid w:val="0084167C"/>
    <w:rsid w:val="0084176B"/>
    <w:rsid w:val="0084232E"/>
    <w:rsid w:val="008423C5"/>
    <w:rsid w:val="00842650"/>
    <w:rsid w:val="00842B97"/>
    <w:rsid w:val="00842C00"/>
    <w:rsid w:val="008439FD"/>
    <w:rsid w:val="00843AA6"/>
    <w:rsid w:val="00843BE7"/>
    <w:rsid w:val="008450D2"/>
    <w:rsid w:val="00845ADD"/>
    <w:rsid w:val="00845B3E"/>
    <w:rsid w:val="00845E22"/>
    <w:rsid w:val="00846459"/>
    <w:rsid w:val="00846A11"/>
    <w:rsid w:val="00847D8A"/>
    <w:rsid w:val="0085048A"/>
    <w:rsid w:val="00850DBA"/>
    <w:rsid w:val="008521E9"/>
    <w:rsid w:val="008528BA"/>
    <w:rsid w:val="00853D78"/>
    <w:rsid w:val="00854421"/>
    <w:rsid w:val="008545B0"/>
    <w:rsid w:val="0085496E"/>
    <w:rsid w:val="00854EE9"/>
    <w:rsid w:val="00855DD0"/>
    <w:rsid w:val="008562EE"/>
    <w:rsid w:val="00857731"/>
    <w:rsid w:val="008578E8"/>
    <w:rsid w:val="0086032F"/>
    <w:rsid w:val="008608D8"/>
    <w:rsid w:val="00860A44"/>
    <w:rsid w:val="008624FD"/>
    <w:rsid w:val="00863435"/>
    <w:rsid w:val="0086426B"/>
    <w:rsid w:val="0086578D"/>
    <w:rsid w:val="00866FB5"/>
    <w:rsid w:val="00867222"/>
    <w:rsid w:val="0086751B"/>
    <w:rsid w:val="00870156"/>
    <w:rsid w:val="00870820"/>
    <w:rsid w:val="008713EC"/>
    <w:rsid w:val="00871429"/>
    <w:rsid w:val="00872827"/>
    <w:rsid w:val="00873087"/>
    <w:rsid w:val="0087349A"/>
    <w:rsid w:val="00874CA9"/>
    <w:rsid w:val="0087610E"/>
    <w:rsid w:val="00876685"/>
    <w:rsid w:val="00876A23"/>
    <w:rsid w:val="00876C6E"/>
    <w:rsid w:val="00877162"/>
    <w:rsid w:val="00877FAA"/>
    <w:rsid w:val="00883036"/>
    <w:rsid w:val="00883ECD"/>
    <w:rsid w:val="00884632"/>
    <w:rsid w:val="00884DC4"/>
    <w:rsid w:val="00885DFC"/>
    <w:rsid w:val="00885FFC"/>
    <w:rsid w:val="008869B9"/>
    <w:rsid w:val="00886FC7"/>
    <w:rsid w:val="0088728B"/>
    <w:rsid w:val="00887AE6"/>
    <w:rsid w:val="00887C05"/>
    <w:rsid w:val="00887DB9"/>
    <w:rsid w:val="00890075"/>
    <w:rsid w:val="008900BA"/>
    <w:rsid w:val="00890311"/>
    <w:rsid w:val="0089109C"/>
    <w:rsid w:val="00891767"/>
    <w:rsid w:val="00891F58"/>
    <w:rsid w:val="00892485"/>
    <w:rsid w:val="00892C07"/>
    <w:rsid w:val="00893129"/>
    <w:rsid w:val="00893F36"/>
    <w:rsid w:val="00893FCC"/>
    <w:rsid w:val="0089405C"/>
    <w:rsid w:val="0089488E"/>
    <w:rsid w:val="00894B87"/>
    <w:rsid w:val="00894D8C"/>
    <w:rsid w:val="00895DF4"/>
    <w:rsid w:val="00896705"/>
    <w:rsid w:val="00896F05"/>
    <w:rsid w:val="008973DB"/>
    <w:rsid w:val="008A09D3"/>
    <w:rsid w:val="008A2CF6"/>
    <w:rsid w:val="008A34C8"/>
    <w:rsid w:val="008A3FDD"/>
    <w:rsid w:val="008A4056"/>
    <w:rsid w:val="008A50F0"/>
    <w:rsid w:val="008A5797"/>
    <w:rsid w:val="008A590E"/>
    <w:rsid w:val="008A6402"/>
    <w:rsid w:val="008A6EEE"/>
    <w:rsid w:val="008A731A"/>
    <w:rsid w:val="008A7422"/>
    <w:rsid w:val="008B04A2"/>
    <w:rsid w:val="008B0C56"/>
    <w:rsid w:val="008B1A4D"/>
    <w:rsid w:val="008B341E"/>
    <w:rsid w:val="008B3FB6"/>
    <w:rsid w:val="008B4175"/>
    <w:rsid w:val="008B516D"/>
    <w:rsid w:val="008B5228"/>
    <w:rsid w:val="008B567F"/>
    <w:rsid w:val="008B6DBB"/>
    <w:rsid w:val="008B70D3"/>
    <w:rsid w:val="008B775E"/>
    <w:rsid w:val="008C1091"/>
    <w:rsid w:val="008C5575"/>
    <w:rsid w:val="008C633D"/>
    <w:rsid w:val="008C647F"/>
    <w:rsid w:val="008C7316"/>
    <w:rsid w:val="008C7327"/>
    <w:rsid w:val="008C762C"/>
    <w:rsid w:val="008D1165"/>
    <w:rsid w:val="008D1253"/>
    <w:rsid w:val="008D2003"/>
    <w:rsid w:val="008D21D1"/>
    <w:rsid w:val="008D22B4"/>
    <w:rsid w:val="008D2830"/>
    <w:rsid w:val="008D2ED6"/>
    <w:rsid w:val="008D2F4E"/>
    <w:rsid w:val="008D32F5"/>
    <w:rsid w:val="008D34DC"/>
    <w:rsid w:val="008D42C1"/>
    <w:rsid w:val="008D589C"/>
    <w:rsid w:val="008D66BF"/>
    <w:rsid w:val="008D6A0E"/>
    <w:rsid w:val="008D6C14"/>
    <w:rsid w:val="008D7AA6"/>
    <w:rsid w:val="008E1863"/>
    <w:rsid w:val="008E29E7"/>
    <w:rsid w:val="008E4184"/>
    <w:rsid w:val="008E4DC4"/>
    <w:rsid w:val="008E50A2"/>
    <w:rsid w:val="008E5498"/>
    <w:rsid w:val="008E7085"/>
    <w:rsid w:val="008E796E"/>
    <w:rsid w:val="008F1535"/>
    <w:rsid w:val="008F16B0"/>
    <w:rsid w:val="008F18D6"/>
    <w:rsid w:val="008F1B6E"/>
    <w:rsid w:val="008F235F"/>
    <w:rsid w:val="008F2E5B"/>
    <w:rsid w:val="008F3006"/>
    <w:rsid w:val="008F36E4"/>
    <w:rsid w:val="008F3DC0"/>
    <w:rsid w:val="008F44E0"/>
    <w:rsid w:val="008F4DFD"/>
    <w:rsid w:val="008F563F"/>
    <w:rsid w:val="008F60C3"/>
    <w:rsid w:val="008F6701"/>
    <w:rsid w:val="008F7ED5"/>
    <w:rsid w:val="00901003"/>
    <w:rsid w:val="009013C4"/>
    <w:rsid w:val="009016AB"/>
    <w:rsid w:val="00901922"/>
    <w:rsid w:val="00901CE6"/>
    <w:rsid w:val="009020B2"/>
    <w:rsid w:val="009042F2"/>
    <w:rsid w:val="009049D6"/>
    <w:rsid w:val="009053E0"/>
    <w:rsid w:val="00905C29"/>
    <w:rsid w:val="0090620A"/>
    <w:rsid w:val="00906F69"/>
    <w:rsid w:val="009071F7"/>
    <w:rsid w:val="00907802"/>
    <w:rsid w:val="009102D9"/>
    <w:rsid w:val="009105B4"/>
    <w:rsid w:val="009108C5"/>
    <w:rsid w:val="00910AE4"/>
    <w:rsid w:val="00911F0B"/>
    <w:rsid w:val="0091223E"/>
    <w:rsid w:val="0091262E"/>
    <w:rsid w:val="00913B19"/>
    <w:rsid w:val="00913F5E"/>
    <w:rsid w:val="00914D20"/>
    <w:rsid w:val="009200D2"/>
    <w:rsid w:val="009215BC"/>
    <w:rsid w:val="00921B39"/>
    <w:rsid w:val="009234AB"/>
    <w:rsid w:val="00923BB9"/>
    <w:rsid w:val="00924402"/>
    <w:rsid w:val="009247B5"/>
    <w:rsid w:val="0092558A"/>
    <w:rsid w:val="00925811"/>
    <w:rsid w:val="00925879"/>
    <w:rsid w:val="00926E55"/>
    <w:rsid w:val="00927A2A"/>
    <w:rsid w:val="009301CB"/>
    <w:rsid w:val="009303EE"/>
    <w:rsid w:val="00930550"/>
    <w:rsid w:val="0093091A"/>
    <w:rsid w:val="00931080"/>
    <w:rsid w:val="00931627"/>
    <w:rsid w:val="0093163E"/>
    <w:rsid w:val="00932605"/>
    <w:rsid w:val="0093314D"/>
    <w:rsid w:val="00933B95"/>
    <w:rsid w:val="00934C98"/>
    <w:rsid w:val="00935243"/>
    <w:rsid w:val="00935277"/>
    <w:rsid w:val="00935603"/>
    <w:rsid w:val="00936436"/>
    <w:rsid w:val="00936B0C"/>
    <w:rsid w:val="00936D8A"/>
    <w:rsid w:val="00937371"/>
    <w:rsid w:val="00940B82"/>
    <w:rsid w:val="00940C5F"/>
    <w:rsid w:val="00940DCB"/>
    <w:rsid w:val="00941185"/>
    <w:rsid w:val="0094235A"/>
    <w:rsid w:val="009434D9"/>
    <w:rsid w:val="009447E3"/>
    <w:rsid w:val="00946FE0"/>
    <w:rsid w:val="0094751D"/>
    <w:rsid w:val="009510C4"/>
    <w:rsid w:val="0095150E"/>
    <w:rsid w:val="00951E44"/>
    <w:rsid w:val="00953A4F"/>
    <w:rsid w:val="00953CB2"/>
    <w:rsid w:val="00953D8D"/>
    <w:rsid w:val="009548F1"/>
    <w:rsid w:val="0095534C"/>
    <w:rsid w:val="00956251"/>
    <w:rsid w:val="009575FC"/>
    <w:rsid w:val="0096008D"/>
    <w:rsid w:val="0096244E"/>
    <w:rsid w:val="00962664"/>
    <w:rsid w:val="00962E01"/>
    <w:rsid w:val="00963D8F"/>
    <w:rsid w:val="009650CD"/>
    <w:rsid w:val="00965285"/>
    <w:rsid w:val="009659EA"/>
    <w:rsid w:val="00965BF0"/>
    <w:rsid w:val="00965F72"/>
    <w:rsid w:val="00966A51"/>
    <w:rsid w:val="00966BAC"/>
    <w:rsid w:val="00967111"/>
    <w:rsid w:val="009674A0"/>
    <w:rsid w:val="00967EA8"/>
    <w:rsid w:val="0097066D"/>
    <w:rsid w:val="00970CA5"/>
    <w:rsid w:val="00971431"/>
    <w:rsid w:val="00972FDD"/>
    <w:rsid w:val="00973CCD"/>
    <w:rsid w:val="00974222"/>
    <w:rsid w:val="00974D8A"/>
    <w:rsid w:val="0097562F"/>
    <w:rsid w:val="00975A11"/>
    <w:rsid w:val="00975B14"/>
    <w:rsid w:val="009767E7"/>
    <w:rsid w:val="009769D9"/>
    <w:rsid w:val="00976AF6"/>
    <w:rsid w:val="00976F75"/>
    <w:rsid w:val="00977C17"/>
    <w:rsid w:val="00980BD2"/>
    <w:rsid w:val="00981219"/>
    <w:rsid w:val="009820BC"/>
    <w:rsid w:val="009821D3"/>
    <w:rsid w:val="009824D6"/>
    <w:rsid w:val="0098505A"/>
    <w:rsid w:val="00985878"/>
    <w:rsid w:val="009864EA"/>
    <w:rsid w:val="00987767"/>
    <w:rsid w:val="009903A4"/>
    <w:rsid w:val="00990595"/>
    <w:rsid w:val="0099067B"/>
    <w:rsid w:val="009915AE"/>
    <w:rsid w:val="00991E6F"/>
    <w:rsid w:val="009927F7"/>
    <w:rsid w:val="0099355C"/>
    <w:rsid w:val="0099557D"/>
    <w:rsid w:val="00995D5F"/>
    <w:rsid w:val="0099613E"/>
    <w:rsid w:val="00996511"/>
    <w:rsid w:val="00996A58"/>
    <w:rsid w:val="00996F63"/>
    <w:rsid w:val="009974A9"/>
    <w:rsid w:val="00997D82"/>
    <w:rsid w:val="009A1B61"/>
    <w:rsid w:val="009A1D1B"/>
    <w:rsid w:val="009A1FE9"/>
    <w:rsid w:val="009A2169"/>
    <w:rsid w:val="009A229A"/>
    <w:rsid w:val="009A2ABE"/>
    <w:rsid w:val="009A2C89"/>
    <w:rsid w:val="009A3406"/>
    <w:rsid w:val="009A3832"/>
    <w:rsid w:val="009A3951"/>
    <w:rsid w:val="009A3D14"/>
    <w:rsid w:val="009A3DF3"/>
    <w:rsid w:val="009A616D"/>
    <w:rsid w:val="009A6603"/>
    <w:rsid w:val="009A6995"/>
    <w:rsid w:val="009A6A2F"/>
    <w:rsid w:val="009A73BA"/>
    <w:rsid w:val="009A772D"/>
    <w:rsid w:val="009A77F0"/>
    <w:rsid w:val="009A791E"/>
    <w:rsid w:val="009B0A67"/>
    <w:rsid w:val="009B15F3"/>
    <w:rsid w:val="009B1FB1"/>
    <w:rsid w:val="009B2A86"/>
    <w:rsid w:val="009B2B85"/>
    <w:rsid w:val="009B2DDE"/>
    <w:rsid w:val="009B3CDD"/>
    <w:rsid w:val="009B53A7"/>
    <w:rsid w:val="009B56CF"/>
    <w:rsid w:val="009B6816"/>
    <w:rsid w:val="009B6FFE"/>
    <w:rsid w:val="009C0844"/>
    <w:rsid w:val="009C090D"/>
    <w:rsid w:val="009C1465"/>
    <w:rsid w:val="009C36BF"/>
    <w:rsid w:val="009C6308"/>
    <w:rsid w:val="009C65F4"/>
    <w:rsid w:val="009C74EB"/>
    <w:rsid w:val="009C755C"/>
    <w:rsid w:val="009C780F"/>
    <w:rsid w:val="009D0585"/>
    <w:rsid w:val="009D0DEB"/>
    <w:rsid w:val="009D0F0A"/>
    <w:rsid w:val="009D19A2"/>
    <w:rsid w:val="009D25FE"/>
    <w:rsid w:val="009D274E"/>
    <w:rsid w:val="009D29B3"/>
    <w:rsid w:val="009D3186"/>
    <w:rsid w:val="009D3303"/>
    <w:rsid w:val="009D3ABF"/>
    <w:rsid w:val="009D4F92"/>
    <w:rsid w:val="009D5D93"/>
    <w:rsid w:val="009D7E4D"/>
    <w:rsid w:val="009E0C9A"/>
    <w:rsid w:val="009E11B2"/>
    <w:rsid w:val="009E17F4"/>
    <w:rsid w:val="009E1A69"/>
    <w:rsid w:val="009E261A"/>
    <w:rsid w:val="009E38E9"/>
    <w:rsid w:val="009E466F"/>
    <w:rsid w:val="009E4A2C"/>
    <w:rsid w:val="009E4B89"/>
    <w:rsid w:val="009E6211"/>
    <w:rsid w:val="009E656F"/>
    <w:rsid w:val="009E6B59"/>
    <w:rsid w:val="009E7042"/>
    <w:rsid w:val="009F0FA9"/>
    <w:rsid w:val="009F18D0"/>
    <w:rsid w:val="009F2578"/>
    <w:rsid w:val="009F285A"/>
    <w:rsid w:val="009F2F79"/>
    <w:rsid w:val="009F2FBF"/>
    <w:rsid w:val="009F312D"/>
    <w:rsid w:val="009F3993"/>
    <w:rsid w:val="009F3EEA"/>
    <w:rsid w:val="009F4692"/>
    <w:rsid w:val="009F4A92"/>
    <w:rsid w:val="009F55B2"/>
    <w:rsid w:val="009F7B1B"/>
    <w:rsid w:val="00A009A1"/>
    <w:rsid w:val="00A00EBA"/>
    <w:rsid w:val="00A013FE"/>
    <w:rsid w:val="00A02370"/>
    <w:rsid w:val="00A02757"/>
    <w:rsid w:val="00A02FF5"/>
    <w:rsid w:val="00A03523"/>
    <w:rsid w:val="00A035BF"/>
    <w:rsid w:val="00A03F02"/>
    <w:rsid w:val="00A04D6D"/>
    <w:rsid w:val="00A06053"/>
    <w:rsid w:val="00A0625B"/>
    <w:rsid w:val="00A063B3"/>
    <w:rsid w:val="00A07911"/>
    <w:rsid w:val="00A12982"/>
    <w:rsid w:val="00A12CF3"/>
    <w:rsid w:val="00A130D0"/>
    <w:rsid w:val="00A13330"/>
    <w:rsid w:val="00A13FE8"/>
    <w:rsid w:val="00A1426E"/>
    <w:rsid w:val="00A148AE"/>
    <w:rsid w:val="00A1554B"/>
    <w:rsid w:val="00A16089"/>
    <w:rsid w:val="00A168FE"/>
    <w:rsid w:val="00A16957"/>
    <w:rsid w:val="00A172FF"/>
    <w:rsid w:val="00A1785C"/>
    <w:rsid w:val="00A17D9B"/>
    <w:rsid w:val="00A215B7"/>
    <w:rsid w:val="00A218FA"/>
    <w:rsid w:val="00A22748"/>
    <w:rsid w:val="00A23157"/>
    <w:rsid w:val="00A239C4"/>
    <w:rsid w:val="00A25AA4"/>
    <w:rsid w:val="00A27EC0"/>
    <w:rsid w:val="00A27F66"/>
    <w:rsid w:val="00A3083A"/>
    <w:rsid w:val="00A31425"/>
    <w:rsid w:val="00A31B50"/>
    <w:rsid w:val="00A34F5F"/>
    <w:rsid w:val="00A34FEE"/>
    <w:rsid w:val="00A35283"/>
    <w:rsid w:val="00A356E7"/>
    <w:rsid w:val="00A3589A"/>
    <w:rsid w:val="00A37B75"/>
    <w:rsid w:val="00A408AC"/>
    <w:rsid w:val="00A40E57"/>
    <w:rsid w:val="00A415C1"/>
    <w:rsid w:val="00A42551"/>
    <w:rsid w:val="00A42EC9"/>
    <w:rsid w:val="00A438F5"/>
    <w:rsid w:val="00A43989"/>
    <w:rsid w:val="00A44919"/>
    <w:rsid w:val="00A44933"/>
    <w:rsid w:val="00A449A1"/>
    <w:rsid w:val="00A449FC"/>
    <w:rsid w:val="00A4609D"/>
    <w:rsid w:val="00A46A68"/>
    <w:rsid w:val="00A50335"/>
    <w:rsid w:val="00A50B1F"/>
    <w:rsid w:val="00A50EE9"/>
    <w:rsid w:val="00A5118C"/>
    <w:rsid w:val="00A51A87"/>
    <w:rsid w:val="00A52806"/>
    <w:rsid w:val="00A52F16"/>
    <w:rsid w:val="00A53970"/>
    <w:rsid w:val="00A54A4B"/>
    <w:rsid w:val="00A5509B"/>
    <w:rsid w:val="00A56FAC"/>
    <w:rsid w:val="00A606A1"/>
    <w:rsid w:val="00A637D6"/>
    <w:rsid w:val="00A64512"/>
    <w:rsid w:val="00A6456B"/>
    <w:rsid w:val="00A64786"/>
    <w:rsid w:val="00A64DFF"/>
    <w:rsid w:val="00A650BF"/>
    <w:rsid w:val="00A66B3E"/>
    <w:rsid w:val="00A6708E"/>
    <w:rsid w:val="00A67134"/>
    <w:rsid w:val="00A673F1"/>
    <w:rsid w:val="00A70655"/>
    <w:rsid w:val="00A71496"/>
    <w:rsid w:val="00A715F8"/>
    <w:rsid w:val="00A71EDE"/>
    <w:rsid w:val="00A73389"/>
    <w:rsid w:val="00A73911"/>
    <w:rsid w:val="00A744C2"/>
    <w:rsid w:val="00A75411"/>
    <w:rsid w:val="00A7564E"/>
    <w:rsid w:val="00A7603F"/>
    <w:rsid w:val="00A765B4"/>
    <w:rsid w:val="00A76E9F"/>
    <w:rsid w:val="00A77158"/>
    <w:rsid w:val="00A77242"/>
    <w:rsid w:val="00A77B24"/>
    <w:rsid w:val="00A822FE"/>
    <w:rsid w:val="00A831AA"/>
    <w:rsid w:val="00A8359E"/>
    <w:rsid w:val="00A8394B"/>
    <w:rsid w:val="00A84351"/>
    <w:rsid w:val="00A858AC"/>
    <w:rsid w:val="00A85B62"/>
    <w:rsid w:val="00A868D3"/>
    <w:rsid w:val="00A86F48"/>
    <w:rsid w:val="00A87FC6"/>
    <w:rsid w:val="00A90902"/>
    <w:rsid w:val="00A91BBC"/>
    <w:rsid w:val="00A9438F"/>
    <w:rsid w:val="00A948F8"/>
    <w:rsid w:val="00A9511D"/>
    <w:rsid w:val="00A963B8"/>
    <w:rsid w:val="00A96442"/>
    <w:rsid w:val="00AA00C4"/>
    <w:rsid w:val="00AA0E9D"/>
    <w:rsid w:val="00AA1724"/>
    <w:rsid w:val="00AA1A1F"/>
    <w:rsid w:val="00AA27C3"/>
    <w:rsid w:val="00AA42AE"/>
    <w:rsid w:val="00AA493B"/>
    <w:rsid w:val="00AA5822"/>
    <w:rsid w:val="00AA60A3"/>
    <w:rsid w:val="00AA65FB"/>
    <w:rsid w:val="00AA684B"/>
    <w:rsid w:val="00AA6E06"/>
    <w:rsid w:val="00AA73F9"/>
    <w:rsid w:val="00AB1390"/>
    <w:rsid w:val="00AB165B"/>
    <w:rsid w:val="00AB39F2"/>
    <w:rsid w:val="00AB3C35"/>
    <w:rsid w:val="00AB518E"/>
    <w:rsid w:val="00AB60E8"/>
    <w:rsid w:val="00AB65BF"/>
    <w:rsid w:val="00AB6B0F"/>
    <w:rsid w:val="00AB7D0F"/>
    <w:rsid w:val="00AC038D"/>
    <w:rsid w:val="00AC0F88"/>
    <w:rsid w:val="00AC2C87"/>
    <w:rsid w:val="00AC2DB7"/>
    <w:rsid w:val="00AC2FEA"/>
    <w:rsid w:val="00AC6D40"/>
    <w:rsid w:val="00AC7123"/>
    <w:rsid w:val="00AC7986"/>
    <w:rsid w:val="00AC7A31"/>
    <w:rsid w:val="00AD0A33"/>
    <w:rsid w:val="00AD1CAD"/>
    <w:rsid w:val="00AD20F5"/>
    <w:rsid w:val="00AD2B77"/>
    <w:rsid w:val="00AD2D10"/>
    <w:rsid w:val="00AD3ACC"/>
    <w:rsid w:val="00AD4E33"/>
    <w:rsid w:val="00AD55AF"/>
    <w:rsid w:val="00AD5F65"/>
    <w:rsid w:val="00AD6767"/>
    <w:rsid w:val="00AD6DE4"/>
    <w:rsid w:val="00AD7D86"/>
    <w:rsid w:val="00AE029D"/>
    <w:rsid w:val="00AE068F"/>
    <w:rsid w:val="00AE10CD"/>
    <w:rsid w:val="00AE17BA"/>
    <w:rsid w:val="00AE276B"/>
    <w:rsid w:val="00AE3DA3"/>
    <w:rsid w:val="00AE4647"/>
    <w:rsid w:val="00AE4690"/>
    <w:rsid w:val="00AE4A3F"/>
    <w:rsid w:val="00AF0969"/>
    <w:rsid w:val="00AF172E"/>
    <w:rsid w:val="00AF32F6"/>
    <w:rsid w:val="00AF39D9"/>
    <w:rsid w:val="00AF3A88"/>
    <w:rsid w:val="00AF3AD9"/>
    <w:rsid w:val="00AF4634"/>
    <w:rsid w:val="00AF4CBB"/>
    <w:rsid w:val="00AF553D"/>
    <w:rsid w:val="00AF5856"/>
    <w:rsid w:val="00AF5F0A"/>
    <w:rsid w:val="00AF6530"/>
    <w:rsid w:val="00B019DB"/>
    <w:rsid w:val="00B03203"/>
    <w:rsid w:val="00B03315"/>
    <w:rsid w:val="00B03C89"/>
    <w:rsid w:val="00B0422C"/>
    <w:rsid w:val="00B04911"/>
    <w:rsid w:val="00B05691"/>
    <w:rsid w:val="00B05CC7"/>
    <w:rsid w:val="00B05F14"/>
    <w:rsid w:val="00B062ED"/>
    <w:rsid w:val="00B068E0"/>
    <w:rsid w:val="00B07524"/>
    <w:rsid w:val="00B07F74"/>
    <w:rsid w:val="00B106BD"/>
    <w:rsid w:val="00B11908"/>
    <w:rsid w:val="00B11DA3"/>
    <w:rsid w:val="00B125FD"/>
    <w:rsid w:val="00B12E55"/>
    <w:rsid w:val="00B13BCF"/>
    <w:rsid w:val="00B13CE0"/>
    <w:rsid w:val="00B13DFE"/>
    <w:rsid w:val="00B15696"/>
    <w:rsid w:val="00B1602A"/>
    <w:rsid w:val="00B1653C"/>
    <w:rsid w:val="00B16AC7"/>
    <w:rsid w:val="00B171C9"/>
    <w:rsid w:val="00B176EA"/>
    <w:rsid w:val="00B20235"/>
    <w:rsid w:val="00B20463"/>
    <w:rsid w:val="00B20A8F"/>
    <w:rsid w:val="00B2194F"/>
    <w:rsid w:val="00B22E9F"/>
    <w:rsid w:val="00B23EFE"/>
    <w:rsid w:val="00B2458D"/>
    <w:rsid w:val="00B25678"/>
    <w:rsid w:val="00B2620B"/>
    <w:rsid w:val="00B26399"/>
    <w:rsid w:val="00B26547"/>
    <w:rsid w:val="00B26EA3"/>
    <w:rsid w:val="00B27652"/>
    <w:rsid w:val="00B30025"/>
    <w:rsid w:val="00B30030"/>
    <w:rsid w:val="00B313B8"/>
    <w:rsid w:val="00B31923"/>
    <w:rsid w:val="00B3285A"/>
    <w:rsid w:val="00B32CA5"/>
    <w:rsid w:val="00B33198"/>
    <w:rsid w:val="00B33AAD"/>
    <w:rsid w:val="00B33BC6"/>
    <w:rsid w:val="00B34418"/>
    <w:rsid w:val="00B34FDF"/>
    <w:rsid w:val="00B3500F"/>
    <w:rsid w:val="00B35B7C"/>
    <w:rsid w:val="00B36894"/>
    <w:rsid w:val="00B37878"/>
    <w:rsid w:val="00B405CE"/>
    <w:rsid w:val="00B4068A"/>
    <w:rsid w:val="00B411B8"/>
    <w:rsid w:val="00B414F2"/>
    <w:rsid w:val="00B437E6"/>
    <w:rsid w:val="00B438D0"/>
    <w:rsid w:val="00B45CEB"/>
    <w:rsid w:val="00B51133"/>
    <w:rsid w:val="00B5229E"/>
    <w:rsid w:val="00B5279A"/>
    <w:rsid w:val="00B527D5"/>
    <w:rsid w:val="00B53C15"/>
    <w:rsid w:val="00B5404B"/>
    <w:rsid w:val="00B540FF"/>
    <w:rsid w:val="00B54773"/>
    <w:rsid w:val="00B54F50"/>
    <w:rsid w:val="00B55C5F"/>
    <w:rsid w:val="00B56939"/>
    <w:rsid w:val="00B57FC0"/>
    <w:rsid w:val="00B61D9F"/>
    <w:rsid w:val="00B62C4E"/>
    <w:rsid w:val="00B63012"/>
    <w:rsid w:val="00B646AD"/>
    <w:rsid w:val="00B64E36"/>
    <w:rsid w:val="00B658D2"/>
    <w:rsid w:val="00B65D40"/>
    <w:rsid w:val="00B6743A"/>
    <w:rsid w:val="00B674D1"/>
    <w:rsid w:val="00B67D44"/>
    <w:rsid w:val="00B67E27"/>
    <w:rsid w:val="00B67E63"/>
    <w:rsid w:val="00B67FF6"/>
    <w:rsid w:val="00B70C09"/>
    <w:rsid w:val="00B71167"/>
    <w:rsid w:val="00B72297"/>
    <w:rsid w:val="00B72A41"/>
    <w:rsid w:val="00B73A63"/>
    <w:rsid w:val="00B73E59"/>
    <w:rsid w:val="00B74679"/>
    <w:rsid w:val="00B74E98"/>
    <w:rsid w:val="00B75E0A"/>
    <w:rsid w:val="00B76E62"/>
    <w:rsid w:val="00B800CB"/>
    <w:rsid w:val="00B80BBA"/>
    <w:rsid w:val="00B81092"/>
    <w:rsid w:val="00B81E70"/>
    <w:rsid w:val="00B81F40"/>
    <w:rsid w:val="00B82802"/>
    <w:rsid w:val="00B82A44"/>
    <w:rsid w:val="00B82F9F"/>
    <w:rsid w:val="00B836BC"/>
    <w:rsid w:val="00B83C2A"/>
    <w:rsid w:val="00B83C7A"/>
    <w:rsid w:val="00B84226"/>
    <w:rsid w:val="00B85A9C"/>
    <w:rsid w:val="00B863B5"/>
    <w:rsid w:val="00B86BBF"/>
    <w:rsid w:val="00B90B8F"/>
    <w:rsid w:val="00B90C39"/>
    <w:rsid w:val="00B91143"/>
    <w:rsid w:val="00B92804"/>
    <w:rsid w:val="00B9633A"/>
    <w:rsid w:val="00B9639A"/>
    <w:rsid w:val="00B9706E"/>
    <w:rsid w:val="00B978EC"/>
    <w:rsid w:val="00B97F49"/>
    <w:rsid w:val="00BA03BE"/>
    <w:rsid w:val="00BA0DE4"/>
    <w:rsid w:val="00BA0F74"/>
    <w:rsid w:val="00BA14BD"/>
    <w:rsid w:val="00BA1DD0"/>
    <w:rsid w:val="00BA2D47"/>
    <w:rsid w:val="00BA2FDF"/>
    <w:rsid w:val="00BA5F0E"/>
    <w:rsid w:val="00BA607B"/>
    <w:rsid w:val="00BA6635"/>
    <w:rsid w:val="00BA6D5D"/>
    <w:rsid w:val="00BA6ECF"/>
    <w:rsid w:val="00BA7390"/>
    <w:rsid w:val="00BA78E2"/>
    <w:rsid w:val="00BB03BE"/>
    <w:rsid w:val="00BB0A21"/>
    <w:rsid w:val="00BB13C3"/>
    <w:rsid w:val="00BB269C"/>
    <w:rsid w:val="00BB2936"/>
    <w:rsid w:val="00BB5036"/>
    <w:rsid w:val="00BB52EF"/>
    <w:rsid w:val="00BB6DFE"/>
    <w:rsid w:val="00BB76FD"/>
    <w:rsid w:val="00BB7942"/>
    <w:rsid w:val="00BC0288"/>
    <w:rsid w:val="00BC035C"/>
    <w:rsid w:val="00BC05E9"/>
    <w:rsid w:val="00BC1471"/>
    <w:rsid w:val="00BC1F3A"/>
    <w:rsid w:val="00BC34A2"/>
    <w:rsid w:val="00BC422B"/>
    <w:rsid w:val="00BC49F3"/>
    <w:rsid w:val="00BC4B8B"/>
    <w:rsid w:val="00BC66B3"/>
    <w:rsid w:val="00BC6EEC"/>
    <w:rsid w:val="00BC6FFB"/>
    <w:rsid w:val="00BC7B4F"/>
    <w:rsid w:val="00BC7C75"/>
    <w:rsid w:val="00BD01A2"/>
    <w:rsid w:val="00BD0F29"/>
    <w:rsid w:val="00BD0F84"/>
    <w:rsid w:val="00BD1266"/>
    <w:rsid w:val="00BD1531"/>
    <w:rsid w:val="00BD1618"/>
    <w:rsid w:val="00BD1829"/>
    <w:rsid w:val="00BD2317"/>
    <w:rsid w:val="00BD28BB"/>
    <w:rsid w:val="00BD3333"/>
    <w:rsid w:val="00BD3522"/>
    <w:rsid w:val="00BD43E6"/>
    <w:rsid w:val="00BD46D7"/>
    <w:rsid w:val="00BD49EA"/>
    <w:rsid w:val="00BD50AC"/>
    <w:rsid w:val="00BD7A23"/>
    <w:rsid w:val="00BE0AA1"/>
    <w:rsid w:val="00BE0BF8"/>
    <w:rsid w:val="00BE1A0F"/>
    <w:rsid w:val="00BE1FFE"/>
    <w:rsid w:val="00BE2340"/>
    <w:rsid w:val="00BE40A3"/>
    <w:rsid w:val="00BE4F35"/>
    <w:rsid w:val="00BE59CF"/>
    <w:rsid w:val="00BE656D"/>
    <w:rsid w:val="00BE7DC2"/>
    <w:rsid w:val="00BF2179"/>
    <w:rsid w:val="00BF3096"/>
    <w:rsid w:val="00BF30A7"/>
    <w:rsid w:val="00BF39E3"/>
    <w:rsid w:val="00BF516F"/>
    <w:rsid w:val="00BF5FD1"/>
    <w:rsid w:val="00BF61DF"/>
    <w:rsid w:val="00C00BBD"/>
    <w:rsid w:val="00C00DEA"/>
    <w:rsid w:val="00C00EF4"/>
    <w:rsid w:val="00C01064"/>
    <w:rsid w:val="00C012F9"/>
    <w:rsid w:val="00C014C1"/>
    <w:rsid w:val="00C017C4"/>
    <w:rsid w:val="00C02361"/>
    <w:rsid w:val="00C03410"/>
    <w:rsid w:val="00C037F7"/>
    <w:rsid w:val="00C038D1"/>
    <w:rsid w:val="00C04D66"/>
    <w:rsid w:val="00C04EC3"/>
    <w:rsid w:val="00C05115"/>
    <w:rsid w:val="00C06F7F"/>
    <w:rsid w:val="00C07443"/>
    <w:rsid w:val="00C0799A"/>
    <w:rsid w:val="00C07B3C"/>
    <w:rsid w:val="00C07D3D"/>
    <w:rsid w:val="00C10420"/>
    <w:rsid w:val="00C10686"/>
    <w:rsid w:val="00C10875"/>
    <w:rsid w:val="00C11D0D"/>
    <w:rsid w:val="00C11F2D"/>
    <w:rsid w:val="00C1329C"/>
    <w:rsid w:val="00C13565"/>
    <w:rsid w:val="00C15F0E"/>
    <w:rsid w:val="00C1645F"/>
    <w:rsid w:val="00C16935"/>
    <w:rsid w:val="00C21096"/>
    <w:rsid w:val="00C21FB2"/>
    <w:rsid w:val="00C225CC"/>
    <w:rsid w:val="00C2313A"/>
    <w:rsid w:val="00C247AC"/>
    <w:rsid w:val="00C25083"/>
    <w:rsid w:val="00C2563F"/>
    <w:rsid w:val="00C260D5"/>
    <w:rsid w:val="00C26EC8"/>
    <w:rsid w:val="00C27087"/>
    <w:rsid w:val="00C32DB7"/>
    <w:rsid w:val="00C330D3"/>
    <w:rsid w:val="00C347FE"/>
    <w:rsid w:val="00C34F54"/>
    <w:rsid w:val="00C35935"/>
    <w:rsid w:val="00C372F0"/>
    <w:rsid w:val="00C40417"/>
    <w:rsid w:val="00C41B43"/>
    <w:rsid w:val="00C41D5B"/>
    <w:rsid w:val="00C42209"/>
    <w:rsid w:val="00C4347D"/>
    <w:rsid w:val="00C44105"/>
    <w:rsid w:val="00C44B38"/>
    <w:rsid w:val="00C44C80"/>
    <w:rsid w:val="00C45D05"/>
    <w:rsid w:val="00C46BA5"/>
    <w:rsid w:val="00C471B4"/>
    <w:rsid w:val="00C504F5"/>
    <w:rsid w:val="00C5070B"/>
    <w:rsid w:val="00C509C3"/>
    <w:rsid w:val="00C519C8"/>
    <w:rsid w:val="00C54D3B"/>
    <w:rsid w:val="00C55377"/>
    <w:rsid w:val="00C569A6"/>
    <w:rsid w:val="00C60E23"/>
    <w:rsid w:val="00C61D1E"/>
    <w:rsid w:val="00C62680"/>
    <w:rsid w:val="00C63146"/>
    <w:rsid w:val="00C63521"/>
    <w:rsid w:val="00C64555"/>
    <w:rsid w:val="00C64651"/>
    <w:rsid w:val="00C65018"/>
    <w:rsid w:val="00C657DF"/>
    <w:rsid w:val="00C65B21"/>
    <w:rsid w:val="00C66AE1"/>
    <w:rsid w:val="00C677D5"/>
    <w:rsid w:val="00C6784E"/>
    <w:rsid w:val="00C67EEE"/>
    <w:rsid w:val="00C707A0"/>
    <w:rsid w:val="00C70EAE"/>
    <w:rsid w:val="00C728D3"/>
    <w:rsid w:val="00C73A7E"/>
    <w:rsid w:val="00C73E20"/>
    <w:rsid w:val="00C7563A"/>
    <w:rsid w:val="00C757FA"/>
    <w:rsid w:val="00C765EA"/>
    <w:rsid w:val="00C76D40"/>
    <w:rsid w:val="00C76F68"/>
    <w:rsid w:val="00C8089C"/>
    <w:rsid w:val="00C80D8E"/>
    <w:rsid w:val="00C81953"/>
    <w:rsid w:val="00C82F0D"/>
    <w:rsid w:val="00C83B65"/>
    <w:rsid w:val="00C83C05"/>
    <w:rsid w:val="00C83E6F"/>
    <w:rsid w:val="00C84092"/>
    <w:rsid w:val="00C84437"/>
    <w:rsid w:val="00C8461F"/>
    <w:rsid w:val="00C84A34"/>
    <w:rsid w:val="00C8566D"/>
    <w:rsid w:val="00C867B9"/>
    <w:rsid w:val="00C87A49"/>
    <w:rsid w:val="00C907D1"/>
    <w:rsid w:val="00C90B68"/>
    <w:rsid w:val="00C92C6E"/>
    <w:rsid w:val="00C93BDF"/>
    <w:rsid w:val="00C94080"/>
    <w:rsid w:val="00C94365"/>
    <w:rsid w:val="00C947E7"/>
    <w:rsid w:val="00C947F7"/>
    <w:rsid w:val="00C94A98"/>
    <w:rsid w:val="00C9510B"/>
    <w:rsid w:val="00C95439"/>
    <w:rsid w:val="00C959E5"/>
    <w:rsid w:val="00C95B41"/>
    <w:rsid w:val="00C95F4F"/>
    <w:rsid w:val="00C960F3"/>
    <w:rsid w:val="00C968D0"/>
    <w:rsid w:val="00C96C2B"/>
    <w:rsid w:val="00C96E33"/>
    <w:rsid w:val="00CA22CF"/>
    <w:rsid w:val="00CA2306"/>
    <w:rsid w:val="00CA3615"/>
    <w:rsid w:val="00CA4733"/>
    <w:rsid w:val="00CA6B58"/>
    <w:rsid w:val="00CB0C7E"/>
    <w:rsid w:val="00CB0DF2"/>
    <w:rsid w:val="00CB0F07"/>
    <w:rsid w:val="00CB1E5D"/>
    <w:rsid w:val="00CB28F7"/>
    <w:rsid w:val="00CB313A"/>
    <w:rsid w:val="00CB3278"/>
    <w:rsid w:val="00CB3854"/>
    <w:rsid w:val="00CB3C81"/>
    <w:rsid w:val="00CB3D0A"/>
    <w:rsid w:val="00CB3D32"/>
    <w:rsid w:val="00CB439D"/>
    <w:rsid w:val="00CB4D57"/>
    <w:rsid w:val="00CB5D09"/>
    <w:rsid w:val="00CB7263"/>
    <w:rsid w:val="00CB7294"/>
    <w:rsid w:val="00CC09FE"/>
    <w:rsid w:val="00CC0B3D"/>
    <w:rsid w:val="00CC2ECF"/>
    <w:rsid w:val="00CC32E9"/>
    <w:rsid w:val="00CC3FD2"/>
    <w:rsid w:val="00CC4F77"/>
    <w:rsid w:val="00CC5EC1"/>
    <w:rsid w:val="00CC60A5"/>
    <w:rsid w:val="00CC6976"/>
    <w:rsid w:val="00CC6F18"/>
    <w:rsid w:val="00CC711C"/>
    <w:rsid w:val="00CC766D"/>
    <w:rsid w:val="00CD059D"/>
    <w:rsid w:val="00CD0B71"/>
    <w:rsid w:val="00CD226B"/>
    <w:rsid w:val="00CD23EB"/>
    <w:rsid w:val="00CD3DF4"/>
    <w:rsid w:val="00CD4182"/>
    <w:rsid w:val="00CD4297"/>
    <w:rsid w:val="00CD50B5"/>
    <w:rsid w:val="00CD5371"/>
    <w:rsid w:val="00CD665A"/>
    <w:rsid w:val="00CD73A9"/>
    <w:rsid w:val="00CD75B9"/>
    <w:rsid w:val="00CD75CD"/>
    <w:rsid w:val="00CD7A7B"/>
    <w:rsid w:val="00CE0A95"/>
    <w:rsid w:val="00CE17B6"/>
    <w:rsid w:val="00CE1A94"/>
    <w:rsid w:val="00CE1EE3"/>
    <w:rsid w:val="00CE428D"/>
    <w:rsid w:val="00CE4608"/>
    <w:rsid w:val="00CE48EB"/>
    <w:rsid w:val="00CE4CBA"/>
    <w:rsid w:val="00CE4D1A"/>
    <w:rsid w:val="00CE5A5E"/>
    <w:rsid w:val="00CE6B17"/>
    <w:rsid w:val="00CE757E"/>
    <w:rsid w:val="00CF252E"/>
    <w:rsid w:val="00CF3795"/>
    <w:rsid w:val="00CF3ED9"/>
    <w:rsid w:val="00CF4712"/>
    <w:rsid w:val="00CF4CA1"/>
    <w:rsid w:val="00CF774E"/>
    <w:rsid w:val="00D01519"/>
    <w:rsid w:val="00D02F82"/>
    <w:rsid w:val="00D04CD7"/>
    <w:rsid w:val="00D06126"/>
    <w:rsid w:val="00D06699"/>
    <w:rsid w:val="00D066CB"/>
    <w:rsid w:val="00D067C3"/>
    <w:rsid w:val="00D06F12"/>
    <w:rsid w:val="00D0727D"/>
    <w:rsid w:val="00D125E3"/>
    <w:rsid w:val="00D14055"/>
    <w:rsid w:val="00D140D5"/>
    <w:rsid w:val="00D14267"/>
    <w:rsid w:val="00D14F54"/>
    <w:rsid w:val="00D16736"/>
    <w:rsid w:val="00D17384"/>
    <w:rsid w:val="00D17788"/>
    <w:rsid w:val="00D20ADE"/>
    <w:rsid w:val="00D217B9"/>
    <w:rsid w:val="00D21EF3"/>
    <w:rsid w:val="00D2229C"/>
    <w:rsid w:val="00D231A1"/>
    <w:rsid w:val="00D23627"/>
    <w:rsid w:val="00D25916"/>
    <w:rsid w:val="00D25A84"/>
    <w:rsid w:val="00D26659"/>
    <w:rsid w:val="00D267BC"/>
    <w:rsid w:val="00D26AE8"/>
    <w:rsid w:val="00D27790"/>
    <w:rsid w:val="00D27AE4"/>
    <w:rsid w:val="00D315B9"/>
    <w:rsid w:val="00D331D3"/>
    <w:rsid w:val="00D33601"/>
    <w:rsid w:val="00D337DF"/>
    <w:rsid w:val="00D338FA"/>
    <w:rsid w:val="00D33DAF"/>
    <w:rsid w:val="00D340F4"/>
    <w:rsid w:val="00D341DC"/>
    <w:rsid w:val="00D358CA"/>
    <w:rsid w:val="00D35FAC"/>
    <w:rsid w:val="00D36076"/>
    <w:rsid w:val="00D4086E"/>
    <w:rsid w:val="00D408FC"/>
    <w:rsid w:val="00D40C79"/>
    <w:rsid w:val="00D41353"/>
    <w:rsid w:val="00D41ADC"/>
    <w:rsid w:val="00D42D00"/>
    <w:rsid w:val="00D434DB"/>
    <w:rsid w:val="00D4414B"/>
    <w:rsid w:val="00D44C57"/>
    <w:rsid w:val="00D44E8A"/>
    <w:rsid w:val="00D46235"/>
    <w:rsid w:val="00D46790"/>
    <w:rsid w:val="00D46F29"/>
    <w:rsid w:val="00D478C9"/>
    <w:rsid w:val="00D47E0D"/>
    <w:rsid w:val="00D505EE"/>
    <w:rsid w:val="00D52466"/>
    <w:rsid w:val="00D52DFC"/>
    <w:rsid w:val="00D53990"/>
    <w:rsid w:val="00D54ECB"/>
    <w:rsid w:val="00D55250"/>
    <w:rsid w:val="00D55EAB"/>
    <w:rsid w:val="00D5617C"/>
    <w:rsid w:val="00D56B66"/>
    <w:rsid w:val="00D57E8C"/>
    <w:rsid w:val="00D60067"/>
    <w:rsid w:val="00D60078"/>
    <w:rsid w:val="00D60581"/>
    <w:rsid w:val="00D62420"/>
    <w:rsid w:val="00D63A7E"/>
    <w:rsid w:val="00D64E23"/>
    <w:rsid w:val="00D6661F"/>
    <w:rsid w:val="00D66F71"/>
    <w:rsid w:val="00D7048A"/>
    <w:rsid w:val="00D71446"/>
    <w:rsid w:val="00D71A1F"/>
    <w:rsid w:val="00D726EF"/>
    <w:rsid w:val="00D72B21"/>
    <w:rsid w:val="00D72C3D"/>
    <w:rsid w:val="00D73891"/>
    <w:rsid w:val="00D74A1B"/>
    <w:rsid w:val="00D74DE8"/>
    <w:rsid w:val="00D75CAE"/>
    <w:rsid w:val="00D76834"/>
    <w:rsid w:val="00D76BE5"/>
    <w:rsid w:val="00D76F73"/>
    <w:rsid w:val="00D774B7"/>
    <w:rsid w:val="00D77ADA"/>
    <w:rsid w:val="00D77CBA"/>
    <w:rsid w:val="00D8001B"/>
    <w:rsid w:val="00D81662"/>
    <w:rsid w:val="00D8172C"/>
    <w:rsid w:val="00D81B30"/>
    <w:rsid w:val="00D824D4"/>
    <w:rsid w:val="00D83F8E"/>
    <w:rsid w:val="00D84349"/>
    <w:rsid w:val="00D8462D"/>
    <w:rsid w:val="00D84C3E"/>
    <w:rsid w:val="00D85645"/>
    <w:rsid w:val="00D85D76"/>
    <w:rsid w:val="00D85F7C"/>
    <w:rsid w:val="00D87868"/>
    <w:rsid w:val="00D90D30"/>
    <w:rsid w:val="00D91190"/>
    <w:rsid w:val="00D91C27"/>
    <w:rsid w:val="00D921EF"/>
    <w:rsid w:val="00D9394D"/>
    <w:rsid w:val="00D9436C"/>
    <w:rsid w:val="00D94BEC"/>
    <w:rsid w:val="00D95A69"/>
    <w:rsid w:val="00D95D46"/>
    <w:rsid w:val="00D97777"/>
    <w:rsid w:val="00DA1166"/>
    <w:rsid w:val="00DA1236"/>
    <w:rsid w:val="00DA1644"/>
    <w:rsid w:val="00DA18AA"/>
    <w:rsid w:val="00DA38AE"/>
    <w:rsid w:val="00DA39D6"/>
    <w:rsid w:val="00DA3D1A"/>
    <w:rsid w:val="00DA4A35"/>
    <w:rsid w:val="00DA5E3A"/>
    <w:rsid w:val="00DB0212"/>
    <w:rsid w:val="00DB1C9C"/>
    <w:rsid w:val="00DB1D1E"/>
    <w:rsid w:val="00DB3E5A"/>
    <w:rsid w:val="00DB3E63"/>
    <w:rsid w:val="00DB42B1"/>
    <w:rsid w:val="00DB4342"/>
    <w:rsid w:val="00DB4558"/>
    <w:rsid w:val="00DB482B"/>
    <w:rsid w:val="00DB6E2A"/>
    <w:rsid w:val="00DB70E8"/>
    <w:rsid w:val="00DC061A"/>
    <w:rsid w:val="00DC15BA"/>
    <w:rsid w:val="00DC1739"/>
    <w:rsid w:val="00DC2375"/>
    <w:rsid w:val="00DC2D93"/>
    <w:rsid w:val="00DC31FD"/>
    <w:rsid w:val="00DC4E85"/>
    <w:rsid w:val="00DC565C"/>
    <w:rsid w:val="00DC5925"/>
    <w:rsid w:val="00DC60FA"/>
    <w:rsid w:val="00DC7B6D"/>
    <w:rsid w:val="00DC7F8E"/>
    <w:rsid w:val="00DD07F3"/>
    <w:rsid w:val="00DD14B0"/>
    <w:rsid w:val="00DD15B0"/>
    <w:rsid w:val="00DD16BA"/>
    <w:rsid w:val="00DD2034"/>
    <w:rsid w:val="00DD244F"/>
    <w:rsid w:val="00DD3156"/>
    <w:rsid w:val="00DD3658"/>
    <w:rsid w:val="00DD3825"/>
    <w:rsid w:val="00DD3A50"/>
    <w:rsid w:val="00DD4EE1"/>
    <w:rsid w:val="00DD565F"/>
    <w:rsid w:val="00DD56B5"/>
    <w:rsid w:val="00DD5D20"/>
    <w:rsid w:val="00DD7789"/>
    <w:rsid w:val="00DE0211"/>
    <w:rsid w:val="00DE128A"/>
    <w:rsid w:val="00DE12A0"/>
    <w:rsid w:val="00DE23AF"/>
    <w:rsid w:val="00DE35FF"/>
    <w:rsid w:val="00DE55CF"/>
    <w:rsid w:val="00DE6588"/>
    <w:rsid w:val="00DE731D"/>
    <w:rsid w:val="00DE7CEA"/>
    <w:rsid w:val="00DF06C5"/>
    <w:rsid w:val="00DF0BE1"/>
    <w:rsid w:val="00DF21AC"/>
    <w:rsid w:val="00DF2367"/>
    <w:rsid w:val="00DF2BD7"/>
    <w:rsid w:val="00DF2CA5"/>
    <w:rsid w:val="00DF3CCB"/>
    <w:rsid w:val="00DF4B06"/>
    <w:rsid w:val="00DF4B20"/>
    <w:rsid w:val="00DF502E"/>
    <w:rsid w:val="00DF5CA2"/>
    <w:rsid w:val="00DF5D56"/>
    <w:rsid w:val="00DF5EB8"/>
    <w:rsid w:val="00DF6016"/>
    <w:rsid w:val="00DF62E7"/>
    <w:rsid w:val="00DF6B1D"/>
    <w:rsid w:val="00E00239"/>
    <w:rsid w:val="00E01AF9"/>
    <w:rsid w:val="00E01D21"/>
    <w:rsid w:val="00E026D6"/>
    <w:rsid w:val="00E02DBE"/>
    <w:rsid w:val="00E04386"/>
    <w:rsid w:val="00E04527"/>
    <w:rsid w:val="00E0472C"/>
    <w:rsid w:val="00E0486A"/>
    <w:rsid w:val="00E04888"/>
    <w:rsid w:val="00E05BC6"/>
    <w:rsid w:val="00E05CB5"/>
    <w:rsid w:val="00E06309"/>
    <w:rsid w:val="00E100F3"/>
    <w:rsid w:val="00E10C88"/>
    <w:rsid w:val="00E10FD7"/>
    <w:rsid w:val="00E115C5"/>
    <w:rsid w:val="00E11DD9"/>
    <w:rsid w:val="00E1221A"/>
    <w:rsid w:val="00E1223C"/>
    <w:rsid w:val="00E12C8A"/>
    <w:rsid w:val="00E13B75"/>
    <w:rsid w:val="00E13D16"/>
    <w:rsid w:val="00E14087"/>
    <w:rsid w:val="00E14598"/>
    <w:rsid w:val="00E14710"/>
    <w:rsid w:val="00E159B8"/>
    <w:rsid w:val="00E17018"/>
    <w:rsid w:val="00E17598"/>
    <w:rsid w:val="00E178A9"/>
    <w:rsid w:val="00E17C2B"/>
    <w:rsid w:val="00E205B0"/>
    <w:rsid w:val="00E20A4A"/>
    <w:rsid w:val="00E21039"/>
    <w:rsid w:val="00E21662"/>
    <w:rsid w:val="00E21849"/>
    <w:rsid w:val="00E21C9F"/>
    <w:rsid w:val="00E225F3"/>
    <w:rsid w:val="00E226E2"/>
    <w:rsid w:val="00E24530"/>
    <w:rsid w:val="00E2553B"/>
    <w:rsid w:val="00E2579B"/>
    <w:rsid w:val="00E25B24"/>
    <w:rsid w:val="00E26AFF"/>
    <w:rsid w:val="00E316F1"/>
    <w:rsid w:val="00E322D9"/>
    <w:rsid w:val="00E328F9"/>
    <w:rsid w:val="00E331B7"/>
    <w:rsid w:val="00E357A7"/>
    <w:rsid w:val="00E36720"/>
    <w:rsid w:val="00E37088"/>
    <w:rsid w:val="00E379D3"/>
    <w:rsid w:val="00E40423"/>
    <w:rsid w:val="00E40FF9"/>
    <w:rsid w:val="00E41D06"/>
    <w:rsid w:val="00E41F11"/>
    <w:rsid w:val="00E42269"/>
    <w:rsid w:val="00E437A7"/>
    <w:rsid w:val="00E440D7"/>
    <w:rsid w:val="00E45F1A"/>
    <w:rsid w:val="00E46118"/>
    <w:rsid w:val="00E46AA0"/>
    <w:rsid w:val="00E4721D"/>
    <w:rsid w:val="00E47708"/>
    <w:rsid w:val="00E50F7C"/>
    <w:rsid w:val="00E514E6"/>
    <w:rsid w:val="00E51E6F"/>
    <w:rsid w:val="00E528F7"/>
    <w:rsid w:val="00E53BDA"/>
    <w:rsid w:val="00E54CC2"/>
    <w:rsid w:val="00E54E9E"/>
    <w:rsid w:val="00E54FCB"/>
    <w:rsid w:val="00E5608F"/>
    <w:rsid w:val="00E56A4A"/>
    <w:rsid w:val="00E56E29"/>
    <w:rsid w:val="00E578E8"/>
    <w:rsid w:val="00E57BE4"/>
    <w:rsid w:val="00E603A9"/>
    <w:rsid w:val="00E603D9"/>
    <w:rsid w:val="00E60517"/>
    <w:rsid w:val="00E6077A"/>
    <w:rsid w:val="00E6275E"/>
    <w:rsid w:val="00E62AD0"/>
    <w:rsid w:val="00E62D3C"/>
    <w:rsid w:val="00E6370F"/>
    <w:rsid w:val="00E63A60"/>
    <w:rsid w:val="00E640C4"/>
    <w:rsid w:val="00E64C28"/>
    <w:rsid w:val="00E65077"/>
    <w:rsid w:val="00E65480"/>
    <w:rsid w:val="00E6593E"/>
    <w:rsid w:val="00E6668C"/>
    <w:rsid w:val="00E66E0C"/>
    <w:rsid w:val="00E67021"/>
    <w:rsid w:val="00E676AF"/>
    <w:rsid w:val="00E67CAB"/>
    <w:rsid w:val="00E700FE"/>
    <w:rsid w:val="00E702C5"/>
    <w:rsid w:val="00E70AC4"/>
    <w:rsid w:val="00E70C7F"/>
    <w:rsid w:val="00E71602"/>
    <w:rsid w:val="00E7235A"/>
    <w:rsid w:val="00E743C6"/>
    <w:rsid w:val="00E74940"/>
    <w:rsid w:val="00E74D47"/>
    <w:rsid w:val="00E75718"/>
    <w:rsid w:val="00E75BBF"/>
    <w:rsid w:val="00E772D1"/>
    <w:rsid w:val="00E80490"/>
    <w:rsid w:val="00E80813"/>
    <w:rsid w:val="00E81B5D"/>
    <w:rsid w:val="00E81CFB"/>
    <w:rsid w:val="00E81D8F"/>
    <w:rsid w:val="00E82DCF"/>
    <w:rsid w:val="00E835ED"/>
    <w:rsid w:val="00E83DA2"/>
    <w:rsid w:val="00E865E6"/>
    <w:rsid w:val="00E87D74"/>
    <w:rsid w:val="00E9077B"/>
    <w:rsid w:val="00E9093B"/>
    <w:rsid w:val="00E90C4B"/>
    <w:rsid w:val="00E913CB"/>
    <w:rsid w:val="00E93195"/>
    <w:rsid w:val="00E93197"/>
    <w:rsid w:val="00E9339F"/>
    <w:rsid w:val="00E947AF"/>
    <w:rsid w:val="00E94F5A"/>
    <w:rsid w:val="00E95D6A"/>
    <w:rsid w:val="00E96817"/>
    <w:rsid w:val="00E97A94"/>
    <w:rsid w:val="00E97FF7"/>
    <w:rsid w:val="00EA0DF5"/>
    <w:rsid w:val="00EA28A4"/>
    <w:rsid w:val="00EA2E2C"/>
    <w:rsid w:val="00EA4448"/>
    <w:rsid w:val="00EA4E85"/>
    <w:rsid w:val="00EA5199"/>
    <w:rsid w:val="00EA5FCA"/>
    <w:rsid w:val="00EA63DE"/>
    <w:rsid w:val="00EA692E"/>
    <w:rsid w:val="00EA6C5C"/>
    <w:rsid w:val="00EA7CE6"/>
    <w:rsid w:val="00EB00CA"/>
    <w:rsid w:val="00EB0C9B"/>
    <w:rsid w:val="00EB11BB"/>
    <w:rsid w:val="00EB1E55"/>
    <w:rsid w:val="00EB1E8F"/>
    <w:rsid w:val="00EB36F8"/>
    <w:rsid w:val="00EB3FF5"/>
    <w:rsid w:val="00EB54AA"/>
    <w:rsid w:val="00EB6099"/>
    <w:rsid w:val="00EB6485"/>
    <w:rsid w:val="00EB73FD"/>
    <w:rsid w:val="00EB778E"/>
    <w:rsid w:val="00EB78FA"/>
    <w:rsid w:val="00EC0CEA"/>
    <w:rsid w:val="00EC2C9A"/>
    <w:rsid w:val="00EC4695"/>
    <w:rsid w:val="00EC4756"/>
    <w:rsid w:val="00EC55C9"/>
    <w:rsid w:val="00EC5E95"/>
    <w:rsid w:val="00EC72D4"/>
    <w:rsid w:val="00ED0A79"/>
    <w:rsid w:val="00ED2839"/>
    <w:rsid w:val="00ED42C7"/>
    <w:rsid w:val="00ED4BD3"/>
    <w:rsid w:val="00ED650D"/>
    <w:rsid w:val="00ED718A"/>
    <w:rsid w:val="00ED7A05"/>
    <w:rsid w:val="00ED7BEC"/>
    <w:rsid w:val="00EE0740"/>
    <w:rsid w:val="00EE1934"/>
    <w:rsid w:val="00EE270B"/>
    <w:rsid w:val="00EE2DAF"/>
    <w:rsid w:val="00EE334C"/>
    <w:rsid w:val="00EE39E0"/>
    <w:rsid w:val="00EE5435"/>
    <w:rsid w:val="00EE5B48"/>
    <w:rsid w:val="00EE5E33"/>
    <w:rsid w:val="00EE6BA1"/>
    <w:rsid w:val="00EE6ECB"/>
    <w:rsid w:val="00EE718D"/>
    <w:rsid w:val="00EF1C1F"/>
    <w:rsid w:val="00EF301C"/>
    <w:rsid w:val="00EF423F"/>
    <w:rsid w:val="00EF61F9"/>
    <w:rsid w:val="00EF6D25"/>
    <w:rsid w:val="00EF785E"/>
    <w:rsid w:val="00EF7CAF"/>
    <w:rsid w:val="00F004B0"/>
    <w:rsid w:val="00F00D74"/>
    <w:rsid w:val="00F017E0"/>
    <w:rsid w:val="00F02153"/>
    <w:rsid w:val="00F03815"/>
    <w:rsid w:val="00F04FA1"/>
    <w:rsid w:val="00F0540B"/>
    <w:rsid w:val="00F0574D"/>
    <w:rsid w:val="00F05B0B"/>
    <w:rsid w:val="00F10DC7"/>
    <w:rsid w:val="00F11650"/>
    <w:rsid w:val="00F11966"/>
    <w:rsid w:val="00F12316"/>
    <w:rsid w:val="00F132B1"/>
    <w:rsid w:val="00F13710"/>
    <w:rsid w:val="00F145A4"/>
    <w:rsid w:val="00F14825"/>
    <w:rsid w:val="00F154D9"/>
    <w:rsid w:val="00F15675"/>
    <w:rsid w:val="00F15E5B"/>
    <w:rsid w:val="00F161A2"/>
    <w:rsid w:val="00F16D3C"/>
    <w:rsid w:val="00F174E0"/>
    <w:rsid w:val="00F1786B"/>
    <w:rsid w:val="00F21250"/>
    <w:rsid w:val="00F2125B"/>
    <w:rsid w:val="00F21798"/>
    <w:rsid w:val="00F224AA"/>
    <w:rsid w:val="00F22581"/>
    <w:rsid w:val="00F229CB"/>
    <w:rsid w:val="00F22D0C"/>
    <w:rsid w:val="00F2398D"/>
    <w:rsid w:val="00F23B3D"/>
    <w:rsid w:val="00F23D64"/>
    <w:rsid w:val="00F23E9C"/>
    <w:rsid w:val="00F26709"/>
    <w:rsid w:val="00F2693D"/>
    <w:rsid w:val="00F26B4B"/>
    <w:rsid w:val="00F272CF"/>
    <w:rsid w:val="00F276A8"/>
    <w:rsid w:val="00F3057B"/>
    <w:rsid w:val="00F3148E"/>
    <w:rsid w:val="00F35987"/>
    <w:rsid w:val="00F35CD9"/>
    <w:rsid w:val="00F3710C"/>
    <w:rsid w:val="00F3793E"/>
    <w:rsid w:val="00F408CE"/>
    <w:rsid w:val="00F40B40"/>
    <w:rsid w:val="00F41788"/>
    <w:rsid w:val="00F4248A"/>
    <w:rsid w:val="00F429A5"/>
    <w:rsid w:val="00F430A2"/>
    <w:rsid w:val="00F430C8"/>
    <w:rsid w:val="00F43D16"/>
    <w:rsid w:val="00F444A1"/>
    <w:rsid w:val="00F45AAF"/>
    <w:rsid w:val="00F45B3B"/>
    <w:rsid w:val="00F46EFB"/>
    <w:rsid w:val="00F47109"/>
    <w:rsid w:val="00F47166"/>
    <w:rsid w:val="00F4721C"/>
    <w:rsid w:val="00F519CD"/>
    <w:rsid w:val="00F5235B"/>
    <w:rsid w:val="00F5296B"/>
    <w:rsid w:val="00F52DE8"/>
    <w:rsid w:val="00F559F7"/>
    <w:rsid w:val="00F55C62"/>
    <w:rsid w:val="00F55C9D"/>
    <w:rsid w:val="00F55E5E"/>
    <w:rsid w:val="00F55F65"/>
    <w:rsid w:val="00F60A26"/>
    <w:rsid w:val="00F63251"/>
    <w:rsid w:val="00F634A3"/>
    <w:rsid w:val="00F64361"/>
    <w:rsid w:val="00F6582A"/>
    <w:rsid w:val="00F667F6"/>
    <w:rsid w:val="00F66E7E"/>
    <w:rsid w:val="00F67204"/>
    <w:rsid w:val="00F709E3"/>
    <w:rsid w:val="00F710F9"/>
    <w:rsid w:val="00F72E17"/>
    <w:rsid w:val="00F7421F"/>
    <w:rsid w:val="00F75954"/>
    <w:rsid w:val="00F76FDB"/>
    <w:rsid w:val="00F774FE"/>
    <w:rsid w:val="00F8061A"/>
    <w:rsid w:val="00F80630"/>
    <w:rsid w:val="00F82044"/>
    <w:rsid w:val="00F83173"/>
    <w:rsid w:val="00F8321A"/>
    <w:rsid w:val="00F8481D"/>
    <w:rsid w:val="00F84B02"/>
    <w:rsid w:val="00F84EC6"/>
    <w:rsid w:val="00F85155"/>
    <w:rsid w:val="00F86736"/>
    <w:rsid w:val="00F87D29"/>
    <w:rsid w:val="00F87F40"/>
    <w:rsid w:val="00F904E5"/>
    <w:rsid w:val="00F9154C"/>
    <w:rsid w:val="00F920F6"/>
    <w:rsid w:val="00F9285E"/>
    <w:rsid w:val="00F936DF"/>
    <w:rsid w:val="00F9641B"/>
    <w:rsid w:val="00F96C76"/>
    <w:rsid w:val="00F974C2"/>
    <w:rsid w:val="00F97C27"/>
    <w:rsid w:val="00FA0AE4"/>
    <w:rsid w:val="00FA0B25"/>
    <w:rsid w:val="00FA19A8"/>
    <w:rsid w:val="00FA1AFB"/>
    <w:rsid w:val="00FA3205"/>
    <w:rsid w:val="00FA35EE"/>
    <w:rsid w:val="00FA39F9"/>
    <w:rsid w:val="00FA3BD8"/>
    <w:rsid w:val="00FA3FD4"/>
    <w:rsid w:val="00FA43CB"/>
    <w:rsid w:val="00FA565B"/>
    <w:rsid w:val="00FB1197"/>
    <w:rsid w:val="00FB2522"/>
    <w:rsid w:val="00FB27F9"/>
    <w:rsid w:val="00FB2A16"/>
    <w:rsid w:val="00FB2DA9"/>
    <w:rsid w:val="00FB357E"/>
    <w:rsid w:val="00FB457C"/>
    <w:rsid w:val="00FB4DBA"/>
    <w:rsid w:val="00FB5270"/>
    <w:rsid w:val="00FB56B4"/>
    <w:rsid w:val="00FB6301"/>
    <w:rsid w:val="00FB667E"/>
    <w:rsid w:val="00FB7595"/>
    <w:rsid w:val="00FC00ED"/>
    <w:rsid w:val="00FC1444"/>
    <w:rsid w:val="00FC23B7"/>
    <w:rsid w:val="00FC2C3E"/>
    <w:rsid w:val="00FC3928"/>
    <w:rsid w:val="00FC53F9"/>
    <w:rsid w:val="00FC5F9D"/>
    <w:rsid w:val="00FC65BE"/>
    <w:rsid w:val="00FC6DE9"/>
    <w:rsid w:val="00FC6F6D"/>
    <w:rsid w:val="00FC7DA8"/>
    <w:rsid w:val="00FD0064"/>
    <w:rsid w:val="00FD05BA"/>
    <w:rsid w:val="00FD07E4"/>
    <w:rsid w:val="00FD0D78"/>
    <w:rsid w:val="00FD13F8"/>
    <w:rsid w:val="00FD13FE"/>
    <w:rsid w:val="00FD2C8F"/>
    <w:rsid w:val="00FD321C"/>
    <w:rsid w:val="00FD3368"/>
    <w:rsid w:val="00FD3CEA"/>
    <w:rsid w:val="00FD411D"/>
    <w:rsid w:val="00FD42B2"/>
    <w:rsid w:val="00FD45DA"/>
    <w:rsid w:val="00FD4EE7"/>
    <w:rsid w:val="00FD6F87"/>
    <w:rsid w:val="00FE06FB"/>
    <w:rsid w:val="00FE0EE6"/>
    <w:rsid w:val="00FE25ED"/>
    <w:rsid w:val="00FE30D1"/>
    <w:rsid w:val="00FE3512"/>
    <w:rsid w:val="00FE37D0"/>
    <w:rsid w:val="00FE39F7"/>
    <w:rsid w:val="00FE3F82"/>
    <w:rsid w:val="00FE552D"/>
    <w:rsid w:val="00FE588D"/>
    <w:rsid w:val="00FE5B5E"/>
    <w:rsid w:val="00FE6038"/>
    <w:rsid w:val="00FE609D"/>
    <w:rsid w:val="00FE74E8"/>
    <w:rsid w:val="00FE7EB8"/>
    <w:rsid w:val="00FF14CF"/>
    <w:rsid w:val="00FF1770"/>
    <w:rsid w:val="00FF195C"/>
    <w:rsid w:val="00FF1ABC"/>
    <w:rsid w:val="00FF1FC0"/>
    <w:rsid w:val="00FF2654"/>
    <w:rsid w:val="00FF2BE1"/>
    <w:rsid w:val="00FF2CE7"/>
    <w:rsid w:val="00FF4FC0"/>
    <w:rsid w:val="00FF55F7"/>
    <w:rsid w:val="00FF66AA"/>
  </w:rsids>
  <m:mathPr>
    <m:mathFont m:val="Cambria Math"/>
    <m:brkBin m:val="before"/>
    <m:brkBinSub m:val="--"/>
    <m:smallFrac m:val="off"/>
    <m:dispDef/>
    <m:lMargin m:val="720"/>
    <m:rMargin m:val="0"/>
    <m:defJc m:val="center"/>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66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5E4C89"/>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612F41"/>
    <w:pPr>
      <w:keepNext/>
      <w:spacing w:line="480" w:lineRule="auto"/>
      <w:outlineLvl w:val="1"/>
    </w:pPr>
    <w:rPr>
      <w:rFonts w:cs="Arial"/>
      <w:b/>
      <w:bCs/>
      <w:iCs/>
      <w:szCs w:val="28"/>
    </w:rPr>
  </w:style>
  <w:style w:type="paragraph" w:styleId="Heading3">
    <w:name w:val="heading 3"/>
    <w:basedOn w:val="TOC3"/>
    <w:next w:val="Normal"/>
    <w:autoRedefine/>
    <w:qFormat/>
    <w:rsid w:val="00456B77"/>
    <w:pPr>
      <w:tabs>
        <w:tab w:val="right" w:leader="dot" w:pos="8630"/>
      </w:tabs>
      <w:outlineLvl w:val="2"/>
    </w:pPr>
    <w:rPr>
      <w:b/>
      <w:noProof/>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16935"/>
    <w:pPr>
      <w:tabs>
        <w:tab w:val="center" w:pos="4320"/>
        <w:tab w:val="right" w:pos="8640"/>
      </w:tabs>
    </w:pPr>
  </w:style>
  <w:style w:type="paragraph" w:styleId="Header">
    <w:name w:val="header"/>
    <w:basedOn w:val="Normal"/>
    <w:rsid w:val="00C16935"/>
    <w:pPr>
      <w:tabs>
        <w:tab w:val="center" w:pos="4320"/>
        <w:tab w:val="right" w:pos="8640"/>
      </w:tabs>
    </w:pPr>
  </w:style>
  <w:style w:type="paragraph" w:customStyle="1" w:styleId="Level1">
    <w:name w:val="Level 1"/>
    <w:rsid w:val="00C16935"/>
    <w:pPr>
      <w:autoSpaceDE w:val="0"/>
      <w:autoSpaceDN w:val="0"/>
      <w:adjustRightInd w:val="0"/>
      <w:ind w:left="720"/>
    </w:pPr>
    <w:rPr>
      <w:sz w:val="24"/>
      <w:szCs w:val="24"/>
    </w:rPr>
  </w:style>
  <w:style w:type="character" w:customStyle="1" w:styleId="SYSHYPERTEXT">
    <w:name w:val="SYS_HYPERTEXT"/>
    <w:rsid w:val="00C16935"/>
    <w:rPr>
      <w:noProof/>
      <w:color w:val="0000FF"/>
      <w:u w:val="single"/>
    </w:rPr>
  </w:style>
  <w:style w:type="character" w:customStyle="1" w:styleId="QuickFormat2">
    <w:name w:val="QuickFormat2"/>
    <w:rsid w:val="00C16935"/>
    <w:rPr>
      <w:rFonts w:ascii="Arial" w:hAnsi="Arial" w:cs="Arial"/>
    </w:rPr>
  </w:style>
  <w:style w:type="character" w:customStyle="1" w:styleId="QuickFormat3">
    <w:name w:val="QuickFormat3"/>
    <w:rsid w:val="00C16935"/>
    <w:rPr>
      <w:rFonts w:ascii="Arial" w:hAnsi="Arial" w:cs="Arial"/>
      <w:b/>
      <w:bCs/>
      <w:i/>
      <w:iCs/>
    </w:rPr>
  </w:style>
  <w:style w:type="paragraph" w:styleId="Title">
    <w:name w:val="Title"/>
    <w:basedOn w:val="Normal"/>
    <w:qFormat/>
    <w:rsid w:val="00C16935"/>
    <w:pPr>
      <w:autoSpaceDE w:val="0"/>
      <w:autoSpaceDN w:val="0"/>
      <w:adjustRightInd w:val="0"/>
      <w:jc w:val="center"/>
    </w:pPr>
    <w:rPr>
      <w:sz w:val="28"/>
      <w:szCs w:val="28"/>
    </w:rPr>
  </w:style>
  <w:style w:type="paragraph" w:styleId="BodyText">
    <w:name w:val="Body Text"/>
    <w:basedOn w:val="Normal"/>
    <w:link w:val="BodyTextChar"/>
    <w:rsid w:val="00C16935"/>
    <w:pPr>
      <w:autoSpaceDE w:val="0"/>
      <w:autoSpaceDN w:val="0"/>
      <w:adjustRightInd w:val="0"/>
    </w:pPr>
    <w:rPr>
      <w:sz w:val="22"/>
      <w:szCs w:val="22"/>
    </w:rPr>
  </w:style>
  <w:style w:type="paragraph" w:styleId="Subtitle">
    <w:name w:val="Subtitle"/>
    <w:basedOn w:val="Normal"/>
    <w:qFormat/>
    <w:rsid w:val="00C16935"/>
    <w:pPr>
      <w:autoSpaceDE w:val="0"/>
      <w:autoSpaceDN w:val="0"/>
      <w:adjustRightInd w:val="0"/>
    </w:pPr>
    <w:rPr>
      <w:b/>
      <w:bCs/>
    </w:rPr>
  </w:style>
  <w:style w:type="paragraph" w:styleId="BodyTextIndent">
    <w:name w:val="Body Text Indent"/>
    <w:basedOn w:val="Normal"/>
    <w:link w:val="BodyTextIndentChar"/>
    <w:rsid w:val="00C1693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C16935"/>
    <w:pPr>
      <w:autoSpaceDE w:val="0"/>
      <w:autoSpaceDN w:val="0"/>
      <w:adjustRightInd w:val="0"/>
    </w:pPr>
    <w:rPr>
      <w:rFonts w:ascii="Arial" w:hAnsi="Arial" w:cs="Arial"/>
      <w:sz w:val="24"/>
      <w:szCs w:val="24"/>
    </w:rPr>
  </w:style>
  <w:style w:type="character" w:styleId="PageNumber">
    <w:name w:val="page number"/>
    <w:basedOn w:val="DefaultParagraphFont"/>
    <w:rsid w:val="00C16935"/>
  </w:style>
  <w:style w:type="paragraph" w:styleId="BodyText2">
    <w:name w:val="Body Text 2"/>
    <w:basedOn w:val="Normal"/>
    <w:rsid w:val="00C1693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C1693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C16935"/>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C16935"/>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84023C"/>
    <w:pPr>
      <w:spacing w:before="120" w:after="120" w:line="480" w:lineRule="auto"/>
      <w:ind w:firstLine="720"/>
    </w:pPr>
    <w:rPr>
      <w:bCs/>
      <w:i/>
      <w:szCs w:val="20"/>
    </w:rPr>
  </w:style>
  <w:style w:type="paragraph" w:styleId="TableofFigures">
    <w:name w:val="table of figures"/>
    <w:basedOn w:val="Normal"/>
    <w:next w:val="Normal"/>
    <w:uiPriority w:val="99"/>
    <w:rsid w:val="00C16935"/>
    <w:pPr>
      <w:ind w:left="480" w:hanging="480"/>
    </w:pPr>
  </w:style>
  <w:style w:type="character" w:styleId="Hyperlink">
    <w:name w:val="Hyperlink"/>
    <w:uiPriority w:val="99"/>
    <w:rsid w:val="00C16935"/>
    <w:rPr>
      <w:color w:val="0000FF"/>
      <w:u w:val="single"/>
    </w:rPr>
  </w:style>
  <w:style w:type="paragraph" w:styleId="TOC1">
    <w:name w:val="toc 1"/>
    <w:basedOn w:val="Normal"/>
    <w:next w:val="Normal"/>
    <w:autoRedefine/>
    <w:uiPriority w:val="39"/>
    <w:rsid w:val="00C16935"/>
  </w:style>
  <w:style w:type="paragraph" w:styleId="TOC2">
    <w:name w:val="toc 2"/>
    <w:basedOn w:val="Normal"/>
    <w:next w:val="Normal"/>
    <w:autoRedefine/>
    <w:uiPriority w:val="39"/>
    <w:rsid w:val="00C16935"/>
    <w:pPr>
      <w:ind w:left="240"/>
    </w:pPr>
  </w:style>
  <w:style w:type="paragraph" w:styleId="TOC3">
    <w:name w:val="toc 3"/>
    <w:basedOn w:val="Normal"/>
    <w:next w:val="Normal"/>
    <w:autoRedefine/>
    <w:uiPriority w:val="39"/>
    <w:rsid w:val="00C16935"/>
    <w:pPr>
      <w:ind w:left="480"/>
    </w:pPr>
  </w:style>
  <w:style w:type="paragraph" w:styleId="TOC4">
    <w:name w:val="toc 4"/>
    <w:basedOn w:val="Normal"/>
    <w:next w:val="Normal"/>
    <w:autoRedefine/>
    <w:semiHidden/>
    <w:rsid w:val="00C16935"/>
    <w:pPr>
      <w:ind w:left="720"/>
    </w:pPr>
  </w:style>
  <w:style w:type="paragraph" w:styleId="TOC5">
    <w:name w:val="toc 5"/>
    <w:basedOn w:val="Normal"/>
    <w:next w:val="Normal"/>
    <w:autoRedefine/>
    <w:semiHidden/>
    <w:rsid w:val="00C16935"/>
    <w:pPr>
      <w:ind w:left="960"/>
    </w:pPr>
  </w:style>
  <w:style w:type="paragraph" w:styleId="TOC6">
    <w:name w:val="toc 6"/>
    <w:basedOn w:val="Normal"/>
    <w:next w:val="Normal"/>
    <w:autoRedefine/>
    <w:semiHidden/>
    <w:rsid w:val="00C16935"/>
    <w:pPr>
      <w:ind w:left="1200"/>
    </w:pPr>
  </w:style>
  <w:style w:type="paragraph" w:styleId="TOC7">
    <w:name w:val="toc 7"/>
    <w:basedOn w:val="Normal"/>
    <w:next w:val="Normal"/>
    <w:autoRedefine/>
    <w:semiHidden/>
    <w:rsid w:val="00C16935"/>
    <w:pPr>
      <w:ind w:left="1440"/>
    </w:pPr>
  </w:style>
  <w:style w:type="paragraph" w:styleId="TOC8">
    <w:name w:val="toc 8"/>
    <w:basedOn w:val="Normal"/>
    <w:next w:val="Normal"/>
    <w:autoRedefine/>
    <w:semiHidden/>
    <w:rsid w:val="00C16935"/>
    <w:pPr>
      <w:ind w:left="1680"/>
    </w:pPr>
  </w:style>
  <w:style w:type="paragraph" w:styleId="TOC9">
    <w:name w:val="toc 9"/>
    <w:basedOn w:val="Normal"/>
    <w:next w:val="Normal"/>
    <w:autoRedefine/>
    <w:semiHidden/>
    <w:rsid w:val="00C16935"/>
    <w:pPr>
      <w:ind w:left="1920"/>
    </w:pPr>
  </w:style>
  <w:style w:type="paragraph" w:customStyle="1" w:styleId="thesistext">
    <w:name w:val="thesis text"/>
    <w:basedOn w:val="Normal"/>
    <w:autoRedefine/>
    <w:rsid w:val="00C16935"/>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E4C89"/>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character" w:styleId="FollowedHyperlink">
    <w:name w:val="FollowedHyperlink"/>
    <w:basedOn w:val="DefaultParagraphFont"/>
    <w:rsid w:val="00E21C9F"/>
    <w:rPr>
      <w:color w:val="800080" w:themeColor="followedHyperlink"/>
      <w:u w:val="single"/>
    </w:rPr>
  </w:style>
  <w:style w:type="paragraph" w:styleId="BalloonText">
    <w:name w:val="Balloon Text"/>
    <w:basedOn w:val="Normal"/>
    <w:link w:val="BalloonTextChar"/>
    <w:rsid w:val="00D23627"/>
    <w:rPr>
      <w:rFonts w:ascii="Tahoma" w:hAnsi="Tahoma" w:cs="Tahoma"/>
      <w:sz w:val="16"/>
      <w:szCs w:val="16"/>
    </w:rPr>
  </w:style>
  <w:style w:type="character" w:customStyle="1" w:styleId="BalloonTextChar">
    <w:name w:val="Balloon Text Char"/>
    <w:basedOn w:val="DefaultParagraphFont"/>
    <w:link w:val="BalloonText"/>
    <w:rsid w:val="00D23627"/>
    <w:rPr>
      <w:rFonts w:ascii="Tahoma" w:hAnsi="Tahoma" w:cs="Tahoma"/>
      <w:sz w:val="16"/>
      <w:szCs w:val="16"/>
    </w:rPr>
  </w:style>
  <w:style w:type="paragraph" w:styleId="FootnoteText">
    <w:name w:val="footnote text"/>
    <w:basedOn w:val="Normal"/>
    <w:link w:val="FootnoteTextChar"/>
    <w:uiPriority w:val="99"/>
    <w:unhideWhenUsed/>
    <w:rsid w:val="0017522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75221"/>
    <w:rPr>
      <w:rFonts w:asciiTheme="minorHAnsi" w:eastAsiaTheme="minorHAnsi" w:hAnsiTheme="minorHAnsi" w:cstheme="minorBidi"/>
    </w:rPr>
  </w:style>
  <w:style w:type="character" w:styleId="FootnoteReference">
    <w:name w:val="footnote reference"/>
    <w:basedOn w:val="DefaultParagraphFont"/>
    <w:uiPriority w:val="99"/>
    <w:unhideWhenUsed/>
    <w:rsid w:val="00175221"/>
    <w:rPr>
      <w:vertAlign w:val="superscript"/>
    </w:rPr>
  </w:style>
  <w:style w:type="paragraph" w:styleId="DocumentMap">
    <w:name w:val="Document Map"/>
    <w:basedOn w:val="Normal"/>
    <w:link w:val="DocumentMapChar"/>
    <w:rsid w:val="003C37D9"/>
    <w:rPr>
      <w:rFonts w:ascii="Tahoma" w:hAnsi="Tahoma" w:cs="Tahoma"/>
      <w:sz w:val="16"/>
      <w:szCs w:val="16"/>
    </w:rPr>
  </w:style>
  <w:style w:type="character" w:customStyle="1" w:styleId="DocumentMapChar">
    <w:name w:val="Document Map Char"/>
    <w:basedOn w:val="DefaultParagraphFont"/>
    <w:link w:val="DocumentMap"/>
    <w:rsid w:val="003C37D9"/>
    <w:rPr>
      <w:rFonts w:ascii="Tahoma" w:hAnsi="Tahoma" w:cs="Tahoma"/>
      <w:sz w:val="16"/>
      <w:szCs w:val="16"/>
    </w:rPr>
  </w:style>
  <w:style w:type="paragraph" w:styleId="ListParagraph">
    <w:name w:val="List Paragraph"/>
    <w:basedOn w:val="Normal"/>
    <w:uiPriority w:val="34"/>
    <w:qFormat/>
    <w:rsid w:val="008973DB"/>
    <w:pPr>
      <w:spacing w:after="200" w:line="276" w:lineRule="auto"/>
      <w:ind w:left="720"/>
      <w:contextualSpacing/>
    </w:pPr>
    <w:rPr>
      <w:rFonts w:asciiTheme="minorHAnsi" w:eastAsiaTheme="minorHAnsi" w:hAnsiTheme="minorHAnsi" w:cstheme="minorBidi"/>
      <w:sz w:val="22"/>
      <w:szCs w:val="22"/>
    </w:rPr>
  </w:style>
  <w:style w:type="table" w:customStyle="1" w:styleId="LightShading1">
    <w:name w:val="Light Shading1"/>
    <w:basedOn w:val="TableNormal"/>
    <w:uiPriority w:val="60"/>
    <w:rsid w:val="008973DB"/>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8973DB"/>
    <w:pPr>
      <w:tabs>
        <w:tab w:val="decimal" w:pos="360"/>
      </w:tabs>
      <w:spacing w:after="200" w:line="276" w:lineRule="auto"/>
    </w:pPr>
    <w:rPr>
      <w:rFonts w:asciiTheme="minorHAnsi" w:eastAsiaTheme="minorEastAsia" w:hAnsiTheme="minorHAnsi" w:cstheme="minorBidi"/>
      <w:sz w:val="22"/>
      <w:szCs w:val="22"/>
    </w:rPr>
  </w:style>
  <w:style w:type="character" w:styleId="CommentReference">
    <w:name w:val="annotation reference"/>
    <w:basedOn w:val="DefaultParagraphFont"/>
    <w:rsid w:val="004E4A75"/>
    <w:rPr>
      <w:sz w:val="16"/>
      <w:szCs w:val="16"/>
    </w:rPr>
  </w:style>
  <w:style w:type="paragraph" w:styleId="CommentText">
    <w:name w:val="annotation text"/>
    <w:basedOn w:val="Normal"/>
    <w:link w:val="CommentTextChar"/>
    <w:rsid w:val="004E4A75"/>
    <w:rPr>
      <w:sz w:val="20"/>
      <w:szCs w:val="20"/>
    </w:rPr>
  </w:style>
  <w:style w:type="character" w:customStyle="1" w:styleId="CommentTextChar">
    <w:name w:val="Comment Text Char"/>
    <w:basedOn w:val="DefaultParagraphFont"/>
    <w:link w:val="CommentText"/>
    <w:rsid w:val="004E4A75"/>
  </w:style>
  <w:style w:type="paragraph" w:styleId="CommentSubject">
    <w:name w:val="annotation subject"/>
    <w:basedOn w:val="CommentText"/>
    <w:next w:val="CommentText"/>
    <w:link w:val="CommentSubjectChar"/>
    <w:rsid w:val="004E4A75"/>
    <w:rPr>
      <w:b/>
      <w:bCs/>
    </w:rPr>
  </w:style>
  <w:style w:type="character" w:customStyle="1" w:styleId="CommentSubjectChar">
    <w:name w:val="Comment Subject Char"/>
    <w:basedOn w:val="CommentTextChar"/>
    <w:link w:val="CommentSubject"/>
    <w:rsid w:val="004E4A75"/>
    <w:rPr>
      <w:b/>
      <w:bCs/>
    </w:rPr>
  </w:style>
  <w:style w:type="character" w:styleId="PlaceholderText">
    <w:name w:val="Placeholder Text"/>
    <w:basedOn w:val="DefaultParagraphFont"/>
    <w:uiPriority w:val="99"/>
    <w:semiHidden/>
    <w:rsid w:val="001017FD"/>
    <w:rPr>
      <w:color w:val="808080"/>
    </w:rPr>
  </w:style>
  <w:style w:type="paragraph" w:customStyle="1" w:styleId="EquationNumberStyle">
    <w:name w:val="Equation Number Style"/>
    <w:basedOn w:val="Normal"/>
    <w:link w:val="EquationNumberStyleChar"/>
    <w:rsid w:val="00EE5B48"/>
    <w:pPr>
      <w:numPr>
        <w:ilvl w:val="12"/>
      </w:numPr>
      <w:spacing w:line="288" w:lineRule="auto"/>
      <w:jc w:val="right"/>
    </w:pPr>
  </w:style>
  <w:style w:type="character" w:customStyle="1" w:styleId="EquationNumberStyleChar">
    <w:name w:val="Equation Number Style Char"/>
    <w:basedOn w:val="DefaultParagraphFont"/>
    <w:link w:val="EquationNumberStyle"/>
    <w:rsid w:val="00EE5B48"/>
    <w:rPr>
      <w:sz w:val="24"/>
      <w:szCs w:val="24"/>
    </w:rPr>
  </w:style>
  <w:style w:type="table" w:styleId="TableGrid">
    <w:name w:val="Table Grid"/>
    <w:basedOn w:val="TableNormal"/>
    <w:rsid w:val="00EE5B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uiPriority w:val="60"/>
    <w:rsid w:val="00A215B7"/>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415832269">
      <w:bodyDiv w:val="1"/>
      <w:marLeft w:val="0"/>
      <w:marRight w:val="0"/>
      <w:marTop w:val="0"/>
      <w:marBottom w:val="0"/>
      <w:divBdr>
        <w:top w:val="none" w:sz="0" w:space="0" w:color="auto"/>
        <w:left w:val="none" w:sz="0" w:space="0" w:color="auto"/>
        <w:bottom w:val="none" w:sz="0" w:space="0" w:color="auto"/>
        <w:right w:val="none" w:sz="0" w:space="0" w:color="auto"/>
      </w:divBdr>
    </w:div>
    <w:div w:id="514000323">
      <w:bodyDiv w:val="1"/>
      <w:marLeft w:val="0"/>
      <w:marRight w:val="0"/>
      <w:marTop w:val="0"/>
      <w:marBottom w:val="0"/>
      <w:divBdr>
        <w:top w:val="none" w:sz="0" w:space="0" w:color="auto"/>
        <w:left w:val="none" w:sz="0" w:space="0" w:color="auto"/>
        <w:bottom w:val="none" w:sz="0" w:space="0" w:color="auto"/>
        <w:right w:val="none" w:sz="0" w:space="0" w:color="auto"/>
      </w:divBdr>
    </w:div>
    <w:div w:id="63887500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04584149">
      <w:bodyDiv w:val="1"/>
      <w:marLeft w:val="0"/>
      <w:marRight w:val="0"/>
      <w:marTop w:val="0"/>
      <w:marBottom w:val="0"/>
      <w:divBdr>
        <w:top w:val="none" w:sz="0" w:space="0" w:color="auto"/>
        <w:left w:val="none" w:sz="0" w:space="0" w:color="auto"/>
        <w:bottom w:val="none" w:sz="0" w:space="0" w:color="auto"/>
        <w:right w:val="none" w:sz="0" w:space="0" w:color="auto"/>
      </w:divBdr>
    </w:div>
    <w:div w:id="152655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image" Target="media/image34.png"/><Relationship Id="rId47" Type="http://schemas.openxmlformats.org/officeDocument/2006/relationships/image" Target="media/image39.tiff"/><Relationship Id="rId50" Type="http://schemas.openxmlformats.org/officeDocument/2006/relationships/image" Target="media/image42.png"/><Relationship Id="rId55" Type="http://schemas.openxmlformats.org/officeDocument/2006/relationships/image" Target="media/image47.tiff"/><Relationship Id="rId63" Type="http://schemas.openxmlformats.org/officeDocument/2006/relationships/image" Target="media/image55.png"/><Relationship Id="rId68" Type="http://schemas.openxmlformats.org/officeDocument/2006/relationships/header" Target="header3.xml"/><Relationship Id="rId7" Type="http://schemas.openxmlformats.org/officeDocument/2006/relationships/header" Target="head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tiff"/><Relationship Id="rId40" Type="http://schemas.openxmlformats.org/officeDocument/2006/relationships/image" Target="media/image32.png"/><Relationship Id="rId45" Type="http://schemas.openxmlformats.org/officeDocument/2006/relationships/image" Target="media/image37.tiff"/><Relationship Id="rId53" Type="http://schemas.openxmlformats.org/officeDocument/2006/relationships/image" Target="media/image45.png"/><Relationship Id="rId58" Type="http://schemas.openxmlformats.org/officeDocument/2006/relationships/image" Target="media/image50.tiff"/><Relationship Id="rId66" Type="http://schemas.openxmlformats.org/officeDocument/2006/relationships/image" Target="media/image58.tiff"/><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tiff"/><Relationship Id="rId49" Type="http://schemas.openxmlformats.org/officeDocument/2006/relationships/image" Target="media/image41.png"/><Relationship Id="rId57" Type="http://schemas.openxmlformats.org/officeDocument/2006/relationships/image" Target="media/image49.tiff"/><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tiff"/><Relationship Id="rId60" Type="http://schemas.openxmlformats.org/officeDocument/2006/relationships/image" Target="media/image52.tiff"/><Relationship Id="rId65" Type="http://schemas.openxmlformats.org/officeDocument/2006/relationships/image" Target="media/image57.tif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tiff"/><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tiff"/><Relationship Id="rId64" Type="http://schemas.openxmlformats.org/officeDocument/2006/relationships/image" Target="media/image56.tiff"/><Relationship Id="rId69" Type="http://schemas.openxmlformats.org/officeDocument/2006/relationships/header" Target="header4.xml"/><Relationship Id="rId8" Type="http://schemas.openxmlformats.org/officeDocument/2006/relationships/header" Target="header2.xm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tiff"/><Relationship Id="rId38" Type="http://schemas.openxmlformats.org/officeDocument/2006/relationships/image" Target="media/image30.tiff"/><Relationship Id="rId46" Type="http://schemas.openxmlformats.org/officeDocument/2006/relationships/image" Target="media/image38.tiff"/><Relationship Id="rId59" Type="http://schemas.openxmlformats.org/officeDocument/2006/relationships/image" Target="media/image51.tiff"/><Relationship Id="rId67" Type="http://schemas.openxmlformats.org/officeDocument/2006/relationships/image" Target="media/image59.tiff"/><Relationship Id="rId20" Type="http://schemas.openxmlformats.org/officeDocument/2006/relationships/image" Target="media/image12.tiff"/><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tiff"/><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40879</Words>
  <Characters>233012</Characters>
  <Application>Microsoft Office Word</Application>
  <DocSecurity>0</DocSecurity>
  <Lines>1941</Lines>
  <Paragraphs>546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273345</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2011-12-15T21:58:00Z</dcterms:created>
  <dcterms:modified xsi:type="dcterms:W3CDTF">2013-03-24T16:07:00Z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EquationLeftMargin">
    <vt:i4>36</vt:i4>
  </property>
</Properties>
</file>